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8" w:lineRule="exact"/>
        <w:rPr>
          <w:sz w:val="24"/>
          <w:szCs w:val="24"/>
          <w:color w:val="auto"/>
        </w:rPr>
      </w:pPr>
    </w:p>
    <w:p>
      <w:pPr>
        <w:ind w:left="2220" w:hanging="213"/>
        <w:spacing w:after="0"/>
        <w:tabs>
          <w:tab w:leader="none" w:pos="22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 ended December 31, 2023</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FFFFFF"/>
        </w:rPr>
        <w:t>12/31</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9" w:lineRule="exact"/>
        <w:rPr>
          <w:sz w:val="24"/>
          <w:szCs w:val="24"/>
          <w:color w:val="auto"/>
        </w:rPr>
      </w:pPr>
    </w:p>
    <w:p>
      <w:pPr>
        <w:ind w:left="3680" w:hanging="178"/>
        <w:spacing w:after="0"/>
        <w:tabs>
          <w:tab w:leader="none" w:pos="36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w:t>
      </w:r>
    </w:p>
    <w:p>
      <w:pPr>
        <w:spacing w:after="0" w:line="19" w:lineRule="exact"/>
        <w:rPr>
          <w:rFonts w:ascii="MS PGothic" w:cs="MS PGothic" w:eastAsia="MS PGothic" w:hAnsi="MS PGothic"/>
          <w:sz w:val="14"/>
          <w:szCs w:val="14"/>
          <w:color w:val="auto"/>
          <w:highlight w:val="black"/>
        </w:rPr>
      </w:pPr>
    </w:p>
    <w:p>
      <w:pPr>
        <w:ind w:left="40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Commission file number: 1-14323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ENTERPRISE PRODUCTS PARTNERS L.P.</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76-0568219</w:t>
      </w:r>
    </w:p>
    <w:p>
      <w:pPr>
        <w:spacing w:after="0" w:line="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18" w:lineRule="exact"/>
        <w:rPr>
          <w:sz w:val="24"/>
          <w:szCs w:val="24"/>
          <w:color w:val="auto"/>
        </w:rPr>
      </w:pPr>
    </w:p>
    <w:p>
      <w:pPr>
        <w:sectPr>
          <w:pgSz w:w="11900" w:h="16838" w:orient="portrait"/>
          <w:cols w:equalWidth="0" w:num="2">
            <w:col w:w="6720" w:space="720"/>
            <w:col w:w="3800"/>
          </w:cols>
          <w:pgMar w:left="320" w:top="441" w:right="339"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14"/>
          <w:szCs w:val="14"/>
          <w:b w:val="1"/>
          <w:bCs w:val="1"/>
          <w:color w:val="auto"/>
        </w:rPr>
        <w:t>1100 Louisiana Street, 10th Floor, Houston, Texas 77002</w:t>
      </w:r>
    </w:p>
    <w:p>
      <w:pPr>
        <w:ind w:left="3920"/>
        <w:spacing w:after="0" w:line="229" w:lineRule="auto"/>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(713) 381-6500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Securities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3"/>
          </w:tcPr>
          <w:p>
            <w:pPr>
              <w:jc w:val="center"/>
              <w:ind w:left="1288"/>
              <w:spacing w:after="0"/>
              <w:rPr>
                <w:sz w:val="20"/>
                <w:szCs w:val="20"/>
                <w:color w:val="auto"/>
              </w:rPr>
            </w:pPr>
            <w:r>
              <w:rPr>
                <w:rFonts w:ascii="Times New Roman" w:cs="Times New Roman" w:eastAsia="Times New Roman" w:hAnsi="Times New Roman"/>
                <w:sz w:val="14"/>
                <w:szCs w:val="14"/>
                <w:color w:val="auto"/>
              </w:rPr>
              <w:t>Title of Each Class</w:t>
            </w:r>
          </w:p>
        </w:tc>
        <w:tc>
          <w:tcPr>
            <w:tcW w:w="3800" w:type="dxa"/>
            <w:vAlign w:val="bottom"/>
            <w:gridSpan w:val="3"/>
          </w:tcPr>
          <w:p>
            <w:pPr>
              <w:jc w:val="center"/>
              <w:ind w:left="1088"/>
              <w:spacing w:after="0"/>
              <w:rPr>
                <w:sz w:val="20"/>
                <w:szCs w:val="20"/>
                <w:color w:val="auto"/>
              </w:rPr>
            </w:pPr>
            <w:r>
              <w:rPr>
                <w:rFonts w:ascii="Times New Roman" w:cs="Times New Roman" w:eastAsia="Times New Roman" w:hAnsi="Times New Roman"/>
                <w:sz w:val="14"/>
                <w:szCs w:val="14"/>
                <w:color w:val="auto"/>
              </w:rPr>
              <w:t>Trading Symbol(s)</w:t>
            </w:r>
          </w:p>
        </w:tc>
        <w:tc>
          <w:tcPr>
            <w:tcW w:w="700" w:type="dxa"/>
            <w:vAlign w:val="bottom"/>
          </w:tcPr>
          <w:p>
            <w:pPr>
              <w:spacing w:after="0"/>
              <w:rPr>
                <w:sz w:val="13"/>
                <w:szCs w:val="1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4"/>
        </w:trPr>
        <w:tc>
          <w:tcPr>
            <w:tcW w:w="17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EPD</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340"/>
        </w:trPr>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gridSpan w:val="5"/>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Securities to be registered pursuant to Section 12(g) of the Act</w:t>
            </w:r>
            <w:r>
              <w:rPr>
                <w:rFonts w:ascii="Times New Roman" w:cs="Times New Roman" w:eastAsia="Times New Roman" w:hAnsi="Times New Roman"/>
                <w:sz w:val="14"/>
                <w:szCs w:val="14"/>
                <w:color w:val="auto"/>
              </w:rPr>
              <w:t>: None.</w:t>
            </w:r>
          </w:p>
        </w:tc>
      </w:tr>
      <w:tr>
        <w:trPr>
          <w:trHeight w:val="421"/>
        </w:trPr>
        <w:tc>
          <w:tcPr>
            <w:tcW w:w="10360" w:type="dxa"/>
            <w:vAlign w:val="bottom"/>
            <w:gridSpan w:val="8"/>
          </w:tcPr>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r>
      <w:tr>
        <w:trPr>
          <w:trHeight w:val="418"/>
        </w:trPr>
        <w:tc>
          <w:tcPr>
            <w:tcW w:w="6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342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173" w:lineRule="exact"/>
        <w:rPr>
          <w:sz w:val="24"/>
          <w:szCs w:val="24"/>
          <w:color w:val="auto"/>
        </w:rPr>
      </w:pPr>
    </w:p>
    <w:p>
      <w:pPr>
        <w:ind w:right="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75" w:lineRule="exact"/>
        <w:rPr>
          <w:sz w:val="24"/>
          <w:szCs w:val="24"/>
          <w:color w:val="auto"/>
        </w:rPr>
      </w:pPr>
    </w:p>
    <w:p>
      <w:pPr>
        <w:ind w:right="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75"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jc w:val="center"/>
        <w:spacing w:after="0" w:line="184" w:lineRule="exact"/>
        <w:tabs>
          <w:tab w:leader="none" w:pos="140" w:val="left"/>
          <w:tab w:leader="none" w:pos="140" w:val="left"/>
          <w:tab w:leader="none" w:pos="1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line="161" w:lineRule="exact"/>
        <w:tabs>
          <w:tab w:leader="none" w:pos="71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our common units held by non-affiliates at June 30, 2023 (the last business day of the registrant’s most recently completed second fiscal quarter) was $38.72 billion</w:t>
      </w:r>
    </w:p>
    <w:p>
      <w:pPr>
        <w:spacing w:after="0" w:line="27" w:lineRule="exact"/>
        <w:rPr>
          <w:sz w:val="24"/>
          <w:szCs w:val="24"/>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based on a closing price on that date of $26.35 per common unit on the New York Stock Exchange Composite ticker tape. There were 2,168,245,238 common units outstanding at January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80" w:type="dxa"/>
            <w:vAlign w:val="bottom"/>
            <w:gridSpan w:val="2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ENTERPRISE PRODUCTS PARTNERS L.P.</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21"/>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0" w:type="dxa"/>
            <w:vAlign w:val="bottom"/>
            <w:gridSpan w:val="15"/>
            <w:vMerge w:val="restart"/>
          </w:tcPr>
          <w:p>
            <w:pPr>
              <w:jc w:val="center"/>
              <w:ind w:right="374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gridSpan w:val="1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Items 1 and 2</w:t>
            </w:r>
            <w:r>
              <w:rPr>
                <w:rFonts w:ascii="Times New Roman" w:cs="Times New Roman" w:eastAsia="Times New Roman" w:hAnsi="Times New Roman"/>
                <w:sz w:val="18"/>
                <w:szCs w:val="18"/>
                <w:color w:val="000000"/>
              </w:rPr>
              <w:t>.</w:t>
            </w:r>
          </w:p>
        </w:tc>
        <w:tc>
          <w:tcPr>
            <w:tcW w:w="34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Business and Properties.</w:t>
            </w:r>
          </w:p>
        </w:tc>
        <w:tc>
          <w:tcPr>
            <w:tcW w:w="580" w:type="dxa"/>
            <w:vAlign w:val="bottom"/>
            <w:tcBorders>
              <w:top w:val="single" w:sz="8" w:color="0000EE"/>
            </w:tcBorders>
            <w:gridSpan w:val="2"/>
          </w:tcPr>
          <w:p>
            <w:pPr>
              <w:spacing w:after="0"/>
              <w:rPr>
                <w:sz w:val="17"/>
                <w:szCs w:val="17"/>
                <w:color w:val="auto"/>
              </w:rPr>
            </w:pPr>
          </w:p>
        </w:tc>
        <w:tc>
          <w:tcPr>
            <w:tcW w:w="3780" w:type="dxa"/>
            <w:vAlign w:val="bottom"/>
            <w:gridSpan w:val="12"/>
          </w:tcPr>
          <w:p>
            <w:pPr>
              <w:spacing w:after="0"/>
              <w:rPr>
                <w:sz w:val="17"/>
                <w:szCs w:val="17"/>
                <w:color w:val="auto"/>
              </w:rPr>
            </w:pPr>
          </w:p>
        </w:tc>
        <w:tc>
          <w:tcPr>
            <w:tcW w:w="820" w:type="dxa"/>
            <w:vAlign w:val="bottom"/>
            <w:gridSpan w:val="2"/>
          </w:tcPr>
          <w:p>
            <w:pPr>
              <w:jc w:val="center"/>
              <w:ind w:left="63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3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060" w:type="dxa"/>
            <w:vAlign w:val="bottom"/>
            <w:gridSpan w:val="25"/>
          </w:tcPr>
          <w:p>
            <w:pPr>
              <w:spacing w:after="0"/>
              <w:rPr>
                <w:sz w:val="17"/>
                <w:szCs w:val="17"/>
                <w:color w:val="auto"/>
              </w:rPr>
            </w:pP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33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1280" w:type="dxa"/>
            <w:vAlign w:val="bottom"/>
            <w:gridSpan w:val="3"/>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56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1C.</w:t>
            </w:r>
          </w:p>
        </w:tc>
        <w:tc>
          <w:tcPr>
            <w:tcW w:w="1280" w:type="dxa"/>
            <w:vAlign w:val="bottom"/>
            <w:gridSpan w:val="3"/>
          </w:tcPr>
          <w:p>
            <w:pPr>
              <w:spacing w:after="0"/>
              <w:rPr>
                <w:sz w:val="17"/>
                <w:szCs w:val="17"/>
                <w:color w:val="auto"/>
              </w:rPr>
            </w:pPr>
          </w:p>
        </w:tc>
        <w:tc>
          <w:tcPr>
            <w:tcW w:w="20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74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56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80" w:type="dxa"/>
            <w:vAlign w:val="bottom"/>
          </w:tcPr>
          <w:p>
            <w:pPr>
              <w:spacing w:after="0"/>
              <w:rPr>
                <w:sz w:val="17"/>
                <w:szCs w:val="17"/>
                <w:color w:val="auto"/>
              </w:rPr>
            </w:pPr>
          </w:p>
        </w:tc>
        <w:tc>
          <w:tcPr>
            <w:tcW w:w="1280" w:type="dxa"/>
            <w:vAlign w:val="bottom"/>
            <w:gridSpan w:val="3"/>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58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1360" w:type="dxa"/>
            <w:vAlign w:val="bottom"/>
            <w:gridSpan w:val="4"/>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58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74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1360" w:type="dxa"/>
            <w:vAlign w:val="bottom"/>
            <w:gridSpan w:val="4"/>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Unitholder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3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Matters and Issuer Purchases of Equity Securities.</w:t>
            </w:r>
          </w:p>
        </w:tc>
        <w:tc>
          <w:tcPr>
            <w:tcW w:w="3460" w:type="dxa"/>
            <w:vAlign w:val="bottom"/>
            <w:gridSpan w:val="7"/>
          </w:tcPr>
          <w:p>
            <w:pPr>
              <w:spacing w:after="0"/>
              <w:rPr>
                <w:sz w:val="17"/>
                <w:szCs w:val="17"/>
                <w:color w:val="auto"/>
              </w:rPr>
            </w:pP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59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360" w:type="dxa"/>
            <w:vAlign w:val="bottom"/>
            <w:gridSpan w:val="4"/>
          </w:tcPr>
          <w:p>
            <w:pPr>
              <w:spacing w:after="0"/>
              <w:rPr>
                <w:sz w:val="17"/>
                <w:szCs w:val="17"/>
                <w:color w:val="auto"/>
              </w:rPr>
            </w:pPr>
          </w:p>
        </w:tc>
        <w:tc>
          <w:tcPr>
            <w:tcW w:w="3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22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60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1360" w:type="dxa"/>
            <w:vAlign w:val="bottom"/>
            <w:gridSpan w:val="4"/>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Results of Operations.</w:t>
            </w:r>
          </w:p>
        </w:tc>
        <w:tc>
          <w:tcPr>
            <w:tcW w:w="3240" w:type="dxa"/>
            <w:vAlign w:val="bottom"/>
            <w:tcBorders>
              <w:top w:val="single" w:sz="8" w:color="0000EE"/>
            </w:tcBorders>
            <w:gridSpan w:val="21"/>
          </w:tcPr>
          <w:p>
            <w:pPr>
              <w:spacing w:after="0"/>
              <w:rPr>
                <w:sz w:val="17"/>
                <w:szCs w:val="17"/>
                <w:color w:val="auto"/>
              </w:rPr>
            </w:pPr>
          </w:p>
        </w:tc>
        <w:tc>
          <w:tcPr>
            <w:tcW w:w="298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60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1280" w:type="dxa"/>
            <w:vAlign w:val="bottom"/>
            <w:gridSpan w:val="3"/>
          </w:tcPr>
          <w:p>
            <w:pPr>
              <w:spacing w:after="0"/>
              <w:rPr>
                <w:sz w:val="17"/>
                <w:szCs w:val="17"/>
                <w:color w:val="auto"/>
              </w:rPr>
            </w:pPr>
          </w:p>
        </w:tc>
        <w:tc>
          <w:tcPr>
            <w:tcW w:w="44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4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89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80" w:type="dxa"/>
            <w:vAlign w:val="bottom"/>
          </w:tcPr>
          <w:p>
            <w:pPr>
              <w:spacing w:after="0"/>
              <w:rPr>
                <w:sz w:val="17"/>
                <w:szCs w:val="17"/>
                <w:color w:val="auto"/>
              </w:rPr>
            </w:pPr>
          </w:p>
        </w:tc>
        <w:tc>
          <w:tcPr>
            <w:tcW w:w="1280" w:type="dxa"/>
            <w:vAlign w:val="bottom"/>
            <w:gridSpan w:val="3"/>
          </w:tcPr>
          <w:p>
            <w:pPr>
              <w:spacing w:after="0"/>
              <w:rPr>
                <w:sz w:val="17"/>
                <w:szCs w:val="17"/>
                <w:color w:val="auto"/>
              </w:rPr>
            </w:pPr>
          </w:p>
        </w:tc>
        <w:tc>
          <w:tcPr>
            <w:tcW w:w="44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4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1360" w:type="dxa"/>
            <w:vAlign w:val="bottom"/>
            <w:gridSpan w:val="4"/>
          </w:tcPr>
          <w:p>
            <w:pPr>
              <w:spacing w:after="0"/>
              <w:rPr>
                <w:sz w:val="17"/>
                <w:szCs w:val="17"/>
                <w:color w:val="auto"/>
              </w:rPr>
            </w:pPr>
          </w:p>
        </w:tc>
        <w:tc>
          <w:tcPr>
            <w:tcW w:w="49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w:t>
            </w:r>
          </w:p>
        </w:tc>
        <w:tc>
          <w:tcPr>
            <w:tcW w:w="288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Financial Disclosure.</w:t>
            </w:r>
          </w:p>
        </w:tc>
        <w:tc>
          <w:tcPr>
            <w:tcW w:w="630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1280" w:type="dxa"/>
            <w:vAlign w:val="bottom"/>
            <w:gridSpan w:val="3"/>
          </w:tcPr>
          <w:p>
            <w:pPr>
              <w:spacing w:after="0"/>
              <w:rPr>
                <w:sz w:val="17"/>
                <w:szCs w:val="17"/>
                <w:color w:val="auto"/>
              </w:rPr>
            </w:pP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91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1280" w:type="dxa"/>
            <w:vAlign w:val="bottom"/>
            <w:gridSpan w:val="3"/>
          </w:tcPr>
          <w:p>
            <w:pPr>
              <w:spacing w:after="0"/>
              <w:rPr>
                <w:sz w:val="17"/>
                <w:szCs w:val="17"/>
                <w:color w:val="auto"/>
              </w:rPr>
            </w:pPr>
          </w:p>
        </w:tc>
        <w:tc>
          <w:tcPr>
            <w:tcW w:w="18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020" w:type="dxa"/>
            <w:vAlign w:val="bottom"/>
            <w:gridSpan w:val="24"/>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9C.</w:t>
            </w:r>
          </w:p>
        </w:tc>
        <w:tc>
          <w:tcPr>
            <w:tcW w:w="1280" w:type="dxa"/>
            <w:vAlign w:val="bottom"/>
            <w:gridSpan w:val="3"/>
          </w:tcPr>
          <w:p>
            <w:pPr>
              <w:spacing w:after="0"/>
              <w:rPr>
                <w:sz w:val="17"/>
                <w:szCs w:val="17"/>
                <w:color w:val="auto"/>
              </w:rPr>
            </w:pPr>
          </w:p>
        </w:tc>
        <w:tc>
          <w:tcPr>
            <w:tcW w:w="50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82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77"/>
              </w:rPr>
              <w:t>94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880" w:type="dxa"/>
            <w:vAlign w:val="bottom"/>
            <w:tcBorders>
              <w:top w:val="single" w:sz="8" w:color="0000EE"/>
            </w:tcBorders>
            <w:gridSpan w:val="7"/>
          </w:tcPr>
          <w:p>
            <w:pPr>
              <w:spacing w:after="0"/>
              <w:rPr>
                <w:sz w:val="24"/>
                <w:szCs w:val="24"/>
                <w:color w:val="auto"/>
              </w:rPr>
            </w:pPr>
          </w:p>
        </w:tc>
        <w:tc>
          <w:tcPr>
            <w:tcW w:w="282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Partnership Governance.</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9"/>
              </w:rPr>
              <w:t>94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105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8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and Related Unitholder Matters.</w:t>
            </w:r>
          </w:p>
        </w:tc>
        <w:tc>
          <w:tcPr>
            <w:tcW w:w="2940" w:type="dxa"/>
            <w:vAlign w:val="bottom"/>
            <w:gridSpan w:val="4"/>
          </w:tcPr>
          <w:p>
            <w:pPr>
              <w:spacing w:after="0"/>
              <w:rPr>
                <w:sz w:val="17"/>
                <w:szCs w:val="17"/>
                <w:color w:val="auto"/>
              </w:rPr>
            </w:pP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6"/>
              </w:rPr>
              <w:t>114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780" w:type="dxa"/>
            <w:vAlign w:val="bottom"/>
            <w:tcBorders>
              <w:left w:val="single" w:sz="8" w:color="0000EE"/>
            </w:tcBorders>
            <w:gridSpan w:val="6"/>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color w:val="0000EE"/>
                <w:w w:val="96"/>
              </w:rPr>
              <w:t>117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38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120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17"/>
          </w:tcPr>
          <w:p>
            <w:pPr>
              <w:jc w:val="center"/>
              <w:ind w:right="372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3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700" w:type="dxa"/>
            <w:vAlign w:val="bottom"/>
            <w:tcBorders>
              <w:top w:val="single" w:sz="8" w:color="0000EE"/>
            </w:tcBorders>
            <w:gridSpan w:val="6"/>
          </w:tcPr>
          <w:p>
            <w:pPr>
              <w:spacing w:after="0"/>
              <w:rPr>
                <w:sz w:val="17"/>
                <w:szCs w:val="17"/>
                <w:color w:val="auto"/>
              </w:rPr>
            </w:pPr>
          </w:p>
        </w:tc>
        <w:tc>
          <w:tcPr>
            <w:tcW w:w="3720" w:type="dxa"/>
            <w:vAlign w:val="bottom"/>
            <w:gridSpan w:val="10"/>
          </w:tcPr>
          <w:p>
            <w:pPr>
              <w:spacing w:after="0"/>
              <w:rPr>
                <w:sz w:val="17"/>
                <w:szCs w:val="17"/>
                <w:color w:val="auto"/>
              </w:rPr>
            </w:pP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121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420" w:type="dxa"/>
            <w:vAlign w:val="bottom"/>
            <w:tcBorders>
              <w:left w:val="single" w:sz="8" w:color="0000EE"/>
            </w:tcBorders>
            <w:gridSpan w:val="8"/>
            <w:shd w:val="clear" w:color="auto" w:fill="0000EE"/>
          </w:tcPr>
          <w:p>
            <w:pPr>
              <w:spacing w:after="0" w:line="20" w:lineRule="exact"/>
              <w:rPr>
                <w:sz w:val="1"/>
                <w:szCs w:val="1"/>
                <w:color w:val="auto"/>
              </w:rPr>
            </w:pPr>
          </w:p>
        </w:tc>
        <w:tc>
          <w:tcPr>
            <w:tcW w:w="4880" w:type="dxa"/>
            <w:vAlign w:val="bottom"/>
            <w:gridSpan w:val="19"/>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8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130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96"/>
              </w:rPr>
              <w:t>131</w:t>
            </w:r>
          </w:p>
        </w:tc>
        <w:tc>
          <w:tcPr>
            <w:tcW w:w="0" w:type="dxa"/>
            <w:vAlign w:val="bottom"/>
          </w:tcPr>
          <w:p>
            <w:pPr>
              <w:spacing w:after="0"/>
              <w:rPr>
                <w:sz w:val="1"/>
                <w:szCs w:val="1"/>
                <w:color w:val="auto"/>
              </w:rPr>
            </w:pPr>
          </w:p>
        </w:tc>
      </w:tr>
      <w:tr>
        <w:trPr>
          <w:trHeight w:val="1945"/>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year ended December 31, 2023 (our “annual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“pending,”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annual report) are reasonable, neither we nor our general partner can give any assurances that such expectations will prove to be correct.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REFERENCES USED IN THIS REPORT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this annual report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the Co-Chief Executive Officer and Chief Financial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32.4% of the Partnership’s common units outstanding at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generally used in the energy industry and in this annual report, the acronyms below have the following meanings:</w:t>
      </w:r>
    </w:p>
    <w:p>
      <w:pPr>
        <w:spacing w:after="0" w:line="23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day</w:t>
            </w:r>
          </w:p>
        </w:tc>
        <w:tc>
          <w:tcPr>
            <w:tcW w:w="1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MMBPD</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million barrels per day</w:t>
            </w: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BBtus</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British thermal units</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MMBtus</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British thermal units</w:t>
            </w:r>
          </w:p>
        </w:tc>
      </w:tr>
      <w:tr>
        <w:trPr>
          <w:trHeight w:val="149"/>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Bcf</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cubic feet</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MMcf</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cubic feet</w:t>
            </w: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BPD</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barrels per day</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MWac</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alternating current</w:t>
            </w:r>
          </w:p>
        </w:tc>
      </w:tr>
      <w:tr>
        <w:trPr>
          <w:trHeight w:val="148"/>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MBPD</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thousand barrels per day</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MWdc</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direct current</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MMBbls</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barrels</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TBtus</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trillion British thermal units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1 AND 2. BUSINESS AND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spacing w:after="0" w:line="77"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natural gas gathering, treating, processing, transportation and storage;</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crude oil gathering, transportation, storage, and marine terminals;</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99"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seeks to manage these operations to:</w:t>
      </w:r>
    </w:p>
    <w:p>
      <w:pPr>
        <w:spacing w:after="0" w:line="126" w:lineRule="exact"/>
        <w:rPr>
          <w:sz w:val="20"/>
          <w:szCs w:val="20"/>
          <w:color w:val="auto"/>
        </w:rPr>
      </w:pPr>
    </w:p>
    <w:p>
      <w:pPr>
        <w:ind w:left="500" w:hanging="330"/>
        <w:spacing w:after="0"/>
        <w:tabs>
          <w:tab w:leader="none" w:pos="50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capitalize on expected trends and opportunities in all energy supply and demand cycles to provide value added services to our customers;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maintain a diversified portfolio of midstream energy assets and expand this asset base through growth capital projects and accretive acquisitions of complementary assets that enhance our overall value chain;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share capital costs and risks through business ventures or alliances with strategic partners, including those that provide incremental volumes on our systems.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position, results of operations and cash flows are contingent on the supply of, and demand for the energy commodities we handle across our integrated midstream energy asset network. See “</w:t>
      </w:r>
      <w:r>
        <w:rPr>
          <w:rFonts w:ascii="Times New Roman" w:cs="Times New Roman" w:eastAsia="Times New Roman" w:hAnsi="Times New Roman"/>
          <w:sz w:val="18"/>
          <w:szCs w:val="18"/>
          <w:i w:val="1"/>
          <w:iCs w:val="1"/>
          <w:color w:val="auto"/>
        </w:rPr>
        <w:t>Current Outlook</w:t>
      </w:r>
      <w:r>
        <w:rPr>
          <w:rFonts w:ascii="Times New Roman" w:cs="Times New Roman" w:eastAsia="Times New Roman" w:hAnsi="Times New Roman"/>
          <w:sz w:val="18"/>
          <w:szCs w:val="18"/>
          <w:color w:val="auto"/>
        </w:rPr>
        <w:t>” included under Part II, Item 7 of this annual report for management’s views on key midstream energy supply and demand fundamentals in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sections provide an overview of our business segments, including information regarding principal products produced and/or services rendered and properties owned. Our operations are reported under four business segments: NGL Pipelines &amp; Services, Crude Oil Pipelines &amp; Services, Natural Gas Pipelines &amp; Services and Petrochemical &amp; Refined Products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segment gross operating margin for us. The financial results of our marketing efforts fluctuate due to changes in volumes handled and overall market conditions, which are influenced by current and forward market prices for the products bought and sold.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position, results of operations and cash flows are subject to certain risks. For information regarding such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under Part I, Item 1A of this annual report. In addition, our business activities are subject to various federal, state and local laws and regulations governing a wide variety of topics, including commercial, operational, environmental, safety and other matters. For a discussion of the principal effects of such laws and regulations on our business activities,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discussion.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management’s discussion and analysis of our results of operations, liquidity and capital resources and capital investment program, see Part II, Item 7 of this annual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detailed financial information regarding our business segments, including major customer information, see Note 10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business segment includes our natural gas processing and related NGL marketing activities, NGL pipelines, NGL fractionation facilities, NGL and related product storage facilities, and NGL marine terminals.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processing and related NGL marketing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core of our natural gas processing business are processing facilities located in Colorado, Louisiana, Mississippi, New Mexico, Texas and Wyoming.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its raw form, natural gas produced at the wellhead (especially in association with crude oil production) contains varying amounts of NGLs such as ethane and propane. Natural gas streams containing NGLs and other impurities are usually not acceptable for transportation in downstream natural gas transmission pipelines or for commercial use as fuel; therefore, the unprocessed natural gas stream must be transported to a natural gas processing facility to remove the NGLs and other impurities. Once the natural gas is processed and the NGLs and impurities are removed, the residue natural gas meets downstream natural gas pipeline and commercial quality specifications.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general, on an energy-equivalent basis, NGLs have greater economic value as feedstock for petrochemical and motor gasoline production than as components of a natural gas stream. Typical uses of NGLs include the following:</w:t>
      </w:r>
    </w:p>
    <w:p>
      <w:pPr>
        <w:spacing w:after="0" w:line="162" w:lineRule="exact"/>
        <w:rPr>
          <w:sz w:val="20"/>
          <w:szCs w:val="20"/>
          <w:color w:val="auto"/>
        </w:rPr>
      </w:pPr>
    </w:p>
    <w:p>
      <w:pPr>
        <w:ind w:left="500" w:hanging="330"/>
        <w:spacing w:after="0" w:line="199"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Ethane is primarily used in the petrochemical industry as a feedstock in the production of ethylene, one of the basic building blocks for a wide range of plastics and other chemical products.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Propane is used for heating, as an engine and industrial fuel, and as a petrochemical feedstock in the production of ethylene and propylene.</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Normal butane is used as a petrochemical feedstock in the production of ethylene and butadiene (a key ingredient of synthetic rubber), as a blendstock for motor gasoline, and to produce isobutane through isomerization.</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Isobutane is fractionated from mixed butane (a mixed stream of normal butane and isobutane) or produced from normal butane through the process of isomerization, and is used in refinery alkylation to enhance the octane content of motor gasoline, in the production of isooctane and other octane additives, and in the production of propylene oxide.</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Natural gasoline, a mixture of pentanes and heavier hydrocarbons, is primarily used as a blendstock for motor gasoline, diluent in crude oil to aid in transportation, and as a petrochemical feedstock.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from natural gas processing are primarily dependent on the difference between the revenues we earn from extracting NGLs (in terms of cash processing fees and/or the value of any retained NGLs) and the cost of natural gas and other operating costs incurred in connection with such extraction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gas processing utilizes service contracts that are either fee-based, commodity-based or a combination of the two. Our commodity-based contracts include keepwhole, margin-band, percent-of-liquids, percent-of-proceeds and contracts featuring a combination of commodity and fee-based terms. To the extent we retain all or a portion of the extracted NGLs as consideration for our processing services, we refer to such volumes as our “equity NGL-equivalent production.”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operating costs of a natural gas processing facility are higher than the incremental value of the NGLs that would be extracted, then recovery levels of certain NGLs, primarily ethane, may be purposefully reduced. This scenario is typically referred to as “ethane rejection” and results in a reduction in NGL volumes available to us for subsequent transportation, fractionation, storage and marketing.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NGL marketing activities entail spot and term sales of NGLs that we take title to through our natural gas processing activities (i.e., our equity NGL-equivalent production) and open market and contract purchases. The results of operations for NGL marketing are primarily dependent on the difference between NGL sales prices and the associated purchase and other costs, including those costs attributable to the use of our other assets by the marketing group. Market prices for NGLs are subject to fluctuations in response to changes in supply and demand and a variety of additional factors that are beyond our control. We attempt to mitigate these price risks through the use of commodity derivative instruments. For a discussion of our commodity hedging program, see Part II, Item 7A of this annual report.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natural gas processing assets at February 1, 2024:</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Net Gas</w:t>
            </w:r>
          </w:p>
        </w:tc>
        <w:tc>
          <w:tcPr>
            <w:tcW w:w="640" w:type="dxa"/>
            <w:vAlign w:val="bottom"/>
          </w:tcPr>
          <w:p>
            <w:pPr>
              <w:spacing w:after="0"/>
              <w:rPr>
                <w:sz w:val="16"/>
                <w:szCs w:val="16"/>
                <w:color w:val="auto"/>
              </w:rPr>
            </w:pPr>
          </w:p>
        </w:tc>
        <w:tc>
          <w:tcPr>
            <w:tcW w:w="15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Total Gas</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4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6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640" w:type="dxa"/>
            <w:vAlign w:val="bottom"/>
          </w:tcPr>
          <w:p>
            <w:pPr>
              <w:spacing w:after="0"/>
              <w:rPr>
                <w:sz w:val="12"/>
                <w:szCs w:val="12"/>
                <w:color w:val="auto"/>
              </w:rPr>
            </w:pPr>
          </w:p>
        </w:tc>
        <w:tc>
          <w:tcPr>
            <w:tcW w:w="15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Region</w:t>
            </w:r>
          </w:p>
        </w:tc>
        <w:tc>
          <w:tcPr>
            <w:tcW w:w="1400" w:type="dxa"/>
            <w:vAlign w:val="bottom"/>
            <w:gridSpan w:val="2"/>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140" w:type="dxa"/>
            <w:vAlign w:val="bottom"/>
            <w:vMerge w:val="continue"/>
          </w:tcPr>
          <w:p>
            <w:pPr>
              <w:spacing w:after="0"/>
              <w:rPr>
                <w:sz w:val="12"/>
                <w:szCs w:val="12"/>
                <w:color w:val="auto"/>
              </w:rPr>
            </w:pPr>
          </w:p>
        </w:tc>
        <w:tc>
          <w:tcPr>
            <w:tcW w:w="106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40" w:type="dxa"/>
            <w:vAlign w:val="bottom"/>
          </w:tcPr>
          <w:p>
            <w:pPr>
              <w:spacing w:after="0"/>
              <w:rPr>
                <w:sz w:val="12"/>
                <w:szCs w:val="12"/>
                <w:color w:val="auto"/>
              </w:rPr>
            </w:pPr>
          </w:p>
        </w:tc>
        <w:tc>
          <w:tcPr>
            <w:tcW w:w="15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6"/>
        </w:trPr>
        <w:tc>
          <w:tcPr>
            <w:tcW w:w="2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40" w:type="dxa"/>
            <w:vAlign w:val="bottom"/>
            <w:vMerge w:val="continue"/>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Trains (1)</w:t>
            </w:r>
          </w:p>
        </w:tc>
        <w:tc>
          <w:tcPr>
            <w:tcW w:w="10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4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400" w:type="dxa"/>
            <w:vAlign w:val="bottom"/>
            <w:tcBorders>
              <w:bottom w:val="single" w:sz="8" w:color="auto"/>
            </w:tcBorders>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(MMcf/d)</w:t>
            </w:r>
          </w:p>
        </w:tc>
        <w:tc>
          <w:tcPr>
            <w:tcW w:w="6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(MMcf/d) (2)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Rocky Mountains</w:t>
            </w:r>
          </w:p>
        </w:tc>
        <w:tc>
          <w:tcPr>
            <w:tcW w:w="1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Meeker</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Piceance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Pioneer</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Wyoming</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Green River</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Chaco</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San Juan</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 Texas</w:t>
            </w:r>
          </w:p>
        </w:tc>
        <w:tc>
          <w:tcPr>
            <w:tcW w:w="1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Yoakum</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Thompsonville</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Shoup</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Armstrong</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San Martin</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Eagle Ford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Sonora</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Strawn</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 Basin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Orla</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Mentone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South Eddy</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Waha</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Chaparral</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Midland Basin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Poseidon</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Newberry</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Leiker</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Trident</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Taylor</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Midland</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Louisiana and Mississippi</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Pascagoula</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Gulf of Mexico</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720" w:type="dxa"/>
            <w:vAlign w:val="bottom"/>
            <w:shd w:val="clear" w:color="auto" w:fill="CCEEFF"/>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Neptune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7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Gulf of Mexico</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72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Venice</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7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Gulf of Mexico</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720" w:type="dxa"/>
            <w:vAlign w:val="bottom"/>
            <w:shd w:val="clear" w:color="auto" w:fill="CCEEFF"/>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Carthage</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Bulldog</w:t>
            </w:r>
          </w:p>
        </w:tc>
        <w:tc>
          <w:tcPr>
            <w:tcW w:w="1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Cotton Valley</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Panola</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Cotton Valley</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Pr>
          <w:p>
            <w:pPr>
              <w:spacing w:after="0"/>
              <w:rPr>
                <w:sz w:val="12"/>
                <w:szCs w:val="12"/>
                <w:color w:val="auto"/>
              </w:rPr>
            </w:pPr>
          </w:p>
        </w:tc>
        <w:tc>
          <w:tcPr>
            <w:tcW w:w="6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40" w:type="dxa"/>
            <w:vAlign w:val="bottom"/>
            <w:tcBorders>
              <w:bottom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Indian Springs</w:t>
            </w:r>
          </w:p>
        </w:tc>
        <w:tc>
          <w:tcPr>
            <w:tcW w:w="17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Borders>
              <w:bottom w:val="single" w:sz="8" w:color="CCEEFF"/>
            </w:tcBorders>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rPr>
              <w:t>Wilcox-Woodbine</w:t>
            </w:r>
          </w:p>
        </w:tc>
        <w:tc>
          <w:tcPr>
            <w:tcW w:w="6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720" w:type="dxa"/>
            <w:vAlign w:val="bottom"/>
            <w:tcBorders>
              <w:bottom w:val="single" w:sz="8" w:color="CCEEFF"/>
            </w:tcBorders>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0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0"/>
        </w:trPr>
        <w:tc>
          <w:tcPr>
            <w:tcW w:w="2040" w:type="dxa"/>
            <w:vAlign w:val="bottom"/>
            <w:tcBorders>
              <w:bottom w:val="single" w:sz="8" w:color="CCEEFF"/>
            </w:tcBorders>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98"/>
              </w:rPr>
              <w:t>10,172</w:t>
            </w:r>
          </w:p>
        </w:tc>
        <w:tc>
          <w:tcPr>
            <w:tcW w:w="15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11,320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line="233"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natural gas processing assets is comprised of one or more natural gas processing units (referred to as “processing trains”) that are available to handle unprocessed natural gas delivered to each facility. The nameplate capacity of each processing train will vary.</w:t>
      </w:r>
    </w:p>
    <w:p>
      <w:pPr>
        <w:ind w:left="460" w:hanging="452"/>
        <w:spacing w:after="0" w:line="221"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gas processing capacity represents the combined nameplate processing capacity of all processing trains at each facility. Actual processing capacity may differ from nameplate processing capacity due to multiple factors including items such as compression limitations, and quality and composition of the gas being processed.</w:t>
      </w:r>
    </w:p>
    <w:p>
      <w:pPr>
        <w:ind w:left="460" w:hanging="452"/>
        <w:spacing w:after="0" w:line="221"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75% consolidated interest in the Pascagoula facility through our majority owned subsidiary, Pascagoula Gas Processing LLC.</w:t>
      </w:r>
    </w:p>
    <w:p>
      <w:pPr>
        <w:ind w:left="460" w:hanging="452"/>
        <w:spacing w:after="0" w:line="221"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undivided interests in these operating assets.</w:t>
      </w:r>
    </w:p>
    <w:p>
      <w:pPr>
        <w:ind w:left="460" w:hanging="452"/>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13.1% ownership in Venice is held indirectly through our equity method investment in Venice Energy Services Company, L.L.C.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all of our natural gas processing assets except for Venice. On a weighted-average basis, utilization rates for our natural gas processing facilities were approximately 69.6%, 66.5% and 58.1% during the years ended December 31, 2023, 2022 and 2021, respectively.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Midland Basin natural gas processing. </w:t>
      </w:r>
      <w:r>
        <w:rPr>
          <w:rFonts w:ascii="Times New Roman" w:cs="Times New Roman" w:eastAsia="Times New Roman" w:hAnsi="Times New Roman"/>
          <w:sz w:val="18"/>
          <w:szCs w:val="18"/>
          <w:color w:val="auto"/>
        </w:rPr>
        <w:t>Our natural gas processing assets that support customer production in the Midland Basin consist of six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trains, which include four natural gas processing trains that we acquired in February 2022, a fifth natural gas processing train (“Leiker”), which we completed construction of and placed into service in March 2022, and a sixth natural gas processing train (“Poseidon”), which we completed construction of and placed into service in July 2023. For more information regarding the acquisition described above, see Note 12 of the Notes to Consolidated Financial Statements under Part II, Item 8 of this annual report.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increasing production, we are constructing a seventh natural gas processing train (“Leonidas”) and eighth natural gas processing train (“Orion”), which are expected to be placed into service in the first quarter of 2024 and second half of 2025, respectively. Each of these trains will have the capacity to process 300 MMcf/d of natural gas and extract over 40 MBPD of NGLs and is supported by long-term acreage dedication agreements.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Basin natural gas processing. </w:t>
      </w:r>
      <w:r>
        <w:rPr>
          <w:rFonts w:ascii="Times New Roman" w:cs="Times New Roman" w:eastAsia="Times New Roman" w:hAnsi="Times New Roman"/>
          <w:sz w:val="18"/>
          <w:szCs w:val="18"/>
          <w:color w:val="auto"/>
        </w:rPr>
        <w:t>Our natural gas processing assets that support customer production in the Delaware Basin consist of eight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processing trains, including a second natural gas processing train at Mentone, which was placed into service in October 2023.</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increasing production, we are constructing an additional natural gas processing train at Mentone and another natural gas processing train at our Mentone West location, which are expected to be placed into service in the first quarter of 2024 and the second half of 2025. Each of these natural gas processing trains will have the capacity to process 300 MMcf/d of natural gas and extract over 40 MBPD of NGLs and are supported by long-term acreage dedication agreements and minimum volume commitments.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NGL marketing activities utilize a fleet of approximately 510 railcars, the majority of which are leased from third parties. These railcars are used to deliver feedstocks to our facilities and to distribute NGLs throughout the U.S. and parts of Canada. We have rail loading and unloading capabilities at certain of our terminal facilities in Arizona, Kansas, Louisiana, Minnesota, Mississippi, New York, North Carolina and Texas. These facilities service both our rail shipments and those of our customers. Our NGL marketing activities also utilize a fleet of approximately 160 tractor-trailer tank trucks that are used to transport LPG for us and on behalf of third parties. We lease and operate the majority of these trucks.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pipelines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NGL pipelines transport mixed NGLs from natural gas processing facilities, refineries and marine terminals to downstream fractionation plants and storage facilities; gather and distribute purity NGL products to and from fractionation plants, storage and terminal facilities, petrochemical plants, refineries and export facilities; and deliver propane and ethane to destinations along our pipeline systems.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from our NGL pipelines are primarily dependent upon the volume of NGLs transported (or capacity reserved) and the associated fees we charge for such transportation services. Transportation fees charged to shippers are based on either tariffs regulated by governmental agencies, including the Federal Energy Regulatory Commission (“FERC”), or contractual arrangements.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for information regarding governmental regulation of our liquids pipelines.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NGL pipelines at February 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Pipeline</w:t>
            </w:r>
          </w:p>
        </w:tc>
        <w:tc>
          <w:tcPr>
            <w:tcW w:w="0" w:type="dxa"/>
            <w:vAlign w:val="bottom"/>
          </w:tcPr>
          <w:p>
            <w:pPr>
              <w:spacing w:after="0"/>
              <w:rPr>
                <w:sz w:val="1"/>
                <w:szCs w:val="1"/>
                <w:color w:val="auto"/>
              </w:rPr>
            </w:pPr>
          </w:p>
        </w:tc>
      </w:tr>
      <w:tr>
        <w:trPr>
          <w:trHeight w:val="174"/>
        </w:trPr>
        <w:tc>
          <w:tcPr>
            <w:tcW w:w="42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3800" w:type="dxa"/>
            <w:vAlign w:val="bottom"/>
            <w:vMerge w:val="restart"/>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80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auto"/>
            </w:tcBorders>
            <w:vMerge w:val="continue"/>
          </w:tcPr>
          <w:p>
            <w:pPr>
              <w:spacing w:after="0"/>
              <w:rPr>
                <w:sz w:val="15"/>
                <w:szCs w:val="15"/>
                <w:color w:val="auto"/>
              </w:rPr>
            </w:pPr>
          </w:p>
        </w:tc>
        <w:tc>
          <w:tcPr>
            <w:tcW w:w="380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(Miles)</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Mid-America Pipeline System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Midwest and Western U.S.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7,850</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South Texas NGL Pipeline System</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Dixie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South and Southeastern U.S.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Seminole NGL Pipeline (1)</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ATEX (1)</w:t>
            </w:r>
          </w:p>
        </w:tc>
        <w:tc>
          <w:tcPr>
            <w:tcW w:w="3800" w:type="dxa"/>
            <w:vAlign w:val="bottom"/>
            <w:shd w:val="clear" w:color="auto" w:fill="CCEEFF"/>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Texas to Midwest and Northeast U.S.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Chaparral NGL System</w:t>
            </w:r>
          </w:p>
        </w:tc>
        <w:tc>
          <w:tcPr>
            <w:tcW w:w="380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Texas, New Mexico</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Louisiana Pipeline System (1)</w:t>
            </w:r>
          </w:p>
        </w:tc>
        <w:tc>
          <w:tcPr>
            <w:tcW w:w="3800" w:type="dxa"/>
            <w:vAlign w:val="bottom"/>
            <w:shd w:val="clear" w:color="auto" w:fill="CCEEFF"/>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Shin Oak NGL Pipeline</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Texas Express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Skelly-Belvieu Pipeline (1)</w:t>
            </w:r>
          </w:p>
        </w:tc>
        <w:tc>
          <w:tcPr>
            <w:tcW w:w="380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Texas, Oklahoma</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Front Range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Colorado, Oklahoma, 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Houston Ship Channel Pipeline System</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Panola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Rio Grande Pipeline (1)</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Aegis Ethane Pipeline (1)</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Lou-Tex NGL Pipeline (1)</w:t>
            </w:r>
          </w:p>
        </w:tc>
        <w:tc>
          <w:tcPr>
            <w:tcW w:w="380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Promix NGL Gathering System</w:t>
            </w:r>
          </w:p>
        </w:tc>
        <w:tc>
          <w:tcPr>
            <w:tcW w:w="3800" w:type="dxa"/>
            <w:vAlign w:val="bottom"/>
            <w:shd w:val="clear" w:color="auto" w:fill="CCEEFF"/>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Tri-States NGL Pipeline (1)</w:t>
            </w:r>
          </w:p>
        </w:tc>
        <w:tc>
          <w:tcPr>
            <w:tcW w:w="380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rPr>
              <w:t>Alabama, Mississippi, Louisiana</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Texas Express Gathering System</w:t>
            </w:r>
          </w:p>
        </w:tc>
        <w:tc>
          <w:tcPr>
            <w:tcW w:w="380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56"/>
        </w:trPr>
        <w:tc>
          <w:tcPr>
            <w:tcW w:w="4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Others (nine systems) (2)</w:t>
            </w:r>
          </w:p>
        </w:tc>
        <w:tc>
          <w:tcPr>
            <w:tcW w:w="3800" w:type="dxa"/>
            <w:vAlign w:val="bottom"/>
            <w:tcBorders>
              <w:bottom w:val="single" w:sz="8" w:color="CCEEFF"/>
            </w:tcBorders>
          </w:tcPr>
          <w:p>
            <w:pPr>
              <w:jc w:val="center"/>
              <w:ind w:left="768"/>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800" w:type="dxa"/>
            <w:vAlign w:val="bottom"/>
            <w:tcBorders>
              <w:bottom w:val="single" w:sz="8" w:color="CCEEFF"/>
            </w:tcBorders>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Various (11)</w:t>
            </w:r>
          </w:p>
        </w:tc>
        <w:tc>
          <w:tcPr>
            <w:tcW w:w="1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201"/>
        </w:trPr>
        <w:tc>
          <w:tcPr>
            <w:tcW w:w="420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8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20,081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Interstate transportation services provided on these liquids pipelines, in whole or part, are regulated by federal governmental agencies.</w:t>
      </w:r>
    </w:p>
    <w:p>
      <w:pPr>
        <w:spacing w:after="0" w:line="3" w:lineRule="exact"/>
        <w:rPr>
          <w:rFonts w:ascii="Times New Roman" w:cs="Times New Roman" w:eastAsia="Times New Roman" w:hAnsi="Times New Roman"/>
          <w:sz w:val="14"/>
          <w:szCs w:val="14"/>
          <w:color w:val="auto"/>
        </w:rPr>
      </w:pPr>
    </w:p>
    <w:p>
      <w:pPr>
        <w:jc w:val="both"/>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Belle Rose and Wilprise pipelines located in the coastal regions of Louisiana; two pipelines located near Port Arthur in southeast Texas; our San Jacinto pipeline located in East Texas; our Permian NGL lateral pipelines located in New Mexico; Leveret pipeline in West Texas and New Mexico; Enterprise Ethane Pipeline in Texas; and a pipeline in Colorado associated with our Meeker facility. Transportation services provided on the Wilprise and Leveret pipelines are regulated by federal governmental agencies.</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67% consolidated interest in the Shin Oak NGL Pipeline through our majority owned subsidiary, Breviloba,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35% ownership interest in the Texas Express Pipeline is held indirectly through our equity method investment in Texas Express Pipeline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Skelly-Belvieu Pipeline is held indirectly through our equity method investment in Skelly-Belvieu Pipeline Company,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33.3% ownership interest in the Front Range Pipeline is held indirectly through our equity method investment in Front Range Pipeline LLC.</w:t>
      </w:r>
    </w:p>
    <w:p>
      <w:pPr>
        <w:jc w:val="both"/>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55% consolidated interest in the Panola Pipeline through our majority owned subsidiary, Panola Pipeline Company, LLC (“Panola”). On February 16, 2024, an affiliate of Enterprise entered into a definitive agreement to acquire additional equity interests in Panola. For more information, see Note 20 of the Notes to Consolidated Financial Statements under Part II, Item 8 of this annual report.</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Promix NGL Gathering System is held indirectly through our equity method investment in K/D/S Promix,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an 83.3% consolidated interest in the Tri-States NGL Pipeline through our majority owned subsidiary, Tri-States NGL Pipeline, L.L.C.</w:t>
      </w:r>
    </w:p>
    <w:p>
      <w:pPr>
        <w:ind w:left="520" w:hanging="512"/>
        <w:spacing w:after="0" w:line="22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45% ownership interest in the Texas Express Gathering System is held indirectly through our equity method investment in Texas Express Gathering LLC.</w:t>
      </w:r>
    </w:p>
    <w:p>
      <w:pPr>
        <w:ind w:left="520" w:hanging="51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50% undivided interest in a 45-mile segment of the Port Arthur pipelines. The remainder of these NGL pipelines are wholly owned.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NGL pipelines can transport depends on the operating rates achieved at a given point in time between various segments of each system (e.g., demand levels at each injection and delivery point and the mix of products being transported). As a result, we measure the utilization rates of our NGL pipelines in terms of net throughput, which is based on our ownership interest. In the aggregate, net throughput volumes for these pipelines were 4,040 MBPD, 3,703 MBPD and 3,412 MBPD during the years ended December 31, 2023, 2022 and 2021, respectively.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operate our NGL pipelines with the exception of the Texas Express Gathering System. The following information describes our principal NGL pipelines:</w:t>
      </w:r>
    </w:p>
    <w:p>
      <w:pPr>
        <w:spacing w:after="0" w:line="160" w:lineRule="exact"/>
        <w:rPr>
          <w:sz w:val="20"/>
          <w:szCs w:val="20"/>
          <w:color w:val="auto"/>
        </w:rPr>
      </w:pPr>
    </w:p>
    <w:p>
      <w:pPr>
        <w:jc w:val="both"/>
        <w:ind w:left="500" w:hanging="330"/>
        <w:spacing w:after="0" w:line="238"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Mid-America Pipeline System</w:t>
      </w:r>
      <w:r>
        <w:rPr>
          <w:rFonts w:ascii="Times New Roman" w:cs="Times New Roman" w:eastAsia="Times New Roman" w:hAnsi="Times New Roman"/>
          <w:sz w:val="18"/>
          <w:szCs w:val="18"/>
          <w:color w:val="auto"/>
        </w:rPr>
        <w:t xml:space="preserve"> is an NGL pipeline system consisting of the 3,111-mile Rocky Mountain pipeline, the 2,020-mile Conway North pipeline, the 628-mile Ethane-Propane (“EP”) Mix pipeline, and the 2,091-mile Conway South pipeline. The Rocky Mountain pipeline transports mixed NGLs from production fields located in the Rocky Mountain Overthrust and San Juan Basin to the Hobbs NGL hub located on the Texas-New Mexico border. The Conway North segment links the NGL hub at Conway, Kansas to refineries, petrochemical plants and propane markets in the upper Midwest. NGL hubs provide buyers and sellers with a centralized location for the storage and pricing of products, while also providing connections to intrastate and/or interstate pipelines. The EP Mix segment transports EP mix from the Conway hub to petrochemical plants in Iowa and Illinois. The Conway South pipeline connects the Conway hub with Kansas refineries and provides bi-directional transportation of NGLs between the Conway and Hobbs hubs. At the Hobbs NGL hub, the Mid-America Pipeline System interconnects with our Seminole NGL Pipeline and Hobbs NGL fractionation and storage facility. The Mid-America Pipeline System is also connected to 18 non-regulated NGL terminals, 17 of which we own and operate.</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61"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anticipation of our Texas Western Products System, a wholly owned subsidiary has leased capacity on 679 miles of the Rocky Mountain pipeline to transport refined products from our Permian Basin Terminal in West Texas to terminals located in New Mexico and Utah. See “</w:t>
      </w:r>
      <w:r>
        <w:rPr>
          <w:rFonts w:ascii="Times New Roman" w:cs="Times New Roman" w:eastAsia="Times New Roman" w:hAnsi="Times New Roman"/>
          <w:sz w:val="18"/>
          <w:szCs w:val="18"/>
          <w:i w:val="1"/>
          <w:iCs w:val="1"/>
          <w:color w:val="auto"/>
        </w:rPr>
        <w:t>Petrochemicals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Refined Products Services Segment – Refined Products Pipelines</w:t>
      </w:r>
      <w:r>
        <w:rPr>
          <w:rFonts w:ascii="Times New Roman" w:cs="Times New Roman" w:eastAsia="Times New Roman" w:hAnsi="Times New Roman"/>
          <w:sz w:val="18"/>
          <w:szCs w:val="18"/>
          <w:color w:val="auto"/>
        </w:rPr>
        <w:t>” within this Part I, Items 1 and 2 for additional information regarding the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Western Products System.</w:t>
      </w:r>
    </w:p>
    <w:p>
      <w:pPr>
        <w:spacing w:after="0" w:line="177" w:lineRule="exact"/>
        <w:rPr>
          <w:rFonts w:ascii="Times New Roman" w:cs="Times New Roman" w:eastAsia="Times New Roman" w:hAnsi="Times New Roman"/>
          <w:sz w:val="29"/>
          <w:szCs w:val="29"/>
          <w:color w:val="auto"/>
          <w:vertAlign w:val="superscript"/>
        </w:rPr>
      </w:pPr>
    </w:p>
    <w:p>
      <w:pPr>
        <w:jc w:val="both"/>
        <w:ind w:left="500" w:hanging="330"/>
        <w:spacing w:after="0" w:line="230"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South Texas NGL Pipeline System</w:t>
      </w:r>
      <w:r>
        <w:rPr>
          <w:rFonts w:ascii="Times New Roman" w:cs="Times New Roman" w:eastAsia="Times New Roman" w:hAnsi="Times New Roman"/>
          <w:sz w:val="18"/>
          <w:szCs w:val="18"/>
          <w:color w:val="auto"/>
        </w:rPr>
        <w:t xml:space="preserve"> is a network of NGL gathering and transportation pipelines located in South Texas that gather and transport mixed NGLs from natural gas processing facilities (owned by either us or third parties) to our NGL fractionators located in South Texas and in Chambers County, Texas. In addition, this system transports purity NGL products from our South Texas NGL fractionators to refineries and petrochemical plants located between Corpus Christi, Texas and Houston, Texas and within the Texas City-Houston area, as well as to interconnects with other NGL pipelines and to our Chambers County storage complex. The South Texas NGL Pipeline System extends our ethane header system from Chambers County, Texas to Corpus Christi, Texas.</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Dixie Pipeline</w:t>
      </w:r>
      <w:r>
        <w:rPr>
          <w:rFonts w:ascii="Times New Roman" w:cs="Times New Roman" w:eastAsia="Times New Roman" w:hAnsi="Times New Roman"/>
          <w:sz w:val="18"/>
          <w:szCs w:val="18"/>
          <w:color w:val="auto"/>
        </w:rPr>
        <w:t xml:space="preserve"> transports propane and other NGLs from locations in southeast Texas, south Louisiana and Mississippi to markets in the southeastern U.S. The Dixie Pipeline operates in seven states: Alabama, Georgia, Louisiana, Mississippi, North Carolina, South Carolina and Texas, and is connected to eight non-regulated propane terminals that we own and operate.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Appalachia-to-Texas Express, or </w:t>
      </w:r>
      <w:r>
        <w:rPr>
          <w:rFonts w:ascii="Times New Roman" w:cs="Times New Roman" w:eastAsia="Times New Roman" w:hAnsi="Times New Roman"/>
          <w:sz w:val="18"/>
          <w:szCs w:val="18"/>
          <w:i w:val="1"/>
          <w:iCs w:val="1"/>
          <w:color w:val="auto"/>
        </w:rPr>
        <w:t>ATEX</w:t>
      </w:r>
      <w:r>
        <w:rPr>
          <w:rFonts w:ascii="Times New Roman" w:cs="Times New Roman" w:eastAsia="Times New Roman" w:hAnsi="Times New Roman"/>
          <w:sz w:val="18"/>
          <w:szCs w:val="18"/>
          <w:color w:val="auto"/>
        </w:rPr>
        <w:t>, pipeline transports ethane in southbound service from third-party owned NGL fractionation plants located in Ohio, Pennsylvania and West Virginia to our Chambers County storage complex. Ethane originating at these fractionation facilities is sourced from the Marcellus and Utica Shale production areas. ATEX operates in nine states: Arkansas, Illinois, Indiana, Louisiana, Missouri, Ohio, Pennsylvania, Texas and West Virginia.</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Chaparral NGL System</w:t>
      </w:r>
      <w:r>
        <w:rPr>
          <w:rFonts w:ascii="Times New Roman" w:cs="Times New Roman" w:eastAsia="Times New Roman" w:hAnsi="Times New Roman"/>
          <w:sz w:val="18"/>
          <w:szCs w:val="18"/>
          <w:color w:val="auto"/>
        </w:rPr>
        <w:t xml:space="preserve"> transports mixed NGLs from natural gas processing facilities located in West Texas and New Mexico to interconnects with our NGL pipelines, which will have destinations at our facilities in Chambers County, Texas. This system consists of the 901-mile Chaparral Pipeline and the 179-mile Quanah Pipeline. Intrastate transportation services provided on the Chaparral Pipeline are regulated; however, transportation services provided by the Quanah pipeline are not.</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57"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anticipation of our Texas Western Products System, a wholly owned subsidiary has leased capacity on 481 miles of the Chaparral Pipeline to facilitate movements of refined products from our storage complex in Chambers County, TX to a connection with our Seminole NGL Pipeline in Martin County, TX where it will continue to our Permian Basin Terminal in West Texas. See “</w:t>
      </w:r>
      <w:r>
        <w:rPr>
          <w:rFonts w:ascii="Times New Roman" w:cs="Times New Roman" w:eastAsia="Times New Roman" w:hAnsi="Times New Roman"/>
          <w:sz w:val="18"/>
          <w:szCs w:val="18"/>
          <w:i w:val="1"/>
          <w:iCs w:val="1"/>
          <w:color w:val="auto"/>
        </w:rPr>
        <w:t>Petrochemicals &amp; Refined Products Services Segment</w:t>
      </w:r>
    </w:p>
    <w:p>
      <w:pPr>
        <w:spacing w:after="0" w:line="1" w:lineRule="exact"/>
        <w:rPr>
          <w:rFonts w:ascii="Times New Roman" w:cs="Times New Roman" w:eastAsia="Times New Roman" w:hAnsi="Times New Roman"/>
          <w:sz w:val="29"/>
          <w:szCs w:val="29"/>
          <w:color w:val="auto"/>
          <w:vertAlign w:val="superscript"/>
        </w:rPr>
      </w:pPr>
    </w:p>
    <w:p>
      <w:pPr>
        <w:ind w:left="50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 Refined Products Pipelines</w:t>
      </w:r>
      <w:r>
        <w:rPr>
          <w:rFonts w:ascii="Times New Roman" w:cs="Times New Roman" w:eastAsia="Times New Roman" w:hAnsi="Times New Roman"/>
          <w:sz w:val="18"/>
          <w:szCs w:val="18"/>
          <w:color w:val="auto"/>
        </w:rPr>
        <w:t>” within this Part I, Items 1 and 2 for additional information regarding the Texas Western Products System.</w:t>
      </w:r>
    </w:p>
    <w:p>
      <w:pPr>
        <w:spacing w:after="0" w:line="204"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Louisiana Pipeline System</w:t>
      </w:r>
      <w:r>
        <w:rPr>
          <w:rFonts w:ascii="Times New Roman" w:cs="Times New Roman" w:eastAsia="Times New Roman" w:hAnsi="Times New Roman"/>
          <w:sz w:val="18"/>
          <w:szCs w:val="18"/>
          <w:color w:val="auto"/>
        </w:rPr>
        <w:t xml:space="preserve"> is a network of NGL pipelines that transport NGLs originating in Louisiana and Texas to refineries and petrochemical plants located along the Mississippi River corridor in southern Louisiana. This system also provides transportation services for our natural gas processing facilities, NGL fractionators and other assets located in Louisiana.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left="500" w:hanging="330"/>
        <w:spacing w:after="0" w:line="214"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Seminole NGL Pipeline</w:t>
      </w:r>
      <w:r>
        <w:rPr>
          <w:rFonts w:ascii="Times New Roman" w:cs="Times New Roman" w:eastAsia="Times New Roman" w:hAnsi="Times New Roman"/>
          <w:sz w:val="18"/>
          <w:szCs w:val="18"/>
          <w:color w:val="auto"/>
        </w:rPr>
        <w:t xml:space="preserve"> transports NGLs from the Hobbs hub and the Permian Basin to markets in southeast Texas, including our Chambers County NGL fractionation complex. NGLs originating on the Mid-America Pipeline System are a significant source of throughput for the Seminole NGL Pipeline.</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61"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January 2024, the 378-mile Midland-to-Sealy segment of the Midland-to-ECHO 2 pipeline was converted from crude oil service back to NGL service (as part of our Seminole NGL Pipeline) in order to provide incremental NGL transportation service until construction of the Bahia NGL Pipeline is complete. We retain the flexibility to keep this pipeline in NGL service or convert it to crude oil or other liquid hydrocarbons service depending on future market conditions.</w:t>
      </w:r>
    </w:p>
    <w:p>
      <w:pPr>
        <w:spacing w:after="0" w:line="179" w:lineRule="exact"/>
        <w:rPr>
          <w:rFonts w:ascii="Times New Roman" w:cs="Times New Roman" w:eastAsia="Times New Roman" w:hAnsi="Times New Roman"/>
          <w:sz w:val="29"/>
          <w:szCs w:val="29"/>
          <w:color w:val="auto"/>
          <w:vertAlign w:val="superscript"/>
        </w:rPr>
      </w:pPr>
    </w:p>
    <w:p>
      <w:pPr>
        <w:jc w:val="both"/>
        <w:ind w:left="500"/>
        <w:spacing w:after="0" w:line="261"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Additionally, in anticipation of our Texas Western Products System, a wholly owned subsidiary has leased capacity on 65 miles of our Seminole NGL Pipeline to facilitate movements of refined products from a connection with our Chaparral Pipeline in Martin County, TX to our Permian Basin Terminal in West Texas. See “</w:t>
      </w:r>
      <w:r>
        <w:rPr>
          <w:rFonts w:ascii="Times New Roman" w:cs="Times New Roman" w:eastAsia="Times New Roman" w:hAnsi="Times New Roman"/>
          <w:sz w:val="18"/>
          <w:szCs w:val="18"/>
          <w:i w:val="1"/>
          <w:iCs w:val="1"/>
          <w:color w:val="auto"/>
        </w:rPr>
        <w:t>Petrochemicals &amp; Refined Products Services Segment – Refined Products Pipelines</w:t>
      </w:r>
      <w:r>
        <w:rPr>
          <w:rFonts w:ascii="Times New Roman" w:cs="Times New Roman" w:eastAsia="Times New Roman" w:hAnsi="Times New Roman"/>
          <w:sz w:val="18"/>
          <w:szCs w:val="18"/>
          <w:color w:val="auto"/>
        </w:rPr>
        <w:t>” within this Part I, Items 1 and 2 for additional information regarding the Texas Western Products System.</w:t>
      </w:r>
    </w:p>
    <w:p>
      <w:pPr>
        <w:spacing w:after="0" w:line="17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Shin Oak NGL Pipeline</w:t>
      </w:r>
      <w:r>
        <w:rPr>
          <w:rFonts w:ascii="Times New Roman" w:cs="Times New Roman" w:eastAsia="Times New Roman" w:hAnsi="Times New Roman"/>
          <w:sz w:val="18"/>
          <w:szCs w:val="18"/>
          <w:color w:val="auto"/>
        </w:rPr>
        <w:t xml:space="preserve"> transports NGL production from Orla, Texas in the Permian Basin to our Chambers County NGL fractionation and storage complex.</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7"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Texas Express Pipeline</w:t>
      </w:r>
      <w:r>
        <w:rPr>
          <w:rFonts w:ascii="Times New Roman" w:cs="Times New Roman" w:eastAsia="Times New Roman" w:hAnsi="Times New Roman"/>
          <w:sz w:val="18"/>
          <w:szCs w:val="18"/>
          <w:color w:val="auto"/>
        </w:rPr>
        <w:t xml:space="preserve"> extends from Skellytown, Texas to our Chambers County NGL fractionation and storage complex. Mixed NGLs from production fields located in the Rocky Mountains, Permian Basin and Mid-Continent regions are delivered to the Texas Express Pipeline via an interconnect with our Mid-America Pipeline System near Skellytown. In addition, the Texas Express Pipeline transports mixed NGLs gathered by the Texas Express Gathering System. Also, mixed NGLs originating from the Denver-Julesburg (“DJ”) Basin in Colorado are transported to the Texas Express Pipeline using the Front Range Pipeline.</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Skelly-Belvieu Pipeline</w:t>
      </w:r>
      <w:r>
        <w:rPr>
          <w:rFonts w:ascii="Times New Roman" w:cs="Times New Roman" w:eastAsia="Times New Roman" w:hAnsi="Times New Roman"/>
          <w:sz w:val="18"/>
          <w:szCs w:val="18"/>
          <w:color w:val="auto"/>
        </w:rPr>
        <w:t xml:space="preserve"> transports mixed NGLs from Skellytown, Texas to Chambers County, Texas. The Skelly-Belvieu Pipeline receives a significant quantity of NGLs through an interconnect with our Mid-America Pipeline System at Skellytown.</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Front Range Pipeline</w:t>
      </w:r>
      <w:r>
        <w:rPr>
          <w:rFonts w:ascii="Times New Roman" w:cs="Times New Roman" w:eastAsia="Times New Roman" w:hAnsi="Times New Roman"/>
          <w:sz w:val="18"/>
          <w:szCs w:val="18"/>
          <w:color w:val="auto"/>
        </w:rPr>
        <w:t xml:space="preserve"> transports mixed NGLs from natural gas processing facilities located in the DJ Basin in Colorado to an interconnect with our Texas Express Pipeline, Mid-America Pipeline System and other third-party facilities located at Skellytown, Texas.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Houston Ship Channel Pipeline System</w:t>
      </w:r>
      <w:r>
        <w:rPr>
          <w:rFonts w:ascii="Times New Roman" w:cs="Times New Roman" w:eastAsia="Times New Roman" w:hAnsi="Times New Roman"/>
          <w:sz w:val="18"/>
          <w:szCs w:val="18"/>
          <w:color w:val="auto"/>
        </w:rPr>
        <w:t xml:space="preserve"> connects our Chambers County, Texas assets to our marine terminals on the Houston Ship Channel and to area petrochemical plants, refineries and other pipelines.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Panola Pipeline</w:t>
      </w:r>
      <w:r>
        <w:rPr>
          <w:rFonts w:ascii="Times New Roman" w:cs="Times New Roman" w:eastAsia="Times New Roman" w:hAnsi="Times New Roman"/>
          <w:sz w:val="18"/>
          <w:szCs w:val="18"/>
          <w:color w:val="auto"/>
        </w:rPr>
        <w:t xml:space="preserve"> transports mixed NGLs from injection points near Carthage, Texas to Chambers County, Texas and supports the Haynesville and Cotton Valley crude oil and natural gas production areas.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Rio Grande Pipeline</w:t>
      </w:r>
      <w:r>
        <w:rPr>
          <w:rFonts w:ascii="Times New Roman" w:cs="Times New Roman" w:eastAsia="Times New Roman" w:hAnsi="Times New Roman"/>
          <w:sz w:val="18"/>
          <w:szCs w:val="18"/>
          <w:color w:val="auto"/>
        </w:rPr>
        <w:t xml:space="preserve"> transports mixed NGLs from near Odessa, Texas to a pipeline interconnect at the Mexican border south of El Paso, Texas.</w:t>
      </w:r>
    </w:p>
    <w:p>
      <w:pPr>
        <w:spacing w:after="0" w:line="195" w:lineRule="exact"/>
        <w:rPr>
          <w:rFonts w:ascii="Times New Roman" w:cs="Times New Roman" w:eastAsia="Times New Roman" w:hAnsi="Times New Roman"/>
          <w:sz w:val="29"/>
          <w:szCs w:val="29"/>
          <w:color w:val="auto"/>
          <w:vertAlign w:val="superscript"/>
        </w:rPr>
      </w:pPr>
    </w:p>
    <w:p>
      <w:pPr>
        <w:jc w:val="both"/>
        <w:ind w:left="500" w:right="20" w:hanging="330"/>
        <w:spacing w:after="0" w:line="214"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Aegis Ethane Pipeline</w:t>
      </w:r>
      <w:r>
        <w:rPr>
          <w:rFonts w:ascii="Times New Roman" w:cs="Times New Roman" w:eastAsia="Times New Roman" w:hAnsi="Times New Roman"/>
          <w:sz w:val="18"/>
          <w:szCs w:val="18"/>
          <w:color w:val="auto"/>
        </w:rPr>
        <w:t xml:space="preserve"> (“Aegis”) delivers purity ethane to petrochemical facilities located along the southeast Texas and Louisiana Gulf Coast. Aegis, when combined with our Enterprise Ethane Pipeline and a portion of our South Texas NGL Pipeline System, forms an ethane header system stretching from Corpus Christi, Texas to the Mississippi River in Louisiana.</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Lou-Tex NGL Pipeline</w:t>
      </w:r>
      <w:r>
        <w:rPr>
          <w:rFonts w:ascii="Times New Roman" w:cs="Times New Roman" w:eastAsia="Times New Roman" w:hAnsi="Times New Roman"/>
          <w:sz w:val="18"/>
          <w:szCs w:val="18"/>
          <w:color w:val="auto"/>
        </w:rPr>
        <w:t xml:space="preserve"> transports mixed NGLs, purity NGL products and refinery grade propylene (“RGP”) between the Louisiana and Texas markets.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Bahia NGL Pipeline. </w:t>
      </w:r>
      <w:r>
        <w:rPr>
          <w:rFonts w:ascii="Times New Roman" w:cs="Times New Roman" w:eastAsia="Times New Roman" w:hAnsi="Times New Roman"/>
          <w:sz w:val="18"/>
          <w:szCs w:val="18"/>
          <w:color w:val="auto"/>
        </w:rPr>
        <w:t>In October 2023, we announced plans to build the 550-mile Bahia NGL Pipeline to transport growing NGL production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Permian Basin to our NGL fractionation complex in Chambers County, Texas. The Bahia NGL Pipeline, which has a design capacity of 600 MBPD, will consist of a 24-inch diameter segment from the Delaware Basin where it will connect to a 30-inch diameter segment from the Midland Basin to Chambers County. This project is expected to be placed into service in the first half of 2025.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fractionation and related facilities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NGL fractionators separate mixed NGLs into purity NGL products for third-party customers and our NGL marketing activities. Mixed NGLs extracted by domestic natural gas processing facilities represent the largest source of volumes processed at our NGL fractionators. Based upon industry data, we believe that sufficient volumes of mixed NGLs, especially those originating from natural gas processing facilities located in West Texas, will be available for fractionation for the foreseeable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our NGL fractionation business are generally dependent upon the volume of mixed NGLs fractionated and the level of fractionation fees charged. Under fee-based fractionation contracts, customers retain title to the NGLs that we process for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NGL fractionation facilities at February 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Plant</w:t>
            </w: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Plant</w:t>
            </w:r>
          </w:p>
        </w:tc>
        <w:tc>
          <w:tcPr>
            <w:tcW w:w="0" w:type="dxa"/>
            <w:vAlign w:val="bottom"/>
          </w:tcPr>
          <w:p>
            <w:pPr>
              <w:spacing w:after="0"/>
              <w:rPr>
                <w:sz w:val="1"/>
                <w:szCs w:val="1"/>
                <w:color w:val="auto"/>
              </w:rPr>
            </w:pPr>
          </w:p>
        </w:tc>
      </w:tr>
      <w:tr>
        <w:trPr>
          <w:trHeight w:val="174"/>
        </w:trPr>
        <w:tc>
          <w:tcPr>
            <w:tcW w:w="474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240" w:type="dxa"/>
            <w:vAlign w:val="bottom"/>
            <w:vMerge w:val="restart"/>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xml:space="preserve">(MBPD) </w:t>
            </w:r>
            <w:r>
              <w:rPr>
                <w:rFonts w:ascii="Times New Roman" w:cs="Times New Roman" w:eastAsia="Times New Roman" w:hAnsi="Times New Roman"/>
                <w:sz w:val="14"/>
                <w:szCs w:val="14"/>
                <w:color w:val="auto"/>
              </w:rPr>
              <w:t>(1)</w:t>
            </w:r>
          </w:p>
        </w:tc>
        <w:tc>
          <w:tcPr>
            <w:tcW w:w="11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xml:space="preserve">(MBPD) </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fractionation facilities:</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Chambers County:</w:t>
            </w:r>
          </w:p>
        </w:tc>
        <w:tc>
          <w:tcPr>
            <w:tcW w:w="2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Fracs 1, 2 and 3</w:t>
            </w:r>
          </w:p>
        </w:tc>
        <w:tc>
          <w:tcPr>
            <w:tcW w:w="224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860" w:type="dxa"/>
            <w:vAlign w:val="bottom"/>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Fracs 4, 5, 6, 9, 10, 11 and 12</w:t>
            </w:r>
          </w:p>
        </w:tc>
        <w:tc>
          <w:tcPr>
            <w:tcW w:w="2240" w:type="dxa"/>
            <w:vAlign w:val="bottom"/>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56"/>
        </w:trPr>
        <w:tc>
          <w:tcPr>
            <w:tcW w:w="47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Fracs 7 and 8</w:t>
            </w:r>
          </w:p>
        </w:tc>
        <w:tc>
          <w:tcPr>
            <w:tcW w:w="2240" w:type="dxa"/>
            <w:vAlign w:val="bottom"/>
            <w:tcBorders>
              <w:bottom w:val="single" w:sz="8" w:color="CCEEFF"/>
            </w:tcBorders>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860" w:type="dxa"/>
            <w:vAlign w:val="bottom"/>
            <w:tcBorders>
              <w:bottom w:val="single" w:sz="8" w:color="CCEEFF"/>
            </w:tcBorders>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Chambers County</w:t>
            </w:r>
          </w:p>
        </w:tc>
        <w:tc>
          <w:tcPr>
            <w:tcW w:w="2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Shoup and Armstrong</w:t>
            </w:r>
          </w:p>
        </w:tc>
        <w:tc>
          <w:tcPr>
            <w:tcW w:w="224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Hobbs</w:t>
            </w:r>
          </w:p>
        </w:tc>
        <w:tc>
          <w:tcPr>
            <w:tcW w:w="2240" w:type="dxa"/>
            <w:vAlign w:val="bottom"/>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Norco</w:t>
            </w:r>
          </w:p>
        </w:tc>
        <w:tc>
          <w:tcPr>
            <w:tcW w:w="224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Promix</w:t>
            </w:r>
          </w:p>
        </w:tc>
        <w:tc>
          <w:tcPr>
            <w:tcW w:w="2240" w:type="dxa"/>
            <w:vAlign w:val="bottom"/>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60" w:type="dxa"/>
            <w:vAlign w:val="bottom"/>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Tebone</w:t>
            </w:r>
          </w:p>
        </w:tc>
        <w:tc>
          <w:tcPr>
            <w:tcW w:w="224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Pr>
          <w:p>
            <w:pPr>
              <w:spacing w:after="0"/>
              <w:rPr>
                <w:sz w:val="12"/>
                <w:szCs w:val="12"/>
                <w:color w:val="auto"/>
              </w:rPr>
            </w:pPr>
          </w:p>
        </w:tc>
        <w:tc>
          <w:tcPr>
            <w:tcW w:w="14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Baton Rouge</w:t>
            </w:r>
          </w:p>
        </w:tc>
        <w:tc>
          <w:tcPr>
            <w:tcW w:w="2240" w:type="dxa"/>
            <w:vAlign w:val="bottom"/>
            <w:tcBorders>
              <w:bottom w:val="single" w:sz="8" w:color="CCEEFF"/>
            </w:tcBorders>
            <w:shd w:val="clear" w:color="auto" w:fill="CCEEFF"/>
          </w:tcPr>
          <w:p>
            <w:pPr>
              <w:jc w:val="center"/>
              <w:ind w:left="100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60" w:type="dxa"/>
            <w:vAlign w:val="bottom"/>
            <w:tcBorders>
              <w:bottom w:val="single" w:sz="8" w:color="CCEEFF"/>
            </w:tcBorders>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6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6"/>
        </w:trPr>
        <w:tc>
          <w:tcPr>
            <w:tcW w:w="47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1,456</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line="233"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approximate net plant capacity does not necessarily correspond to our ownership interest in each facility. The capacity is based on a variety of factors such as the level of volumes an owner processes at the facility and contractual arrangements with joint owners.</w:t>
      </w:r>
    </w:p>
    <w:p>
      <w:pPr>
        <w:ind w:left="460" w:hanging="452"/>
        <w:spacing w:after="0" w:line="221"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plant capacity reflects nameplate capacity at our fractionation facilities. Actual fractionation capacity, which may routinely exceed nameplate capacity, can vary based on operating conditions including the composition of the NGLs being processed.</w:t>
      </w:r>
    </w:p>
    <w:p>
      <w:pPr>
        <w:ind w:left="460" w:hanging="452"/>
        <w:spacing w:after="0" w:line="221"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a 75% undivided interest in these fractionators.</w:t>
      </w:r>
    </w:p>
    <w:p>
      <w:pPr>
        <w:ind w:left="460" w:right="20" w:hanging="452"/>
        <w:spacing w:after="0" w:line="221"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75% consolidated equity interest in NGL fractionators 7 and 8 through our majority owned subsidiary, Enterprise EF78 LLC. On February 16, 2024, we acquired the remaining 25% equity interest in Enterprise EF78 LLC. For more information, see Note 20 of the Notes to Consolidated Financial Statements under Part II, Item 8 of this annual report.</w:t>
      </w:r>
    </w:p>
    <w:p>
      <w:pPr>
        <w:ind w:left="460" w:hanging="452"/>
        <w:spacing w:after="0" w:line="221"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Promix NGL fractionator is held indirectly through our equity method investment in K/D/S Promix, L.L.C.</w:t>
      </w:r>
    </w:p>
    <w:p>
      <w:pPr>
        <w:ind w:left="460" w:hanging="452"/>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32.2% ownership interest in the Baton Rouge fractionator is held indirectly through our equity method investment in Baton Rouge Fractionators LLC.</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 weighted-average basis, the overall utilization rates for our NGL fractionators (based on nameplate capacities) were 106.0%, 100.0% and 93.8% during the years ended December 31, 2023,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NGL fractionators, all of which we operate:</w:t>
      </w:r>
    </w:p>
    <w:p>
      <w:pPr>
        <w:spacing w:after="0" w:line="225" w:lineRule="exact"/>
        <w:rPr>
          <w:sz w:val="20"/>
          <w:szCs w:val="20"/>
          <w:color w:val="auto"/>
        </w:rPr>
      </w:pPr>
    </w:p>
    <w:p>
      <w:pPr>
        <w:jc w:val="both"/>
        <w:ind w:left="500" w:hanging="330"/>
        <w:spacing w:after="0" w:line="226" w:lineRule="auto"/>
        <w:tabs>
          <w:tab w:leader="none" w:pos="50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own and operate NGL fractionators located in Chambers County, Texas. These fractionators process mixed NGLs from several major NGL supply basins in North America, including the Permian Basin, Rocky Mountains, Eagle Ford Shale, Mid-Continent and San Juan Basin. Our Chambers County NGL fractionators are connected to our network of NGL supply and distribution pipelines, approximately 170 MMBbls of underground salt dome storage capacity, along with access to international markets through our marine terminals located on the Houston Ship Channel.</w:t>
      </w:r>
    </w:p>
    <w:p>
      <w:pPr>
        <w:spacing w:after="0" w:line="202" w:lineRule="exact"/>
        <w:rPr>
          <w:rFonts w:ascii="Times New Roman" w:cs="Times New Roman" w:eastAsia="Times New Roman" w:hAnsi="Times New Roman"/>
          <w:sz w:val="29"/>
          <w:szCs w:val="29"/>
          <w:color w:val="auto"/>
          <w:vertAlign w:val="superscript"/>
        </w:rPr>
      </w:pPr>
    </w:p>
    <w:p>
      <w:pPr>
        <w:ind w:left="500" w:right="20"/>
        <w:spacing w:after="0" w:line="282"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July 2023, our twelfth NGL fractionator (“Frac 12”) located in Chambers County, Texas was placed into service. The incremental 150 MBPD of nameplate capacity at Frac 12 brings our total Chambers County NGL fractionation capacity to approximately 1.2 MMBPD.</w:t>
      </w:r>
    </w:p>
    <w:p>
      <w:pPr>
        <w:spacing w:after="0" w:line="16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October 2023, we announced plans to construct NGL fractionator 14 (“Frac 14”) and an associated deisobutanizer (“DIB”) unit in Chambers County, Texas. Frac 14, which will have a design nameplate capacity of 150 MBPD, is expected to be capable of fractionating up to 195 MBPD of NGLs and enter service in the second half of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left="500" w:hanging="330"/>
        <w:spacing w:after="0" w:line="214" w:lineRule="auto"/>
        <w:tabs>
          <w:tab w:leader="none" w:pos="5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Shoup and Armstrong</w:t>
      </w:r>
      <w:r>
        <w:rPr>
          <w:rFonts w:ascii="Times New Roman" w:cs="Times New Roman" w:eastAsia="Times New Roman" w:hAnsi="Times New Roman"/>
          <w:sz w:val="18"/>
          <w:szCs w:val="18"/>
          <w:color w:val="auto"/>
        </w:rPr>
        <w:t xml:space="preserve"> NGL fractionators in South Texas process mixed NGLs supplied by regional natural gas processing facilities. Purity NGL products from these fractionators are transported to local markets in the Corpus Christi area and also to Chambers County, Texas using our South Texas NGL Pipeline System.</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Hobbs</w:t>
      </w:r>
      <w:r>
        <w:rPr>
          <w:rFonts w:ascii="Times New Roman" w:cs="Times New Roman" w:eastAsia="Times New Roman" w:hAnsi="Times New Roman"/>
          <w:sz w:val="18"/>
          <w:szCs w:val="18"/>
          <w:color w:val="auto"/>
        </w:rPr>
        <w:t xml:space="preserve"> NGL fractionator serves NGL producers in West Texas, New Mexico, Colorado and Wyoming. This fractionator receives mixed NGLs from several major supply basins, including the Mid-Continent, Permian Basin, San Juan Basin and Rocky Mountains. The facility is located at the interconnect of our Mid-America Pipeline System and Seminole NGL Pipeline, thus providing customers access to the Conway hub and Chambers County, Texas.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Norco</w:t>
      </w:r>
      <w:r>
        <w:rPr>
          <w:rFonts w:ascii="Times New Roman" w:cs="Times New Roman" w:eastAsia="Times New Roman" w:hAnsi="Times New Roman"/>
          <w:sz w:val="18"/>
          <w:szCs w:val="18"/>
          <w:color w:val="auto"/>
        </w:rPr>
        <w:t xml:space="preserve"> NGL fractionator receives mixed NGLs from refineries and natural gas processing facilities located in southern Louisiana and along the Mississippi and Alabama Gulf Coast, including our Pascagoula and Venice facilities.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and operate a 60 MBPD natural gasoline hydrotreater facility at our Chambers County complex along with related storage and pipeline infrastructure, which is designed to lower the sulfur content of natural gasoline.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and related product storage facilities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underground salt dome storage caverns and above-ground storage tanks to store mixed and purity NGLs, petrochemicals and related products that are owned by us and our customers. The results of operations from our storage facilities are dependent upon the level of storage capacity reserved by customers, the volume of product delivered into and withdrawn from storage, and the fees associated with each activity.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NGL and related product storage assets at February 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Usable</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0" w:type="dxa"/>
            <w:vAlign w:val="bottom"/>
          </w:tcPr>
          <w:p>
            <w:pPr>
              <w:spacing w:after="0"/>
              <w:rPr>
                <w:sz w:val="1"/>
                <w:szCs w:val="1"/>
                <w:color w:val="auto"/>
              </w:rPr>
            </w:pPr>
          </w:p>
        </w:tc>
      </w:tr>
      <w:tr>
        <w:trPr>
          <w:trHeight w:val="174"/>
        </w:trPr>
        <w:tc>
          <w:tcPr>
            <w:tcW w:w="5440" w:type="dxa"/>
            <w:vAlign w:val="bottom"/>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620" w:type="dxa"/>
            <w:vAlign w:val="bottom"/>
            <w:vMerge w:val="restart"/>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544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(MMBbls) </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Chambers County storage complex</w:t>
            </w:r>
          </w:p>
        </w:tc>
        <w:tc>
          <w:tcPr>
            <w:tcW w:w="2620" w:type="dxa"/>
            <w:vAlign w:val="bottom"/>
            <w:shd w:val="clear" w:color="auto" w:fill="CCEEFF"/>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Almeda and Markham (2)</w:t>
            </w:r>
          </w:p>
        </w:tc>
        <w:tc>
          <w:tcPr>
            <w:tcW w:w="262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Breaux Bridge, Anse La Butte and Sorrento (3)</w:t>
            </w:r>
          </w:p>
        </w:tc>
        <w:tc>
          <w:tcPr>
            <w:tcW w:w="2620" w:type="dxa"/>
            <w:vAlign w:val="bottom"/>
            <w:shd w:val="clear" w:color="auto" w:fill="CCEEFF"/>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Petal (4)</w:t>
            </w:r>
          </w:p>
        </w:tc>
        <w:tc>
          <w:tcPr>
            <w:tcW w:w="262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Hutchinson (5)</w:t>
            </w:r>
          </w:p>
        </w:tc>
        <w:tc>
          <w:tcPr>
            <w:tcW w:w="2620" w:type="dxa"/>
            <w:vAlign w:val="bottom"/>
            <w:shd w:val="clear" w:color="auto" w:fill="CCEEFF"/>
          </w:tcPr>
          <w:p>
            <w:pPr>
              <w:jc w:val="center"/>
              <w:ind w:left="1048"/>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55"/>
        </w:trPr>
        <w:tc>
          <w:tcPr>
            <w:tcW w:w="54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Others (6)</w:t>
            </w:r>
          </w:p>
        </w:tc>
        <w:tc>
          <w:tcPr>
            <w:tcW w:w="2620" w:type="dxa"/>
            <w:vAlign w:val="bottom"/>
            <w:tcBorders>
              <w:bottom w:val="single" w:sz="8" w:color="CCEEFF"/>
            </w:tcBorders>
          </w:tcPr>
          <w:p>
            <w:pPr>
              <w:jc w:val="center"/>
              <w:ind w:left="1068"/>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5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0"/>
        </w:trPr>
        <w:tc>
          <w:tcPr>
            <w:tcW w:w="544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6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usable storage capacity is based on our ownership interest or contractual right-of-use.</w:t>
      </w:r>
    </w:p>
    <w:p>
      <w:pPr>
        <w:spacing w:after="0" w:line="3" w:lineRule="exact"/>
        <w:rPr>
          <w:rFonts w:ascii="Times New Roman" w:cs="Times New Roman" w:eastAsia="Times New Roman" w:hAnsi="Times New Roman"/>
          <w:sz w:val="14"/>
          <w:szCs w:val="14"/>
          <w:color w:val="auto"/>
        </w:rPr>
      </w:pP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storage facilities are used in connection with our South Texas NGL Pipeline System.</w:t>
      </w: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storage facilities are used in connection with our Louisiana Pipeline System.</w:t>
      </w: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storage facility is used in connection with our Dixie Pipeline.</w:t>
      </w:r>
    </w:p>
    <w:p>
      <w:pPr>
        <w:ind w:left="580" w:hanging="572"/>
        <w:spacing w:after="0" w:line="221"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storage facility is used in connection with our Mid-America Pipeline System.</w:t>
      </w:r>
    </w:p>
    <w:p>
      <w:pPr>
        <w:ind w:left="580" w:hanging="572"/>
        <w:spacing w:after="0" w:line="239"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operational storage capacity for our major pipeline systems, including the Mid-America Pipeline System, Dixie Pipeline and TE Products Pipeline. We own substantially all of this storage capacity.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substantially all of our NGL and related product storage facilities.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underground storage facility is located in Chambers County, Texas. This facility consists of 37 underground salt dome caverns used to store and redeliver mixed and purity NGLs, petrochemicals and related products. This facility has an aggregate usable storage capacity of 169.5 MMBbls, a brine system with approximately 36 MMBbls of above-ground brine storage capacity and three wells used in brine production.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marine terminals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and operate marine terminals (export and import) that handle NGLs. The results of operations from our NGL marine terminals, all of which are located on the Houston Ship Channel, are primarily dependent upon the level of volumes handled (loading and unloading) and the associated fees we charge for such services.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Houston Ship Channel terminals:</w:t>
      </w:r>
    </w:p>
    <w:p>
      <w:pPr>
        <w:spacing w:after="0" w:line="223" w:lineRule="exact"/>
        <w:rPr>
          <w:sz w:val="20"/>
          <w:szCs w:val="20"/>
          <w:color w:val="auto"/>
        </w:rPr>
      </w:pPr>
    </w:p>
    <w:p>
      <w:pPr>
        <w:jc w:val="both"/>
        <w:ind w:left="500" w:hanging="330"/>
        <w:spacing w:after="0" w:line="230" w:lineRule="auto"/>
        <w:tabs>
          <w:tab w:leader="none" w:pos="50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Enterprise Hydrocarbons Terminal</w:t>
      </w:r>
      <w:r>
        <w:rPr>
          <w:rFonts w:ascii="Times New Roman" w:cs="Times New Roman" w:eastAsia="Times New Roman" w:hAnsi="Times New Roman"/>
          <w:sz w:val="18"/>
          <w:szCs w:val="18"/>
          <w:color w:val="auto"/>
        </w:rPr>
        <w:t xml:space="preserve"> (“EHT”) provides terminaling services to exporters, marketers, distributors, chemical companies and major integrated oil companies. EHT has extensive waterfront access consisting of eight deep-water ship docks and a barge dock. The terminal can accommodate vessels with up to a 45 foot draft, including Suezmax tankers, which are the largest tankers that can navigate the Houston Ship Channel. We believe that our location on the Houston Ship Channel enables us to handle larger vessels than our competitors because our waterfront has fewer draft and beam (width) restrictions. The size and structure of our waterfront allows us to receive and unload products for our customers and provide terminaling services.</w:t>
      </w:r>
    </w:p>
    <w:p>
      <w:pPr>
        <w:spacing w:after="0" w:line="202" w:lineRule="exact"/>
        <w:rPr>
          <w:rFonts w:ascii="Times New Roman" w:cs="Times New Roman" w:eastAsia="Times New Roman" w:hAnsi="Times New Roman"/>
          <w:sz w:val="29"/>
          <w:szCs w:val="29"/>
          <w:color w:val="auto"/>
          <w:vertAlign w:val="superscript"/>
        </w:rPr>
      </w:pPr>
    </w:p>
    <w:p>
      <w:pPr>
        <w:jc w:val="both"/>
        <w:ind w:left="500"/>
        <w:spacing w:after="0" w:line="255"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EHT can load refrigerated cargoes of low-ethane propane and/or butane (collectively referred to as LPG) onto multiple tanker vessels simultaneously. Our LPG export services continue to benefit from increased NGL supplies produced from domestic shale plays, international demand for propane as a feedstock in ethylene and propylene production, and for power generation and heating purposes. The current estimated maximum loading capacity for LPG at EHT is approximately 835 MBPD. EHT has the capability to load up to six Very Large Gas Carrier (“VLGC”) vessels simultaneously, while maintaining the option to switch between loading propane and butane. EHT can load a single VLGC in less than 24 hours, creating greater efficiencies and cost savings for our customers. LPG loading volumes at EHT averaged 623 MBPD, 555 MBPD and 501 MBPD during the years ended December 31, 2023, 2022 and 2021, respectively.</w:t>
      </w:r>
    </w:p>
    <w:p>
      <w:pPr>
        <w:spacing w:after="0" w:line="188" w:lineRule="exact"/>
        <w:rPr>
          <w:rFonts w:ascii="Times New Roman" w:cs="Times New Roman" w:eastAsia="Times New Roman" w:hAnsi="Times New Roman"/>
          <w:sz w:val="29"/>
          <w:szCs w:val="29"/>
          <w:color w:val="auto"/>
          <w:vertAlign w:val="superscript"/>
        </w:rPr>
      </w:pPr>
    </w:p>
    <w:p>
      <w:pPr>
        <w:jc w:val="both"/>
        <w:ind w:left="50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primary customer of EHT is our NGL marketing group, which uses the terminal to meet the needs of export customers. NGL marketing transacts with these customers using long-term sales contracts with take-or-pay provisions and/or exchange agreements. In recent years, the U.S. has become the largest exporter of LPG in the world, with shipments originating from EHT playing a key role.</w:t>
      </w:r>
    </w:p>
    <w:p>
      <w:pPr>
        <w:spacing w:after="0" w:line="175" w:lineRule="exact"/>
        <w:rPr>
          <w:rFonts w:ascii="Times New Roman" w:cs="Times New Roman" w:eastAsia="Times New Roman" w:hAnsi="Times New Roman"/>
          <w:sz w:val="29"/>
          <w:szCs w:val="29"/>
          <w:color w:val="auto"/>
          <w:vertAlign w:val="superscript"/>
        </w:rPr>
      </w:pPr>
    </w:p>
    <w:p>
      <w:pPr>
        <w:ind w:left="500" w:right="20"/>
        <w:spacing w:after="0" w:line="282"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EHT also includes an NGL import terminal. This import terminal can offload NGLs from tanker vessels at rates up to 8,000 barrels per hour depending on the product. Our NGL import volumes for the last three years were minimal.</w:t>
      </w:r>
    </w:p>
    <w:p>
      <w:pPr>
        <w:spacing w:after="0" w:line="161" w:lineRule="exact"/>
        <w:rPr>
          <w:rFonts w:ascii="Times New Roman" w:cs="Times New Roman" w:eastAsia="Times New Roman" w:hAnsi="Times New Roman"/>
          <w:sz w:val="29"/>
          <w:szCs w:val="29"/>
          <w:color w:val="auto"/>
          <w:vertAlign w:val="superscript"/>
        </w:rPr>
      </w:pPr>
    </w:p>
    <w:p>
      <w:pPr>
        <w:jc w:val="both"/>
        <w:ind w:left="50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EHT also provides terminaling services involving crude oil, propylene and refined products. EHT’s assets and activities associated with crude oil terminaling and storage are a component of our Crude Oil Pipelines &amp; Services business segment. EHT’s activities involving propylene and refined products are a component of our Petrochemical &amp; Refined Products Services business segment.</w:t>
      </w:r>
    </w:p>
    <w:p>
      <w:pPr>
        <w:spacing w:after="0" w:line="173" w:lineRule="exact"/>
        <w:rPr>
          <w:rFonts w:ascii="Times New Roman" w:cs="Times New Roman" w:eastAsia="Times New Roman" w:hAnsi="Times New Roman"/>
          <w:sz w:val="29"/>
          <w:szCs w:val="29"/>
          <w:color w:val="auto"/>
          <w:vertAlign w:val="superscript"/>
        </w:rPr>
      </w:pPr>
    </w:p>
    <w:p>
      <w:pPr>
        <w:jc w:val="both"/>
        <w:ind w:left="500" w:hanging="330"/>
        <w:spacing w:after="0" w:line="227" w:lineRule="auto"/>
        <w:tabs>
          <w:tab w:leader="none" w:pos="50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Morgan’s Point Ethane Export Terminal</w:t>
      </w:r>
      <w:r>
        <w:rPr>
          <w:rFonts w:ascii="Times New Roman" w:cs="Times New Roman" w:eastAsia="Times New Roman" w:hAnsi="Times New Roman"/>
          <w:sz w:val="18"/>
          <w:szCs w:val="18"/>
          <w:color w:val="auto"/>
        </w:rPr>
        <w:t>, located on the Houston Ship Channel, has a nameplate loading capacity of approximately 10,000 barrels per hour of fully refrigerated ethane and is the largest of its kind in the world. The terminal supports domestic production of U.S. ethane from shale plays by providing the global petrochemical industry with access to a low-cost feedstock option and opportunities for supply diversification. Ethane volumes handled by the terminal are sourced from our Chambers County NGL fractionation and storage complex. Ethane loading volumes at the terminal averaged 198 MBPD, 168 MBPD and 157 MBPD during the years ended December 31, 2023, 2022 and 2021, respectively.</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Neches River Ethane / Propane Export Facility. </w:t>
      </w:r>
      <w:r>
        <w:rPr>
          <w:rFonts w:ascii="Times New Roman" w:cs="Times New Roman" w:eastAsia="Times New Roman" w:hAnsi="Times New Roman"/>
          <w:sz w:val="18"/>
          <w:szCs w:val="18"/>
          <w:color w:val="auto"/>
        </w:rPr>
        <w:t>In April 2022, we announced plans to construct a new ethane / propane export facility, which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on the Neches River in Orange County, Texas. In response to growing demand for LPG exports, this project will expand our ethane and propane export capabilities on the U.S. Gulf Coast. This multi-phase project is expected to be completed during the second half of 2025 and first half of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segment includes our crude oil pipelines, crude oil storage and marine terminals, and related crude oil marketing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pipelines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crude oil gathering and transportation pipelines located in Oklahoma, New Mexico and Texas. The results of operations from our crude oil pipelines are primarily dependent upon the volume of crude oil transported (or capacity reserved) and the associated fees we charge for such transportation services. Transportation fees charged to shippers are based on either tariffs regulated by governmental agencies, including the FERC, or contractual arrangements.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for information regarding governmental regulation of our liquids pipelines.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crude oil pipelines and related operations at February 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5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Pipeline</w:t>
            </w:r>
          </w:p>
        </w:tc>
        <w:tc>
          <w:tcPr>
            <w:tcW w:w="0" w:type="dxa"/>
            <w:vAlign w:val="bottom"/>
          </w:tcPr>
          <w:p>
            <w:pPr>
              <w:spacing w:after="0"/>
              <w:rPr>
                <w:sz w:val="1"/>
                <w:szCs w:val="1"/>
                <w:color w:val="auto"/>
              </w:rPr>
            </w:pPr>
          </w:p>
        </w:tc>
      </w:tr>
      <w:tr>
        <w:trPr>
          <w:trHeight w:val="174"/>
        </w:trPr>
        <w:tc>
          <w:tcPr>
            <w:tcW w:w="342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314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6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5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6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 xml:space="preserve">(MMBbls) </w:t>
            </w:r>
            <w:r>
              <w:rPr>
                <w:rFonts w:ascii="Times New Roman" w:cs="Times New Roman" w:eastAsia="Times New Roman" w:hAnsi="Times New Roman"/>
                <w:sz w:val="14"/>
                <w:szCs w:val="14"/>
                <w:color w:val="auto"/>
              </w:rPr>
              <w:t>(2)</w:t>
            </w:r>
          </w:p>
        </w:tc>
        <w:tc>
          <w:tcPr>
            <w:tcW w:w="54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(Miles)</w:t>
            </w:r>
          </w:p>
        </w:tc>
        <w:tc>
          <w:tcPr>
            <w:tcW w:w="0" w:type="dxa"/>
            <w:vAlign w:val="bottom"/>
          </w:tcPr>
          <w:p>
            <w:pPr>
              <w:spacing w:after="0"/>
              <w:rPr>
                <w:sz w:val="1"/>
                <w:szCs w:val="1"/>
                <w:color w:val="auto"/>
              </w:rPr>
            </w:pPr>
          </w:p>
        </w:tc>
      </w:tr>
      <w:tr>
        <w:trPr>
          <w:trHeight w:val="148"/>
        </w:trPr>
        <w:tc>
          <w:tcPr>
            <w:tcW w:w="342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Seaway Pipeline (1)</w:t>
            </w:r>
          </w:p>
        </w:tc>
        <w:tc>
          <w:tcPr>
            <w:tcW w:w="3140" w:type="dxa"/>
            <w:vAlign w:val="bottom"/>
            <w:tcBorders>
              <w:top w:val="single" w:sz="8" w:color="auto"/>
            </w:tcBorders>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Texas, Oklahoma</w:t>
            </w:r>
          </w:p>
        </w:tc>
        <w:tc>
          <w:tcPr>
            <w:tcW w:w="8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60" w:type="dxa"/>
            <w:vAlign w:val="bottom"/>
            <w:tcBorders>
              <w:top w:val="single" w:sz="8" w:color="auto"/>
            </w:tcBorders>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2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 Texas System (1)</w:t>
            </w:r>
          </w:p>
        </w:tc>
        <w:tc>
          <w:tcPr>
            <w:tcW w:w="314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 New Mexico</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Midland-to-ECHO System</w:t>
            </w:r>
          </w:p>
        </w:tc>
        <w:tc>
          <w:tcPr>
            <w:tcW w:w="314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680" w:type="dxa"/>
            <w:vAlign w:val="bottom"/>
            <w:gridSpan w:val="2"/>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Various (4)</w:t>
            </w:r>
          </w:p>
        </w:tc>
        <w:tc>
          <w:tcPr>
            <w:tcW w:w="1220" w:type="dxa"/>
            <w:vAlign w:val="bottom"/>
          </w:tcPr>
          <w:p>
            <w:pPr>
              <w:spacing w:after="0"/>
              <w:rPr>
                <w:sz w:val="12"/>
                <w:szCs w:val="12"/>
                <w:color w:val="auto"/>
              </w:rPr>
            </w:pPr>
          </w:p>
        </w:tc>
        <w:tc>
          <w:tcPr>
            <w:tcW w:w="5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Basin Pipeline (1)</w:t>
            </w:r>
          </w:p>
        </w:tc>
        <w:tc>
          <w:tcPr>
            <w:tcW w:w="314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 New Mexico, Oklahoma</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860" w:type="dxa"/>
            <w:vAlign w:val="bottom"/>
            <w:shd w:val="clear" w:color="auto" w:fill="CCEEFF"/>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South Texas Crude Oil Pipeline System</w:t>
            </w:r>
          </w:p>
        </w:tc>
        <w:tc>
          <w:tcPr>
            <w:tcW w:w="314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EFS Midstream System</w:t>
            </w:r>
          </w:p>
        </w:tc>
        <w:tc>
          <w:tcPr>
            <w:tcW w:w="3140" w:type="dxa"/>
            <w:vAlign w:val="bottom"/>
            <w:shd w:val="clear" w:color="auto" w:fill="CCEEFF"/>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Eagle Ford Crude Oil Pipeline System</w:t>
            </w:r>
          </w:p>
        </w:tc>
        <w:tc>
          <w:tcPr>
            <w:tcW w:w="3140" w:type="dxa"/>
            <w:vAlign w:val="bottom"/>
            <w:tcBorders>
              <w:bottom w:val="single" w:sz="8" w:color="CCEEFF"/>
            </w:tcBorders>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8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60" w:type="dxa"/>
            <w:vAlign w:val="bottom"/>
            <w:tcBorders>
              <w:bottom w:val="single" w:sz="8" w:color="CCEEFF"/>
            </w:tcBorders>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2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30.7</w:t>
            </w:r>
          </w:p>
        </w:tc>
        <w:tc>
          <w:tcPr>
            <w:tcW w:w="12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5,291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services provided on these liquids pipelines are regulated, in whole or part, by federal governmental agencies.</w:t>
      </w:r>
    </w:p>
    <w:p>
      <w:pPr>
        <w:spacing w:after="0" w:line="3" w:lineRule="exact"/>
        <w:rPr>
          <w:rFonts w:ascii="Times New Roman" w:cs="Times New Roman" w:eastAsia="Times New Roman" w:hAnsi="Times New Roman"/>
          <w:sz w:val="14"/>
          <w:szCs w:val="14"/>
          <w:color w:val="auto"/>
        </w:rPr>
      </w:pPr>
    </w:p>
    <w:p>
      <w:pPr>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storage capacity amounts presented on a gross basis.</w:t>
      </w:r>
    </w:p>
    <w:p>
      <w:pPr>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Seaway Pipeline is held indirectly through our equity method investment in Seaway Crude Holdings LLC (“Seaway”).</w:t>
      </w:r>
    </w:p>
    <w:p>
      <w:pPr>
        <w:jc w:val="both"/>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an 80% consolidated interest in the 417-mile Midland-to-Sealy section of the Midland-to-ECHO 1 Pipeline through our majority owned subsidiary, Whitethorn Pipeline Company LLC. On February 16, 2024, we acquired the remaining 20% equity interest in Whitethorn Pipeline Company LLC. For more information, see Note 20 of the Notes to Consolidated Financial Statements under Part II, Item 8 of this annual report. Additionally, we proportionately consolidate our 29% undivided interest in the 521-mile Midland-to-Webster pipeline, which we refer to as the Midland-to-ECHO 3 Pipeline.</w:t>
      </w:r>
    </w:p>
    <w:p>
      <w:pPr>
        <w:spacing w:after="0" w:line="1" w:lineRule="exact"/>
        <w:rPr>
          <w:rFonts w:ascii="Times New Roman" w:cs="Times New Roman" w:eastAsia="Times New Roman" w:hAnsi="Times New Roman"/>
          <w:sz w:val="14"/>
          <w:szCs w:val="14"/>
          <w:color w:val="auto"/>
        </w:rPr>
      </w:pPr>
    </w:p>
    <w:p>
      <w:pPr>
        <w:ind w:left="540" w:hanging="532"/>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13% undivided interest in the Basin Pipeline.</w:t>
      </w:r>
    </w:p>
    <w:p>
      <w:pPr>
        <w:ind w:left="540" w:hanging="532"/>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Eagle Ford Crude Oil Pipeline System is held indirectly through our equity method investment in Eagle Ford Pipeline LLC.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crude oil pipelines can transport depends on the operating rates achieved at a given point in time between various segments of each system (e.g., demand levels at each delivery point and the grades of crude oil being transported). As a result, we measure the utilization rates of our crude oil pipelines in terms of net throughput, which is based on our ownership interest. In the aggregate, net throughput volumes for these pipelines were 2,461 MBPD, 2,222 MBPD and 2,088 MBPD during the years ended December 31, 2023, 2022 and 2021,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crude oil pipelines with the exception of the Basin Pipeline, Eagle Ford Crude Oil Pipeline System and Midland-to-ECHO 3 Pipeline. The following information describes our principal crude oil pipelines:</w:t>
      </w:r>
    </w:p>
    <w:p>
      <w:pPr>
        <w:spacing w:after="0" w:line="160" w:lineRule="exact"/>
        <w:rPr>
          <w:sz w:val="20"/>
          <w:szCs w:val="20"/>
          <w:color w:val="auto"/>
        </w:rPr>
      </w:pPr>
    </w:p>
    <w:p>
      <w:pPr>
        <w:jc w:val="both"/>
        <w:ind w:left="500" w:hanging="330"/>
        <w:spacing w:after="0" w:line="230" w:lineRule="auto"/>
        <w:tabs>
          <w:tab w:leader="none" w:pos="50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Midland-to-ECHO System</w:t>
      </w:r>
      <w:r>
        <w:rPr>
          <w:rFonts w:ascii="Times New Roman" w:cs="Times New Roman" w:eastAsia="Times New Roman" w:hAnsi="Times New Roman"/>
          <w:sz w:val="18"/>
          <w:szCs w:val="18"/>
          <w:color w:val="auto"/>
        </w:rPr>
        <w:t xml:space="preserve"> supports Permian Basin crude oil production by providing producers and other shippers with transportation solutions that are both cost-efficient and operationally flexible. After aggregating crude at our Midland terminal, the system has the capability to transport multiple grades of crude oil, including West Texas Intermediate (“WTI”), WTI light sweet crude oil (“West Texas Light”), West Texas Sour, and condensate, to our Enterprise Crude Houston (“ECHO”) storage terminal (using batched shipments to safeguard crude quality) for further delivery to markets along the Gulf Coast. Using the ECHO terminal, shippers on the Midland-to-ECHO System have access to every refinery in Houston, Texas City, Beaumont and Port Arthur, Texas, as well as our crude oil export terminal facilities.</w:t>
      </w:r>
    </w:p>
    <w:p>
      <w:pPr>
        <w:spacing w:after="0" w:line="202" w:lineRule="exact"/>
        <w:rPr>
          <w:rFonts w:ascii="Times New Roman" w:cs="Times New Roman" w:eastAsia="Times New Roman" w:hAnsi="Times New Roman"/>
          <w:sz w:val="29"/>
          <w:szCs w:val="29"/>
          <w:color w:val="auto"/>
          <w:vertAlign w:val="superscript"/>
        </w:rPr>
      </w:pPr>
    </w:p>
    <w:p>
      <w:pPr>
        <w:jc w:val="both"/>
        <w:ind w:left="500" w:right="2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Midland-to-ECHO 1 Pipeline originates at our Midland terminal and extends 417 miles to our Sealy storage terminal. Volumes arriving at Sealy are then transported to our ECHO terminal using the Rancho II pipeline, which is a component of our South Texas Crude Oil Pipeline System. The Midland-to-ECHO 1 Pipeline has an approximate maximum transportation capacity of up to 620 MBPD, depending on certain operational variables.</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Midland-to-ECHO 3 Pipeline extends from Midland, Texas to our ECHO terminal, and further from ECHO to a third-party terminal in Webster, Texas (collectively, the “Midland-to-Webster pipeline”). The maximum transportation capacity on the Midland-to-Webster pipeline is approximately 450 MBPD.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From January 2019 through January 2024, our Midland-to-ECHO system included the Midland-to-ECHO 2 Pipeline that originated at our Midland terminal and extended to our Sealy terminal, with crude oil volumes arriving at Sealy transported to our ECHO terminal using the Rancho II pipeline. The Midland-to-ECHO 2 Pipeline was created in January 2019 by converting the Midland-to-Sealy segment of one of our two Seminole NGL pipelines from NGL service to crude oil service. In January 2024, the Midland-to-Sealy segment of the Midland-to-ECHO 2 pipeline was converted from crude oil service back to NGL service (as part of our Seminole NGL Pipeline). Crude oil previously transported by our Midland-to-ECHO 2 Pipeline will be transported using other pipelines within our Midland-to-ECHO System. We retain the flexibility to keep this pipeline in NGL service or convert it to crude oil or other liquid hydrocarbons service depending on future market conditions.</w:t>
      </w:r>
    </w:p>
    <w:p>
      <w:pPr>
        <w:spacing w:after="0" w:line="187" w:lineRule="exact"/>
        <w:rPr>
          <w:sz w:val="20"/>
          <w:szCs w:val="20"/>
          <w:color w:val="auto"/>
        </w:rPr>
      </w:pPr>
    </w:p>
    <w:p>
      <w:pPr>
        <w:jc w:val="both"/>
        <w:ind w:left="500" w:hanging="330"/>
        <w:spacing w:after="0" w:line="214" w:lineRule="auto"/>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Seaway Pipeline</w:t>
      </w:r>
      <w:r>
        <w:rPr>
          <w:rFonts w:ascii="Times New Roman" w:cs="Times New Roman" w:eastAsia="Times New Roman" w:hAnsi="Times New Roman"/>
          <w:sz w:val="18"/>
          <w:szCs w:val="18"/>
          <w:color w:val="auto"/>
        </w:rPr>
        <w:t xml:space="preserve"> connects the Cushing, Oklahoma crude oil hub with markets in southeast Texas. The Seaway Pipeline is comprised of the Longhaul System, the Freeport System and the Texas City System. The Cushing hub is an industry trading hub and price settlement point for WTI crude oil on the New York Mercantile Exchange (“NYMEX”).</w:t>
      </w:r>
    </w:p>
    <w:p>
      <w:pPr>
        <w:spacing w:after="0" w:line="199" w:lineRule="exact"/>
        <w:rPr>
          <w:rFonts w:ascii="Times New Roman" w:cs="Times New Roman" w:eastAsia="Times New Roman" w:hAnsi="Times New Roman"/>
          <w:sz w:val="29"/>
          <w:szCs w:val="29"/>
          <w:color w:val="auto"/>
          <w:vertAlign w:val="superscript"/>
        </w:rPr>
      </w:pPr>
    </w:p>
    <w:p>
      <w:pPr>
        <w:jc w:val="both"/>
        <w:ind w:left="500"/>
        <w:spacing w:after="0" w:line="258"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Longhaul System consists of two approximately 500-mile pipelines (Seaway I and the Seaway Loop) that provide north-to-south transportation of crude oil from the Cushing hub to Seaway’s Jones Creek terminal located near Freeport, Texas. The aggregate transportation capacity of the Longhaul System is approximately 950 MBPD, depending on the type and mix of crude oil being transported and other variables. The Jones Creek terminal is connected by pipeline to our ECHO terminal, which enables Seaway to serve a variety of customers along the upper Texas Gulf Coast including the Beaumont/Port Arthur area.</w:t>
      </w:r>
    </w:p>
    <w:p>
      <w:pPr>
        <w:spacing w:after="0" w:line="183" w:lineRule="exact"/>
        <w:rPr>
          <w:rFonts w:ascii="Times New Roman" w:cs="Times New Roman" w:eastAsia="Times New Roman" w:hAnsi="Times New Roman"/>
          <w:sz w:val="29"/>
          <w:szCs w:val="29"/>
          <w:color w:val="auto"/>
          <w:vertAlign w:val="superscript"/>
        </w:rPr>
      </w:pPr>
    </w:p>
    <w:p>
      <w:pPr>
        <w:ind w:left="500"/>
        <w:spacing w:after="0" w:line="282"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Freeport System consists of a marine terminal that facilitates both crude oil imports and exports, along with pipelines that transport crude oil to and from Freeport, Texas and the Jones Creek terminal.</w:t>
      </w:r>
    </w:p>
    <w:p>
      <w:pPr>
        <w:spacing w:after="0" w:line="161" w:lineRule="exact"/>
        <w:rPr>
          <w:rFonts w:ascii="Times New Roman" w:cs="Times New Roman" w:eastAsia="Times New Roman" w:hAnsi="Times New Roman"/>
          <w:sz w:val="29"/>
          <w:szCs w:val="29"/>
          <w:color w:val="auto"/>
          <w:vertAlign w:val="superscript"/>
        </w:rPr>
      </w:pPr>
    </w:p>
    <w:p>
      <w:pPr>
        <w:jc w:val="both"/>
        <w:ind w:left="500"/>
        <w:spacing w:after="0" w:line="261"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Texas City System consists of a marine terminal and storage tanks, various pipelines and related infrastructure used to transport crude oil to refineries in the Texas City, Texas area and to and from terminals in the Galena Park, Texas area, our ECHO terminal and locations along the Houston Ship Channel. The Texas City System also receives production from certain offshore Gulf of Mexico developments. The intrastate pipeline transportation capacity of the Freeport System and Texas City System is approximately 480 MBPD and 800 MBPD, respectively.</w:t>
      </w:r>
    </w:p>
    <w:p>
      <w:pPr>
        <w:spacing w:after="0" w:line="179" w:lineRule="exact"/>
        <w:rPr>
          <w:rFonts w:ascii="Times New Roman" w:cs="Times New Roman" w:eastAsia="Times New Roman" w:hAnsi="Times New Roman"/>
          <w:sz w:val="29"/>
          <w:szCs w:val="29"/>
          <w:color w:val="auto"/>
          <w:vertAlign w:val="superscript"/>
        </w:rPr>
      </w:pPr>
    </w:p>
    <w:p>
      <w:pPr>
        <w:jc w:val="both"/>
        <w:ind w:left="500"/>
        <w:spacing w:after="0" w:line="26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Seaway’s Texas City marine terminal features two docks, a 45-foot draft, an overall length of 1,125 feet, a 200-foot beam (width) and the capacity to load crude oil at a rate of 35,000 barrels per hour. We have used Seaway’s Texas City terminal to partially load Very Large Crude Carrier (“VLCC”) tankers, with the remaining volumes subsequently loaded on such vessels using lightering operations in the Gulf of Mexico.</w:t>
      </w:r>
    </w:p>
    <w:p>
      <w:pPr>
        <w:spacing w:after="0" w:line="173" w:lineRule="exact"/>
        <w:rPr>
          <w:rFonts w:ascii="Times New Roman" w:cs="Times New Roman" w:eastAsia="Times New Roman" w:hAnsi="Times New Roman"/>
          <w:sz w:val="29"/>
          <w:szCs w:val="29"/>
          <w:color w:val="auto"/>
          <w:vertAlign w:val="superscript"/>
        </w:rPr>
      </w:pPr>
    </w:p>
    <w:p>
      <w:pPr>
        <w:jc w:val="both"/>
        <w:ind w:left="500" w:hanging="330"/>
        <w:spacing w:after="0" w:line="227" w:lineRule="auto"/>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West Texas System</w:t>
      </w:r>
      <w:r>
        <w:rPr>
          <w:rFonts w:ascii="Times New Roman" w:cs="Times New Roman" w:eastAsia="Times New Roman" w:hAnsi="Times New Roman"/>
          <w:sz w:val="18"/>
          <w:szCs w:val="18"/>
          <w:color w:val="auto"/>
        </w:rPr>
        <w:t xml:space="preserve"> connects crude oil gathering systems in West Texas and southeast New Mexico to our terminal facility located in Midland, Texas. The West Texas System, including the Loving County pipeline, is a key part of our strategic crude oil aggregation program designed to support Permian Basin producers with a transport capacity over 600 MBPD. At Midland, shippers have access to storage and terminal services, as well as connectivity to multiple transportation alternatives such as trucking and pipeline infrastructure that offer access to various downstream markets, including the Gulf Coast.</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Basin Pipeline</w:t>
      </w:r>
      <w:r>
        <w:rPr>
          <w:rFonts w:ascii="Times New Roman" w:cs="Times New Roman" w:eastAsia="Times New Roman" w:hAnsi="Times New Roman"/>
          <w:sz w:val="18"/>
          <w:szCs w:val="18"/>
          <w:color w:val="auto"/>
        </w:rPr>
        <w:t xml:space="preserve"> transports crude oil from the Permian Basin in West Texas and southern New Mexico to the Cushing hub.</w:t>
      </w:r>
    </w:p>
    <w:p>
      <w:pPr>
        <w:spacing w:after="0" w:line="195"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EFS Midstream System</w:t>
      </w:r>
      <w:r>
        <w:rPr>
          <w:rFonts w:ascii="Times New Roman" w:cs="Times New Roman" w:eastAsia="Times New Roman" w:hAnsi="Times New Roman"/>
          <w:sz w:val="18"/>
          <w:szCs w:val="18"/>
          <w:color w:val="auto"/>
        </w:rPr>
        <w:t xml:space="preserve"> serves producers in the Eagle Ford Shale by providing condensate gathering and processing services as well as gathering, treating and compression services for associated natural gas. The EFS Midstream System includes 500 miles of gathering pipelines, 11 central gathering plants having a combined condensate storage capacity of 0.3 MMBbls, 201 MBPD of condensate stabilization capacity and 1.0 Bcf/d of associated natural gas treating capacity.</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South Texas Crude Oil Pipeline System</w:t>
      </w:r>
      <w:r>
        <w:rPr>
          <w:rFonts w:ascii="Times New Roman" w:cs="Times New Roman" w:eastAsia="Times New Roman" w:hAnsi="Times New Roman"/>
          <w:sz w:val="18"/>
          <w:szCs w:val="18"/>
          <w:color w:val="auto"/>
        </w:rPr>
        <w:t xml:space="preserve"> has the capacity to transport approximately 450 MBPD of crude oil and condensate originating in South Texas to customers in the Houston area. This system includes storage terminal assets located at Lyssy, Milton, Marshall and Sealy, Texas. The South Texas Crude Oil Pipeline System also includes our Rancho II pipeline, which extends 89-miles from the Sealy terminal to our ECHO terminal. From ECHO, we have connectivity to refinery customers and our marine terminals along the Texas Gulf Coast.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left="500" w:hanging="330"/>
        <w:spacing w:after="0" w:line="222" w:lineRule="auto"/>
        <w:tabs>
          <w:tab w:leader="none" w:pos="50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Eagle Ford Crude Oil Pipeline System</w:t>
      </w:r>
      <w:r>
        <w:rPr>
          <w:rFonts w:ascii="Times New Roman" w:cs="Times New Roman" w:eastAsia="Times New Roman" w:hAnsi="Times New Roman"/>
          <w:sz w:val="18"/>
          <w:szCs w:val="18"/>
          <w:color w:val="auto"/>
        </w:rPr>
        <w:t xml:space="preserve"> transports crude oil and condensate for producers in South Texas. The system, which is effectively looped and has a capacity to transport over 600 MBPD of light and medium grades of crude oil, consists of 390 miles of crude oil and condensate pipelines originating in Gardendale, Texas and extending to Corpus Christi, Texas. The system interconnects with our South Texas Crude Oil Pipeline System in Wilson County, Texas and our Corpus Christi marine terminal.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terminals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operational storage capacity associated with our crude oil pipelines, we also own and operate crude oil terminals located in Houston, Midland and Beaumont, Texas and Cushing, Oklahoma that are used to store crude oil for us and our customers. In conjunction with other aspects of our midstream network, our crude oil terminals provide Gulf Coast refiners with an integrated system featuring supply diversification, significant storage capabilities and a high capacity pipeline distribution system. Our system has access to an aggregate refining capacity of approximately 8 MMBPD.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from crude oil terminals are primarily dependent upon the level of volumes stored and the length of time such storage occurs, including the level of firm storage capacity reserved, pumpover volumes and the fees associated with each activity. If the terminal offers marine services, the results of operations from these activities are primarily dependent upon the level of volumes handled (loading and unloading) and the associated fees we charge for such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crude oil terminals at February 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Storage</w:t>
            </w:r>
          </w:p>
        </w:tc>
        <w:tc>
          <w:tcPr>
            <w:tcW w:w="0" w:type="dxa"/>
            <w:vAlign w:val="bottom"/>
          </w:tcPr>
          <w:p>
            <w:pPr>
              <w:spacing w:after="0"/>
              <w:rPr>
                <w:sz w:val="1"/>
                <w:szCs w:val="1"/>
                <w:color w:val="auto"/>
              </w:rPr>
            </w:pPr>
          </w:p>
        </w:tc>
      </w:tr>
      <w:tr>
        <w:trPr>
          <w:trHeight w:val="174"/>
        </w:trPr>
        <w:tc>
          <w:tcPr>
            <w:tcW w:w="36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12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Above-Ground</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auto"/>
            </w:tcBorders>
            <w:vMerge w:val="continue"/>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Tanks in Service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(MMBbls)</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EHT (crude oil)</w:t>
            </w:r>
          </w:p>
        </w:tc>
        <w:tc>
          <w:tcPr>
            <w:tcW w:w="21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ECHO (1)</w:t>
            </w:r>
          </w:p>
        </w:tc>
        <w:tc>
          <w:tcPr>
            <w:tcW w:w="21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Midland (2)</w:t>
            </w:r>
          </w:p>
        </w:tc>
        <w:tc>
          <w:tcPr>
            <w:tcW w:w="21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Beaumont Marine West</w:t>
            </w:r>
          </w:p>
        </w:tc>
        <w:tc>
          <w:tcPr>
            <w:tcW w:w="21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Cushing</w:t>
            </w:r>
          </w:p>
        </w:tc>
        <w:tc>
          <w:tcPr>
            <w:tcW w:w="21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Oklahoma</w:t>
            </w:r>
          </w:p>
        </w:tc>
        <w:tc>
          <w:tcPr>
            <w:tcW w:w="1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5"/>
        </w:trPr>
        <w:tc>
          <w:tcPr>
            <w:tcW w:w="3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Corpus Christi</w:t>
            </w:r>
          </w:p>
        </w:tc>
        <w:tc>
          <w:tcPr>
            <w:tcW w:w="2120" w:type="dxa"/>
            <w:vAlign w:val="bottom"/>
            <w:tcBorders>
              <w:bottom w:val="single" w:sz="8" w:color="CCEEFF"/>
            </w:tcBorders>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1740" w:type="dxa"/>
            <w:vAlign w:val="bottom"/>
            <w:tcBorders>
              <w:bottom w:val="single" w:sz="8" w:color="CCEEFF"/>
            </w:tcBorders>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50.0% (3)</w:t>
            </w:r>
          </w:p>
        </w:tc>
        <w:tc>
          <w:tcPr>
            <w:tcW w:w="19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7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1"/>
        </w:trPr>
        <w:tc>
          <w:tcPr>
            <w:tcW w:w="366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5"/>
              </w:rPr>
              <w:t>144</w:t>
            </w:r>
          </w:p>
        </w:tc>
        <w:tc>
          <w:tcPr>
            <w:tcW w:w="174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tanks and storage capacity excludes three tanks that are used in the operation of our Midland-to-ECHO 1 pipeline and three tanks owned by Seaway.</w:t>
      </w:r>
    </w:p>
    <w:p>
      <w:pPr>
        <w:spacing w:after="0" w:line="3" w:lineRule="exact"/>
        <w:rPr>
          <w:rFonts w:ascii="Times New Roman" w:cs="Times New Roman" w:eastAsia="Times New Roman" w:hAnsi="Times New Roman"/>
          <w:sz w:val="14"/>
          <w:szCs w:val="14"/>
          <w:color w:val="auto"/>
        </w:rPr>
      </w:pPr>
    </w:p>
    <w:p>
      <w:pPr>
        <w:ind w:left="500" w:hanging="492"/>
        <w:spacing w:after="0" w:line="22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tanks and storage capacity excludes three tanks that are used in the operation of our Midland-to-ECHO 1 pipeline.</w:t>
      </w:r>
    </w:p>
    <w:p>
      <w:pPr>
        <w:ind w:left="500" w:hanging="49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terminal is held indirectly through our equity method investment in Eagle Ford Terminals Corpus Christi LLC.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principal crude oil terminals, all of which we operate with the exception of the Corpus Christi terminal.</w:t>
      </w:r>
    </w:p>
    <w:p>
      <w:pPr>
        <w:spacing w:after="0" w:line="223" w:lineRule="exact"/>
        <w:rPr>
          <w:sz w:val="20"/>
          <w:szCs w:val="20"/>
          <w:color w:val="auto"/>
        </w:rPr>
      </w:pPr>
    </w:p>
    <w:p>
      <w:pPr>
        <w:jc w:val="both"/>
        <w:ind w:left="500" w:hanging="330"/>
        <w:spacing w:after="0" w:line="222"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EHT</w:t>
      </w:r>
      <w:r>
        <w:rPr>
          <w:rFonts w:ascii="Times New Roman" w:cs="Times New Roman" w:eastAsia="Times New Roman" w:hAnsi="Times New Roman"/>
          <w:sz w:val="18"/>
          <w:szCs w:val="18"/>
          <w:color w:val="auto"/>
        </w:rPr>
        <w:t xml:space="preserve"> marine terminal located on the Houston Ship Channel includes export assets capable of loading up to 2.9 MMBPD, or 88 MMBbls per month, of crude oil. The crude oil terminal at EHT represents one of the largest such facilities on the Gulf Coast. As noted previously, EHT can accommodate vessels with up to a 45-foot draft, including Suezmax tankers, which are the largest tankers that can navigate the Houston Ship Channel.</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ECHO</w:t>
      </w:r>
      <w:r>
        <w:rPr>
          <w:rFonts w:ascii="Times New Roman" w:cs="Times New Roman" w:eastAsia="Times New Roman" w:hAnsi="Times New Roman"/>
          <w:sz w:val="18"/>
          <w:szCs w:val="18"/>
          <w:color w:val="auto"/>
        </w:rPr>
        <w:t xml:space="preserve"> terminal is located in Houston, Texas and provides storage customers with access to major refineries located in the Houston, Texas City and Beaumont/Port Arthur areas. Beginning in March 2022, the ECHO terminal became one of two physical delivery points for the Midland WTI American Gulf Coast futures contract (“HOU”) traded on the Intercontinental Exchange (“ICE”). ECHO also has connections to marine terminals, including EHT, that provide access to any refinery on the U.S. Gulf Coast and international markets.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Beaumont Marine West</w:t>
      </w:r>
      <w:r>
        <w:rPr>
          <w:rFonts w:ascii="Times New Roman" w:cs="Times New Roman" w:eastAsia="Times New Roman" w:hAnsi="Times New Roman"/>
          <w:sz w:val="18"/>
          <w:szCs w:val="18"/>
          <w:color w:val="auto"/>
        </w:rPr>
        <w:t xml:space="preserve"> terminal is located on the Neches River near Beaumont, Texas. This terminal includes three deep-water docks and one barge dock that facilitate the exporting and importing of crude oil and related products.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Cushing</w:t>
      </w:r>
      <w:r>
        <w:rPr>
          <w:rFonts w:ascii="Times New Roman" w:cs="Times New Roman" w:eastAsia="Times New Roman" w:hAnsi="Times New Roman"/>
          <w:sz w:val="18"/>
          <w:szCs w:val="18"/>
          <w:color w:val="auto"/>
        </w:rPr>
        <w:t xml:space="preserve"> terminal is located at the Cushing hub in Oklahoma and provides crude oil storage, pumpover and trade documentation services. This terminal is one of the origination points for our Seaway Pipeline.</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Midland</w:t>
      </w:r>
      <w:r>
        <w:rPr>
          <w:rFonts w:ascii="Times New Roman" w:cs="Times New Roman" w:eastAsia="Times New Roman" w:hAnsi="Times New Roman"/>
          <w:sz w:val="18"/>
          <w:szCs w:val="18"/>
          <w:color w:val="auto"/>
        </w:rPr>
        <w:t xml:space="preserve"> terminal provides crude oil storage, pumpover and trade documentation services. The Midland terminal is the origination point for our Midland-to-ECHO pipelines.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left="500" w:hanging="330"/>
        <w:spacing w:after="0" w:line="214" w:lineRule="auto"/>
        <w:tabs>
          <w:tab w:leader="none" w:pos="50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Corpus Christi</w:t>
      </w:r>
      <w:r>
        <w:rPr>
          <w:rFonts w:ascii="Times New Roman" w:cs="Times New Roman" w:eastAsia="Times New Roman" w:hAnsi="Times New Roman"/>
          <w:sz w:val="18"/>
          <w:szCs w:val="18"/>
          <w:color w:val="auto"/>
        </w:rPr>
        <w:t xml:space="preserve"> terminal, located in Corpus Christi, Texas, is capable of loading ocean-going vessels with either crude oil or condensate. The terminal includes one deep-water ship dock and serves Eagle Ford Shale and Permian Basin producers through a connection with our Eagle Ford Crude Oil Pipeline System.</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Sea Port Oil Terminal. </w:t>
      </w:r>
      <w:r>
        <w:rPr>
          <w:rFonts w:ascii="Times New Roman" w:cs="Times New Roman" w:eastAsia="Times New Roman" w:hAnsi="Times New Roman"/>
          <w:sz w:val="18"/>
          <w:szCs w:val="18"/>
          <w:color w:val="auto"/>
        </w:rPr>
        <w:t>In January 2019, we filed our application for regulatory permitting of our Sea Port Oil Terminal (“SPOT”) in the Gulf of Mexico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Department of Transportation’s Maritime Administration. SPOT would consist of proposed onshore and offshore facilities, including a fixed platform located approximately 30 nautical miles off the Texas coast in approximately 115 feet of water. SPOT is designed to load VLCCs and other crude oil tankers at rates of approximately 85,000 barrels per hour. The platform would be connected to an onshore storage facility with approximately 4.8 MMBbls of capacity in Brazoria County, Texas, by two 36-inch, bi-directional pipelines. The SPOT project includes state-of-the-art pipeline control, vapor recovery and leak detection systems that are designed to minimize emissions. SPOT would provide customers with an integrated export solution that leverages our extensive supply, storage and distribution network along the Gulf Coast.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we received a favorable Record of Decision (“ROD”) from the Department of Transportation’s Maritime Administration in accordance with the provisions of the Deepwater Port Act of 1974. The receipt of the ROD was a significant milestone in the process to obtain a license for SPOT under the Deepwater Port Act. We believe that we have completed all conditions in the ROD that are a prerequisite to obtaining the license, and therefore we anticipate that the Maritime Administration will issue the license in 2024. However, we can give no assurance as to when or whether the project will ultimately be authorized to begin construction or operation.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commercialize this project in order to support a final investment decision, which is subject to the execution of long-term customer contracts and receiving a license to construct and operate the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marketing activities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crude oil marketing activities generate revenues from the sale and delivery of crude oil and condensate purchased either directly from producers or from others on the open market. The results of operations from our crude oil marketing activities are primarily dependent upon the difference, or spread, between crude oil and condensate sales prices and the associated purchase and other costs, including those costs attributable to the use of our assets. In general, sales prices referenced in the underlying contracts are market-based and include pricing differentials for factors such as delivery location or crude oil quality. We use derivative instruments to mitigate our exposure to commodity price risks associated with our crude oil marketing activities. For a discussion of our commodity hedging program, see Part II, Item 7A of this annual report.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Crude Oil Pipelines &amp; Services segment also includes a fleet of approximately 250 tractor-trailer tank trucks, the majority of which we own and operate, that are used to transport crude oil.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business segment includes our natural gas pipeline systems that provide for the gathering, treating and transportation of natural gas. This segment also includes our natural gas marketing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pipelines and related storage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natural gas gathering pipelines gather, treat and transport natural gas from production developments to regional natural gas plants for further processing. Our natural gas transmission pipelines transport natural gas from regional processing facilities to downstream electric generation plants, local gas distribution companies, industrial and municipal customers, storage facilities or other connecting pipelines.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from our natural gas pipelines and related storage assets are primarily dependent upon the volume of natural gas gathered, treated, transported or stored, the level of firm or interruptible capacity reservations made by shippers, and the fees associated with each activity. Transportation fees charged to shippers are based on either tariffs regulated by governmental agencies, including the FERC, or contractual arrangements. See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 within this Part I, Items 1 and 2 for information regarding governmental regulation of our natural gas pipelines.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natural gas pipelines and related infrastructure at February 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 xml:space="preserve">Net Capacity </w:t>
            </w:r>
            <w:r>
              <w:rPr>
                <w:rFonts w:ascii="Times New Roman" w:cs="Times New Roman" w:eastAsia="Times New Roman" w:hAnsi="Times New Roman"/>
                <w:sz w:val="14"/>
                <w:szCs w:val="14"/>
                <w:color w:val="auto"/>
              </w:rPr>
              <w:t>(1)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Pipeline</w:t>
            </w: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Pipeline</w:t>
            </w:r>
          </w:p>
        </w:tc>
        <w:tc>
          <w:tcPr>
            <w:tcW w:w="13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Usable</w:t>
            </w:r>
          </w:p>
        </w:tc>
        <w:tc>
          <w:tcPr>
            <w:tcW w:w="0" w:type="dxa"/>
            <w:vAlign w:val="bottom"/>
          </w:tcPr>
          <w:p>
            <w:pPr>
              <w:spacing w:after="0"/>
              <w:rPr>
                <w:sz w:val="1"/>
                <w:szCs w:val="1"/>
                <w:color w:val="auto"/>
              </w:rPr>
            </w:pPr>
          </w:p>
        </w:tc>
      </w:tr>
      <w:tr>
        <w:trPr>
          <w:trHeight w:val="174"/>
        </w:trPr>
        <w:tc>
          <w:tcPr>
            <w:tcW w:w="27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1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4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3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Treating</w:t>
            </w: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0" w:type="dxa"/>
            <w:vAlign w:val="bottom"/>
          </w:tcPr>
          <w:p>
            <w:pPr>
              <w:spacing w:after="0"/>
              <w:rPr>
                <w:sz w:val="1"/>
                <w:szCs w:val="1"/>
                <w:color w:val="auto"/>
              </w:rPr>
            </w:pPr>
          </w:p>
        </w:tc>
      </w:tr>
      <w:tr>
        <w:trPr>
          <w:trHeight w:val="180"/>
        </w:trPr>
        <w:tc>
          <w:tcPr>
            <w:tcW w:w="272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(Miles)</w:t>
            </w: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(MMcf/d)</w:t>
            </w:r>
          </w:p>
        </w:tc>
        <w:tc>
          <w:tcPr>
            <w:tcW w:w="13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(MMcf/d)</w:t>
            </w:r>
          </w:p>
        </w:tc>
        <w:tc>
          <w:tcPr>
            <w:tcW w:w="10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(Bcf)</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Texas Intrastate System (2)</w:t>
            </w:r>
          </w:p>
        </w:tc>
        <w:tc>
          <w:tcPr>
            <w:tcW w:w="216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Various (5)</w:t>
            </w: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6,719</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7,328</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Acadian Gas System (2)</w:t>
            </w:r>
          </w:p>
        </w:tc>
        <w:tc>
          <w:tcPr>
            <w:tcW w:w="216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1,409</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4,825</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Jonah Gathering System</w:t>
            </w:r>
          </w:p>
        </w:tc>
        <w:tc>
          <w:tcPr>
            <w:tcW w:w="2160" w:type="dxa"/>
            <w:vAlign w:val="bottom"/>
            <w:shd w:val="clear" w:color="auto" w:fill="CCEEFF"/>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w w:val="99"/>
              </w:rPr>
              <w:t>Wyoming</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 Basin Gathering System</w:t>
            </w:r>
          </w:p>
        </w:tc>
        <w:tc>
          <w:tcPr>
            <w:tcW w:w="216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Texas, New Mexico</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1,772</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Midland Basin Gathering System</w:t>
            </w:r>
          </w:p>
        </w:tc>
        <w:tc>
          <w:tcPr>
            <w:tcW w:w="216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Piceance Basin Gathering System</w:t>
            </w:r>
          </w:p>
        </w:tc>
        <w:tc>
          <w:tcPr>
            <w:tcW w:w="21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White River Hub (3)</w:t>
            </w:r>
          </w:p>
        </w:tc>
        <w:tc>
          <w:tcPr>
            <w:tcW w:w="216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BTA Gathering System (4)</w:t>
            </w:r>
          </w:p>
        </w:tc>
        <w:tc>
          <w:tcPr>
            <w:tcW w:w="21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804</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Haynesville Gathering System</w:t>
            </w:r>
          </w:p>
        </w:tc>
        <w:tc>
          <w:tcPr>
            <w:tcW w:w="216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Louisiana, 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San Juan Gathering System</w:t>
            </w:r>
          </w:p>
        </w:tc>
        <w:tc>
          <w:tcPr>
            <w:tcW w:w="216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New Mexico, Colorado</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5,568</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Indian Springs Gathering System (4)</w:t>
            </w:r>
          </w:p>
        </w:tc>
        <w:tc>
          <w:tcPr>
            <w:tcW w:w="216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Delmita Gathering System</w:t>
            </w:r>
          </w:p>
        </w:tc>
        <w:tc>
          <w:tcPr>
            <w:tcW w:w="21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South Texas Gathering System</w:t>
            </w:r>
          </w:p>
        </w:tc>
        <w:tc>
          <w:tcPr>
            <w:tcW w:w="216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Old Ocean Pipeline</w:t>
            </w:r>
          </w:p>
        </w:tc>
        <w:tc>
          <w:tcPr>
            <w:tcW w:w="21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3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Big Thicket Gathering System (4)</w:t>
            </w:r>
          </w:p>
        </w:tc>
        <w:tc>
          <w:tcPr>
            <w:tcW w:w="2160" w:type="dxa"/>
            <w:vAlign w:val="bottom"/>
            <w:shd w:val="clear" w:color="auto" w:fill="CCEEFF"/>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3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7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Central Treating Facility</w:t>
            </w:r>
          </w:p>
        </w:tc>
        <w:tc>
          <w:tcPr>
            <w:tcW w:w="2160" w:type="dxa"/>
            <w:vAlign w:val="bottom"/>
            <w:tcBorders>
              <w:bottom w:val="single" w:sz="8" w:color="CCEEFF"/>
            </w:tcBorders>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64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72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20,789</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26,521</w:t>
            </w:r>
          </w:p>
        </w:tc>
        <w:tc>
          <w:tcPr>
            <w:tcW w:w="136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1,570</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capacity amounts are based on our ownership interest or contractual right-of-use.</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services provided on these pipeline systems, in whole or part, are regulated by both federal and state governmental agencies.</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provided by the White River Hub are regulated by federal governmental agencies.</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services provided on these systems are regulated in part by state governmental agencies.</w:t>
      </w:r>
    </w:p>
    <w:p>
      <w:pPr>
        <w:jc w:val="both"/>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undivided interests, which range from 22% to 80%, in 1,469 miles of the Texas Intrastate System. The Texas Intrastate System also includes our Wilson natural gas storage facility, which consists of a network of owned underground salt dome storage caverns located in Wharton County, Texas with an aggregate 12.9 Bcf of usable storage capacity.</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Acadian Gas System includes a leased 1.2 Bcf underground salt dome natural gas storage cavern located at Napoleonville, Louisiana.</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White River Hub is held indirectly through our equity method investment in White River Hub, LLC.</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system includes approximately 56 miles of leased pipelines.</w:t>
      </w:r>
    </w:p>
    <w:p>
      <w:pPr>
        <w:ind w:left="520" w:hanging="512"/>
        <w:spacing w:after="0" w:line="22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80% undivided interest in the Indian Springs Gathering System.</w:t>
      </w:r>
    </w:p>
    <w:p>
      <w:pPr>
        <w:ind w:left="520" w:hanging="512"/>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50% ownership interest in the Old Ocean Pipeline is held indirectly through our equity method investment in Old Ocean Pipeline, LLC.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weighted-average basis, overall utilization rates for our natural gas pipelines were approximately 65.0%, 65.0% and 60.4% during the years ended December 31, 2023, 2022 and 2021, respectively. These utilization rates represent actual natural gas volumes delivered as a percentage of our nominal delivery capacity and do not reflect firm capacity reservation agreements where capacity fees are earned whether or not the shipper actually utilizes such capacity.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natural gas pipelines and storage facilities with the exception of the White River Hub, Old Ocean Pipeline and certain segments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Intrastate System. The following information describes our principal natural gas pipelines:</w:t>
      </w:r>
    </w:p>
    <w:p>
      <w:pPr>
        <w:spacing w:after="0" w:line="205" w:lineRule="exact"/>
        <w:rPr>
          <w:sz w:val="20"/>
          <w:szCs w:val="20"/>
          <w:color w:val="auto"/>
        </w:rPr>
      </w:pPr>
    </w:p>
    <w:p>
      <w:pPr>
        <w:jc w:val="both"/>
        <w:ind w:left="500" w:hanging="330"/>
        <w:spacing w:after="0" w:line="230" w:lineRule="auto"/>
        <w:tabs>
          <w:tab w:leader="none" w:pos="50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Texas Intrastate System</w:t>
      </w:r>
      <w:r>
        <w:rPr>
          <w:rFonts w:ascii="Times New Roman" w:cs="Times New Roman" w:eastAsia="Times New Roman" w:hAnsi="Times New Roman"/>
          <w:sz w:val="18"/>
          <w:szCs w:val="18"/>
          <w:color w:val="auto"/>
        </w:rPr>
        <w:t xml:space="preserve"> is comprised of the 6,071-mile Enterprise Texas pipeline system and the 648-mile Channel pipeline system. The Texas Intrastate System gathers, transports and stores natural gas from supply basins in Texas including the Permian Basin and Eagle Ford and Barnett Shales for delivery to local gas distribution companies, electric utility plants and industrial and municipal consumers. The system is also connected to regional natural gas processing facilities and other intrastate and interstate pipelines. The Texas Intrastate System serves a number of commercial markets in Texas, including Corpus Christi, San Antonio/Austin, Beaumont/Orange and Houston, including the Houston Ship Channel industrial market.</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30" w:lineRule="auto"/>
        <w:tabs>
          <w:tab w:leader="none" w:pos="50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Acadian Gas System</w:t>
      </w:r>
      <w:r>
        <w:rPr>
          <w:rFonts w:ascii="Times New Roman" w:cs="Times New Roman" w:eastAsia="Times New Roman" w:hAnsi="Times New Roman"/>
          <w:sz w:val="18"/>
          <w:szCs w:val="18"/>
          <w:color w:val="auto"/>
        </w:rPr>
        <w:t xml:space="preserve"> transports, stores and markets natural gas in Louisiana. The Acadian Gas System is comprised of the 1,006-mile Acadian pipeline, 292-mile Acadian Haynesville Extension pipeline, 83-mile Gillis Lateral pipeline and 28-mile Enterprise Pelican pipeline. The Acadian Gas System links natural gas supplies from Louisiana (e.g., from the Haynesville Shale supply basin) and offshore Gulf of Mexico developments with local gas distribution companies, electric utility plants and industrial customers located primarily in the Baton Rouge/New Orleans/Mississippi River corridor. Additionally, the Acadian Gas System delivers natural gas production from the Haynesville Shale to the liquefied natural gas (“LNG”) markets in South Louisiana via the Gillis Lateral pipeline.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May 2023, we completed the expansion of our Acadian Haynesville Extension natural gas pipeline. This expansion added approximately 400 MMcf/d of Haynesville natural gas takeaway, which increased total natural gas transportation capacity on the Acadian Haynesville Extension from approximately 2.1 Bcf/d to 2.5 Bcf/d.</w:t>
      </w:r>
    </w:p>
    <w:p>
      <w:pPr>
        <w:spacing w:after="0" w:line="174" w:lineRule="exact"/>
        <w:rPr>
          <w:sz w:val="20"/>
          <w:szCs w:val="20"/>
          <w:color w:val="auto"/>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Jonah Gathering System</w:t>
      </w:r>
      <w:r>
        <w:rPr>
          <w:rFonts w:ascii="Times New Roman" w:cs="Times New Roman" w:eastAsia="Times New Roman" w:hAnsi="Times New Roman"/>
          <w:sz w:val="18"/>
          <w:szCs w:val="18"/>
          <w:color w:val="auto"/>
        </w:rPr>
        <w:t xml:space="preserve"> is located in the Greater Green River Basin of southwest Wyoming. This system gathers natural gas from the Jonah and Pinedale supply fields for delivery to regional natural gas processing facilities, including our Pioneer facility.</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Piceance Basin Gathering System</w:t>
      </w:r>
      <w:r>
        <w:rPr>
          <w:rFonts w:ascii="Times New Roman" w:cs="Times New Roman" w:eastAsia="Times New Roman" w:hAnsi="Times New Roman"/>
          <w:sz w:val="18"/>
          <w:szCs w:val="18"/>
          <w:color w:val="auto"/>
        </w:rPr>
        <w:t xml:space="preserve"> gathers natural gas produced from the Piceance Basin in northwestern Colorado to our Meeker natural gas processing facility.</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Midland Basin Gathering System</w:t>
      </w:r>
      <w:r>
        <w:rPr>
          <w:rFonts w:ascii="Times New Roman" w:cs="Times New Roman" w:eastAsia="Times New Roman" w:hAnsi="Times New Roman"/>
          <w:sz w:val="18"/>
          <w:szCs w:val="18"/>
          <w:color w:val="auto"/>
        </w:rPr>
        <w:t>, which is located in West Texas, gathers natural gas from the Midland Basin for delivery to our Midland Basin processing facility. We acquired this system in February 2022, along with our Midland Basin processing facility. For more information regarding this acquisition, see Note 12 of the Notes to Consolidated Financial Statements under Part II, Item 8 of this annual report.</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22"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Delaware Basin Gathering System</w:t>
      </w:r>
      <w:r>
        <w:rPr>
          <w:rFonts w:ascii="Times New Roman" w:cs="Times New Roman" w:eastAsia="Times New Roman" w:hAnsi="Times New Roman"/>
          <w:sz w:val="18"/>
          <w:szCs w:val="18"/>
          <w:color w:val="auto"/>
        </w:rPr>
        <w:t xml:space="preserve"> is comprised of the 1,130-mile Carlsbad pipeline system, the 585-mile Waha pipeline system, the 34-mile Orla pipeline system and the 23-mile Mentone pipeline system. The Delaware Basin Gathering System gathers natural gas from the Delaware Basin for delivery to regional natural gas processing facilities, including our Delaware Basin natural gas processing facility, and delivers residue and treated natural gas into our Texas Intrastate System and third-party pipelines.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White River Hub</w:t>
      </w:r>
      <w:r>
        <w:rPr>
          <w:rFonts w:ascii="Times New Roman" w:cs="Times New Roman" w:eastAsia="Times New Roman" w:hAnsi="Times New Roman"/>
          <w:sz w:val="18"/>
          <w:szCs w:val="18"/>
          <w:color w:val="auto"/>
        </w:rPr>
        <w:t xml:space="preserve"> is a natural gas hub facility serving producers in the Piceance Basin. The facility enables producers to access six interstate natural gas pipelines and has a gross throughput capacity of 3 Bcf/d of natural gas.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BTA Gathering System</w:t>
      </w:r>
      <w:r>
        <w:rPr>
          <w:rFonts w:ascii="Times New Roman" w:cs="Times New Roman" w:eastAsia="Times New Roman" w:hAnsi="Times New Roman"/>
          <w:sz w:val="18"/>
          <w:szCs w:val="18"/>
          <w:color w:val="auto"/>
        </w:rPr>
        <w:t>, which is located in East Texas, gathers and treats natural gas from the Haynesville Shale and Bossier, Cotton Valley and Travis Peak formations. This system includes our Fairplay Gathering System.</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Haynesville Gathering System</w:t>
      </w:r>
      <w:r>
        <w:rPr>
          <w:rFonts w:ascii="Times New Roman" w:cs="Times New Roman" w:eastAsia="Times New Roman" w:hAnsi="Times New Roman"/>
          <w:sz w:val="18"/>
          <w:szCs w:val="18"/>
          <w:color w:val="auto"/>
        </w:rPr>
        <w:t xml:space="preserve"> gathers and treats natural gas produced from the Haynesville and Bossier Shale supply basins and the Cotton Valley and Taylor Sand formations in Louisiana and eastern Texas for delivery to regional markets, including (through an interconnect with the Acadian Haynesville Extension pipeline) markets served by our Acadian Gas System.</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4"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San Juan Gathering System</w:t>
      </w:r>
      <w:r>
        <w:rPr>
          <w:rFonts w:ascii="Times New Roman" w:cs="Times New Roman" w:eastAsia="Times New Roman" w:hAnsi="Times New Roman"/>
          <w:sz w:val="18"/>
          <w:szCs w:val="18"/>
          <w:color w:val="auto"/>
        </w:rPr>
        <w:t xml:space="preserve"> gathers and treats natural gas produced from the San Juan Basin in northern New Mexico and southern Colorado and delivers the natural gas either directly into interstate pipelines or to regional natural gas plants, including our Chaco facility, for processing prior to being transported on interstate pipelines.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Indian Springs Gathering System</w:t>
      </w:r>
      <w:r>
        <w:rPr>
          <w:rFonts w:ascii="Times New Roman" w:cs="Times New Roman" w:eastAsia="Times New Roman" w:hAnsi="Times New Roman"/>
          <w:sz w:val="18"/>
          <w:szCs w:val="18"/>
          <w:color w:val="auto"/>
        </w:rPr>
        <w:t xml:space="preserve">, along with the </w:t>
      </w:r>
      <w:r>
        <w:rPr>
          <w:rFonts w:ascii="Times New Roman" w:cs="Times New Roman" w:eastAsia="Times New Roman" w:hAnsi="Times New Roman"/>
          <w:sz w:val="18"/>
          <w:szCs w:val="18"/>
          <w:i w:val="1"/>
          <w:iCs w:val="1"/>
          <w:color w:val="auto"/>
        </w:rPr>
        <w:t>Big Thicket Gathering System</w:t>
      </w:r>
      <w:r>
        <w:rPr>
          <w:rFonts w:ascii="Times New Roman" w:cs="Times New Roman" w:eastAsia="Times New Roman" w:hAnsi="Times New Roman"/>
          <w:sz w:val="18"/>
          <w:szCs w:val="18"/>
          <w:color w:val="auto"/>
        </w:rPr>
        <w:t>, gather natural gas from the Woodbine, Wilcox and Yegua production areas in East Texas.</w:t>
      </w:r>
    </w:p>
    <w:p>
      <w:pPr>
        <w:spacing w:after="0" w:line="197" w:lineRule="exact"/>
        <w:rPr>
          <w:rFonts w:ascii="Times New Roman" w:cs="Times New Roman" w:eastAsia="Times New Roman" w:hAnsi="Times New Roman"/>
          <w:sz w:val="29"/>
          <w:szCs w:val="29"/>
          <w:color w:val="auto"/>
          <w:vertAlign w:val="superscript"/>
        </w:rPr>
      </w:pPr>
    </w:p>
    <w:p>
      <w:pPr>
        <w:ind w:left="500" w:right="2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Delmita Gathering System</w:t>
      </w:r>
      <w:r>
        <w:rPr>
          <w:rFonts w:ascii="Times New Roman" w:cs="Times New Roman" w:eastAsia="Times New Roman" w:hAnsi="Times New Roman"/>
          <w:sz w:val="18"/>
          <w:szCs w:val="18"/>
          <w:color w:val="auto"/>
        </w:rPr>
        <w:t xml:space="preserve"> gathers natural gas from the Frio-Vicksburg formation in South Texas for delivery to our South Texas natural gas processing facilities.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South Texas Gathering System</w:t>
      </w:r>
      <w:r>
        <w:rPr>
          <w:rFonts w:ascii="Times New Roman" w:cs="Times New Roman" w:eastAsia="Times New Roman" w:hAnsi="Times New Roman"/>
          <w:sz w:val="18"/>
          <w:szCs w:val="18"/>
          <w:color w:val="auto"/>
        </w:rPr>
        <w:t xml:space="preserve"> gathers natural gas from the Olmos and Wilcox formations for delivery to our South Texas natural gas processing facilities.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09" w:lineRule="auto"/>
        <w:tabs>
          <w:tab w:leader="none" w:pos="500"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Old Ocean Pipeline</w:t>
      </w:r>
      <w:r>
        <w:rPr>
          <w:rFonts w:ascii="Times New Roman" w:cs="Times New Roman" w:eastAsia="Times New Roman" w:hAnsi="Times New Roman"/>
          <w:sz w:val="17"/>
          <w:szCs w:val="17"/>
          <w:color w:val="auto"/>
        </w:rPr>
        <w:t xml:space="preserve"> transports natural gas from an injection point on our Texas Intrastate System near Maypearl, Texas for delivery to a pipeline interconnect at Sweeny, Texas. A third party serves as operator of the pipeline, which has a gross natural gas transportation capacity of 160 MMcf/d.</w:t>
      </w:r>
    </w:p>
    <w:p>
      <w:pPr>
        <w:spacing w:after="0" w:line="197" w:lineRule="exact"/>
        <w:rPr>
          <w:rFonts w:ascii="Times New Roman" w:cs="Times New Roman" w:eastAsia="Times New Roman" w:hAnsi="Times New Roman"/>
          <w:sz w:val="28"/>
          <w:szCs w:val="28"/>
          <w:color w:val="auto"/>
          <w:vertAlign w:val="superscript"/>
        </w:rPr>
      </w:pPr>
    </w:p>
    <w:p>
      <w:pPr>
        <w:ind w:left="500" w:right="20" w:hanging="330"/>
        <w:spacing w:after="0" w:line="200" w:lineRule="auto"/>
        <w:tabs>
          <w:tab w:leader="none" w:pos="50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Central Treating Facility</w:t>
      </w:r>
      <w:r>
        <w:rPr>
          <w:rFonts w:ascii="Times New Roman" w:cs="Times New Roman" w:eastAsia="Times New Roman" w:hAnsi="Times New Roman"/>
          <w:sz w:val="18"/>
          <w:szCs w:val="18"/>
          <w:color w:val="auto"/>
        </w:rPr>
        <w:t xml:space="preserve"> is located in Rio Blanco County, Colorado and serves producers in the Piceance Basin. Natural gas delivered to the treating facility is treated to remove impurities and transported to our Meeker processing trains for further processing.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marketing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natural gas marketing activities generate revenues from the sale and delivery of natural gas purchased from producers, regional natural gas processing facilities and on the open market. Our natural gas marketing customers include local gas distribution companies and electric utility plants. The results of operations from our natural gas marketing activities are primarily dependent upon the difference, or spread, between natural gas sales prices and the associated purchase and other costs, including those costs attributable to the use of our assets. In general, sales prices referenced in the underlying contracts are market-based and may include pricing differentials for factors such as delivery location.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commodity price risk to the extent that we take title to natural gas volumes in connection with our natural gas marketing activities and certain intrastate natural gas transportation contracts. In addition, we purchase and resell natural gas for certain producers that use our San Juan, Piceance, Midland Basin, Delaware Basin and Jonah Gathering Systems and certain segments of our Acadian Gas and Texas Intrastate Systems. Also, several of our natural gas gathering systems, while not providing marketing services, have some exposure to risks related to fluctuations in commodity prices through transportation arrangements with shippers. For example, nearly all of the transportation revenues generated by our San Juan Gathering System are based on a percentage of a regional natural gas price index. This index may fluctuate based on a variety of factors, including changes in natural gas supply and consumer demand. We attempt to mitigate these price risks through the use of commodity derivative instruments. For a discussion of our commodity hedging program, see Part II, Item 7A of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segment includes our:</w:t>
      </w:r>
    </w:p>
    <w:p>
      <w:pPr>
        <w:spacing w:after="0" w:line="126" w:lineRule="exact"/>
        <w:rPr>
          <w:sz w:val="20"/>
          <w:szCs w:val="20"/>
          <w:color w:val="auto"/>
        </w:rPr>
      </w:pPr>
    </w:p>
    <w:p>
      <w:pPr>
        <w:ind w:left="500" w:hanging="330"/>
        <w:spacing w:after="0"/>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propylene production facilities, which include propylene fractionation units and PDH facilities, and related pipelines and marketing activities;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butane isomerization complex and related DIB operations;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octane enhancement, iBDH and HPIB production facilities;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refined products pipelines, terminals and related marketing activities;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ethylene export terminal and related operations; and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marine transportation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Propylene production facilities and related operations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propylene production facilities and related operations include propylene fractionation (or splitter) units, PDH facilities, propylene pipelines, propylene export assets and related petrochemical marketing activities.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Propylene production and related marketing activities</w:t>
      </w:r>
      <w:r>
        <w:rPr>
          <w:rFonts w:ascii="Times New Roman" w:cs="Times New Roman" w:eastAsia="Times New Roman" w:hAnsi="Times New Roman"/>
          <w:sz w:val="18"/>
          <w:szCs w:val="18"/>
          <w:color w:val="auto"/>
        </w:rPr>
        <w:t>. Propylene is a key feedstock used by the petrochemical industry. There are three grades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propylene: polymer grade propylene (“PGP”), with a minimum purity of 99.5%; chemical grade propylene (“CGP”), with a minimum purity of approximately 93-94%; and refinery grade propylene (“RGP”), with a purity of approximately 70%. Propylene fractionation units separate RGP, which is a mixture of propane and propylene, into either PGP or CGP. Our PDH facilities produce PGP using propane feedstocks. The demand for PGP primarily relates to the manufacture of polypropylene, which has a variety of end uses including packaging film, fiber for carpets and upholstery, molded plastic parts for appliances, and automotive, houseware and medical products. CGP is a basic petrochemical used in the manufacturing of plastics, synthetic fibers and foams.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we fractionate RGP for customers, we enter into toll processing arrangements. In our petrochemical marketing activities, we purchase RGP on the open market for fractionation at our splitter units and sell the resulting PGP to customers at market-based prices. The results of this marketing activity are primarily dependent upon the difference, or spread, between the sales prices of the PGP and the associated purchase and other costs, including the costs attributable to use of our propylene production assets and related infrastructure. To limit the exposure of these marketing activities to price risk, we attempt to match the timing and price of our feedstock purchases with those of the sales of end products.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petrochemical marketing activities also include the purchase of propane for our PDH facilities to process into PGP, which is then sold to customers under long-term sales contracts (take-or-pay arrangements) that feature minimum volume commitments and contractual pricing that minimizes our commodity price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information regarding our propylene production facilities at February 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Net Plant</w:t>
            </w:r>
          </w:p>
        </w:tc>
        <w:tc>
          <w:tcPr>
            <w:tcW w:w="50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Plant</w:t>
            </w:r>
          </w:p>
        </w:tc>
        <w:tc>
          <w:tcPr>
            <w:tcW w:w="0" w:type="dxa"/>
            <w:vAlign w:val="bottom"/>
          </w:tcPr>
          <w:p>
            <w:pPr>
              <w:spacing w:after="0"/>
              <w:rPr>
                <w:sz w:val="1"/>
                <w:szCs w:val="1"/>
                <w:color w:val="auto"/>
              </w:rPr>
            </w:pPr>
          </w:p>
        </w:tc>
      </w:tr>
      <w:tr>
        <w:trPr>
          <w:trHeight w:val="174"/>
        </w:trPr>
        <w:tc>
          <w:tcPr>
            <w:tcW w:w="42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140" w:type="dxa"/>
            <w:vAlign w:val="bottom"/>
            <w:vMerge w:val="restart"/>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500" w:type="dxa"/>
            <w:vAlign w:val="bottom"/>
          </w:tcPr>
          <w:p>
            <w:pPr>
              <w:spacing w:after="0"/>
              <w:rPr>
                <w:sz w:val="15"/>
                <w:szCs w:val="15"/>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186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(MBPD)</w:t>
            </w: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(MBPD)</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Propylene fractionation facilities:</w:t>
            </w: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Chambers County (six units)</w:t>
            </w:r>
          </w:p>
        </w:tc>
        <w:tc>
          <w:tcPr>
            <w:tcW w:w="2140" w:type="dxa"/>
            <w:vAlign w:val="bottom"/>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980" w:type="dxa"/>
            <w:vAlign w:val="bottom"/>
            <w:shd w:val="clear" w:color="auto" w:fill="CCEEFF"/>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BRPC (one unit)</w:t>
            </w:r>
          </w:p>
        </w:tc>
        <w:tc>
          <w:tcPr>
            <w:tcW w:w="2140" w:type="dxa"/>
            <w:vAlign w:val="bottom"/>
            <w:tcBorders>
              <w:bottom w:val="single" w:sz="8" w:color="CCEEFF"/>
            </w:tcBorders>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8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980" w:type="dxa"/>
            <w:vAlign w:val="bottom"/>
            <w:tcBorders>
              <w:bottom w:val="single" w:sz="8" w:color="CCEEFF"/>
            </w:tcBorders>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0"/>
        </w:trPr>
        <w:tc>
          <w:tcPr>
            <w:tcW w:w="4240" w:type="dxa"/>
            <w:vAlign w:val="bottom"/>
            <w:tcBorders>
              <w:bottom w:val="single" w:sz="8" w:color="CCEEFF"/>
            </w:tcBorders>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89</w:t>
            </w:r>
          </w:p>
        </w:tc>
        <w:tc>
          <w:tcPr>
            <w:tcW w:w="13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PDH facilities:</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PDH 1</w:t>
            </w:r>
          </w:p>
        </w:tc>
        <w:tc>
          <w:tcPr>
            <w:tcW w:w="2140" w:type="dxa"/>
            <w:vAlign w:val="bottom"/>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55"/>
        </w:trPr>
        <w:tc>
          <w:tcPr>
            <w:tcW w:w="4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PDH 2</w:t>
            </w:r>
          </w:p>
        </w:tc>
        <w:tc>
          <w:tcPr>
            <w:tcW w:w="2140" w:type="dxa"/>
            <w:vAlign w:val="bottom"/>
            <w:tcBorders>
              <w:bottom w:val="single" w:sz="8" w:color="CCEEFF"/>
            </w:tcBorders>
            <w:shd w:val="clear" w:color="auto" w:fill="CCEEFF"/>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w w:val="95"/>
              </w:rPr>
              <w:t>Texas</w:t>
            </w:r>
          </w:p>
        </w:tc>
        <w:tc>
          <w:tcPr>
            <w:tcW w:w="8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6"/>
        </w:trPr>
        <w:tc>
          <w:tcPr>
            <w:tcW w:w="42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1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00" w:hanging="492"/>
        <w:spacing w:after="0" w:line="233"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a 66.7% undivided interest in three of the propylene splitters, which have an aggregate 40 MBPD of total plant capacity. The remaining three propylene fractionation units are wholly owned.</w:t>
      </w:r>
    </w:p>
    <w:p>
      <w:pPr>
        <w:ind w:left="500" w:hanging="492"/>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30% ownership interest in the BRPC facility is held indirectly through our equity method investment in Baton Rouge Propylene Concentrator LLC (“BRPC”).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produce PGP at our Chambers County facilities and CGP at our BRPC facility. On a weighted-average basis, the overall utilization rate of our propylene production facilities was approximately 72.9%, 90.0% and 88.7% during the years ended December 31, 2023, 2022 and 2021, respectively.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demand for propylene is increasing; however, the use of lighter crude oil feedstocks by U.S. refiners and increased use of ethane by steam crackers has reduced propylene production from these traditional sources. This has led to the development of more “on purpose” propylene production facilities such as our PDH facilities located in Chambers County, Texas, the second of which was placed into service in July 2023. The construction of each of our PDH facilities were underwritten by long-term, fee-based contracts that feature minimum volume commitments. Each of these facilities has the capacity to produce up to 1.65 billion pounds per year, or approximately 25 MBPD, of PGP. At this nameplate production rate, each facility upgrades approximately 35 MBPD of propane as feedstock. These PDH facilities are integrated with our legacy Chambers County propylene fractionation units, which provides us with operational reliability and flexibility for both the PDH facilities and the fractionation units. Our integrated system has the capability to produce an aggregate 11 billion pounds of propylene per year.</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Propylene pipelines</w:t>
      </w:r>
      <w:r>
        <w:rPr>
          <w:rFonts w:ascii="Times New Roman" w:cs="Times New Roman" w:eastAsia="Times New Roman" w:hAnsi="Times New Roman"/>
          <w:sz w:val="18"/>
          <w:szCs w:val="18"/>
          <w:color w:val="auto"/>
        </w:rPr>
        <w:t>. The results of operations from our petrochemical pipelines are primarily dependent upon the volume of products transported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fees we charge for such transportation services. The following table presents selected information regarding our propylene pipelines at February 1,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 of Asset</w:t>
            </w:r>
          </w:p>
        </w:tc>
        <w:tc>
          <w:tcPr>
            <w:tcW w:w="2860" w:type="dxa"/>
            <w:vAlign w:val="bottom"/>
            <w:vMerge w:val="restart"/>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198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80"/>
        </w:trPr>
        <w:tc>
          <w:tcPr>
            <w:tcW w:w="488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5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(Miles)</w:t>
            </w:r>
          </w:p>
        </w:tc>
        <w:tc>
          <w:tcPr>
            <w:tcW w:w="0" w:type="dxa"/>
            <w:vAlign w:val="bottom"/>
          </w:tcPr>
          <w:p>
            <w:pPr>
              <w:spacing w:after="0"/>
              <w:rPr>
                <w:sz w:val="1"/>
                <w:szCs w:val="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Texas RGP Gathering System</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49"/>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Lou-Tex Propylene Pipeline</w:t>
            </w:r>
          </w:p>
        </w:tc>
        <w:tc>
          <w:tcPr>
            <w:tcW w:w="28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Dean Pipeline System</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49"/>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Propylene Splitter PGP Distribution System</w:t>
            </w:r>
          </w:p>
        </w:tc>
        <w:tc>
          <w:tcPr>
            <w:tcW w:w="28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Taurus Pipeline</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48"/>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Louisiana RGP Gathering System</w:t>
            </w:r>
          </w:p>
        </w:tc>
        <w:tc>
          <w:tcPr>
            <w:tcW w:w="286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Lake Charles PGP Pipeline</w:t>
            </w:r>
          </w:p>
        </w:tc>
        <w:tc>
          <w:tcPr>
            <w:tcW w:w="2860" w:type="dxa"/>
            <w:vAlign w:val="bottom"/>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4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Sabine Pipeline</w:t>
            </w:r>
          </w:p>
        </w:tc>
        <w:tc>
          <w:tcPr>
            <w:tcW w:w="28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 Louisiana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8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55"/>
        </w:trPr>
        <w:tc>
          <w:tcPr>
            <w:tcW w:w="48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 Porte PGP Pipeline</w:t>
            </w:r>
          </w:p>
        </w:tc>
        <w:tc>
          <w:tcPr>
            <w:tcW w:w="2860" w:type="dxa"/>
            <w:vAlign w:val="bottom"/>
            <w:tcBorders>
              <w:bottom w:val="single" w:sz="8" w:color="CCEEFF"/>
            </w:tcBorders>
            <w:shd w:val="clear" w:color="auto" w:fill="CCEEFF"/>
          </w:tcPr>
          <w:p>
            <w:pPr>
              <w:jc w:val="center"/>
              <w:ind w:left="968"/>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9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0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5"/>
        </w:trPr>
        <w:tc>
          <w:tcPr>
            <w:tcW w:w="488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 70% consolidated interest in the Taurus Pipeline through our majority owned subsidiary Steor LLC.</w:t>
      </w:r>
    </w:p>
    <w:p>
      <w:pPr>
        <w:spacing w:after="0" w:line="3" w:lineRule="exact"/>
        <w:rPr>
          <w:rFonts w:ascii="Times New Roman" w:cs="Times New Roman" w:eastAsia="Times New Roman" w:hAnsi="Times New Roman"/>
          <w:sz w:val="14"/>
          <w:szCs w:val="14"/>
          <w:color w:val="auto"/>
        </w:rPr>
      </w:pPr>
    </w:p>
    <w:p>
      <w:pPr>
        <w:ind w:left="500" w:hanging="492"/>
        <w:spacing w:after="0" w:line="22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proportionately consolidate our 50% undivided interest in the Lake Charles PGP Pipeline.</w:t>
      </w:r>
    </w:p>
    <w:p>
      <w:pPr>
        <w:ind w:left="500" w:hanging="49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an 80% consolidated interest in the La Porte PGP Pipeline through our majority owned subsidiaries, La Porte Pipeline Company, L.P. and La Porte Pipeline GP, L.L.C.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petrochemical pipelines can transport depends on the operating rates achieved at a given point in time between various segments of each system (e.g., demand levels at each delivery point and the mix of products being transported). As a result, we measure the utilization rates of our petrochemical pipelines in terms of net throughput, which is based on our ownership interest. Total net throughput volumes were 161 MBPD, 163 MBPD and 152 MBPD during the years ended December 31, 2023,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exception of the Lake Charles PGP Pipeline in Louisiana, we operate all of our propylene production assets and related pipelines.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Propylene export assets. </w:t>
      </w:r>
      <w:r>
        <w:rPr>
          <w:rFonts w:ascii="Times New Roman" w:cs="Times New Roman" w:eastAsia="Times New Roman" w:hAnsi="Times New Roman"/>
          <w:sz w:val="18"/>
          <w:szCs w:val="18"/>
          <w:color w:val="auto"/>
        </w:rPr>
        <w:t>Our EHT marine terminal located on the Houston Ship Channel includes export assets capable of loading up to 3,000 barrels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 or 72 MBPD, of semi-refrigerated propylene.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Isomerization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and operate three isomerization units located in Chambers County, Texas having an aggregate processing capacity of 116 MBPD that comprise the largest commercial isomerization facility in the U.S. We also own and operate an 83-mile pipeline system used to transport high-purity isobutane from Chambers County, Texas to Port Neches, Texas and to Channelview, Texas.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demand for commercial isomerization services depends upon the energy industry’s requirements for isobutane and high-purity isobutane in excess of the isobutane produced through the process of NGL fractionation and refinery operations. Isomerization units convert normal butane feedstock into mixed butane, which is a stream of isobutane and normal butane. DIB units, of which we own and operate ten located at our Chambers County complex, then separate the isobutane from the normal butane. Any remaining unconverted (or residual) normal butane generated by the DIB process is then recirculated through the isomerization process until it has been converted into varying grades of isobutane, including high-purity isobutane. The primary uses of isobutane are for the production of propylene oxide, isooctane, isobutylene and alkylate for motor gasoline. We also use certain of our DIB units to fractionate mixed butanes originating from NGL fractionation activities, imports and other sources into isobutane and normal butane. The operating flexibility provided by our multiple standalone DIBs enables us to capture market opportunities resulting from fluctuations in demand and prices for different types of butanes.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our isomerization business are generally dependent on the volume of normal and mixed butanes processed and the level of toll processing fees charged to customers.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isomerization assets provide processing services to meet the needs of third-party customers and our other businesses, including our NGL marketing activities and octane enhancement production facility. On a weighted-average basis, the utilization rates of our isomerization facility were approximately 96.6%, 93.1% and 73.3% during the years ended December 31, 2023,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Octane enhancement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and operate an octane enhancement production facility located in Chambers County, Texas that is designed to produce isobutylene and either isooctane or methyl tertiary butyl ether (“MTBE”). The products produced by this facility are used by refiners to increase octane values in reformulated motor gasoline blends. The high-purity isobutane feedstocks consumed in the production of these products are supplied by our isomerization units.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our octane enhancement products at market-based prices. We attempt to mitigate the price risk associated with these products by entering into commodity derivative instruments. To the extent that we produce MTBE, it is sold exclusively into the export market. We measure the utilization of our octane enhancement facility in terms of its combined isooctane, isobutylene and MTBE production volumes, which averaged 27 MBPD, 26 MBPD and 14 MBPD during the years ended December 31, 2023, 2022 and 2021,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own and operate a facility located on the Houston Ship Channel that produces up to approximately 4 MBPD of HPIB and includes an associated storage facility with 0.6 MMBbls of related product storage capacity. The primary feedstock for this plant, an isobutane/isobutylene mix, is produced by our octane enhancement and iBDH facilities. HPIB is used in the production of polyisobutylene, which is used in the manufacture of lubricants and rubber. In general, we sell HPIB at market-based prices with a cost-based floor. On a weighted-average basis, utilization rates for this facility were 112.3%, 106.9% and 91.9% for the years ended December 31, 2023, 2022 and 2021, respectively.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Isobutane Dehydrogenation Unit. </w:t>
      </w:r>
      <w:r>
        <w:rPr>
          <w:rFonts w:ascii="Times New Roman" w:cs="Times New Roman" w:eastAsia="Times New Roman" w:hAnsi="Times New Roman"/>
          <w:sz w:val="18"/>
          <w:szCs w:val="18"/>
          <w:color w:val="auto"/>
        </w:rPr>
        <w:t>We own and operate an iBDH facility located in Chambers County, Texas that is capable of processing approximately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MBPD of butane into nearly 1 billion pounds per year of isobutylene. Production from the iBDH plant enables us to optimize our MTBE and high purity isobutylene assets and meet growing market demand for isobutylene.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Steam crackers and refineries have historically been the major source of propane and butane olefins for downstream use; however, with the increased use of light-end feedstocks such as ethane, the need for “on purpose” olefins production has increased. Like our PDH facilities, the iBDH facility helps meet market demand where traditional supplies have been reduced. The iBDH facility increases our production of high purity and low purity isobutylene, both of which are used as feedstocks to manufacture lubricants, rubber products and fuel additives. On a weighted-average basis, utilization rates for this facility were 86.0%, 86.7% and 88.9% for the years ended December 31, 2023, 2022 and 2021,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our octane enhancement, HPIB and iBDH facilities are generally dependent on the level of production volumes and the difference, or spread, between the sales prices of the products and the associated feedstock purchase costs and other operating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Refined products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refined products services business includes refined products pipelines, terminals and associated marketing activities.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Refined products pipelines</w:t>
      </w:r>
      <w:r>
        <w:rPr>
          <w:rFonts w:ascii="Times New Roman" w:cs="Times New Roman" w:eastAsia="Times New Roman" w:hAnsi="Times New Roman"/>
          <w:sz w:val="18"/>
          <w:szCs w:val="18"/>
          <w:color w:val="auto"/>
        </w:rPr>
        <w:t>. We own and operate the</w:t>
      </w:r>
      <w:r>
        <w:rPr>
          <w:rFonts w:ascii="Times New Roman" w:cs="Times New Roman" w:eastAsia="Times New Roman" w:hAnsi="Times New Roman"/>
          <w:sz w:val="18"/>
          <w:szCs w:val="18"/>
          <w:i w:val="1"/>
          <w:iCs w:val="1"/>
          <w:color w:val="auto"/>
        </w:rPr>
        <w:t xml:space="preserve"> TE Products Pipeline</w:t>
      </w:r>
      <w:r>
        <w:rPr>
          <w:rFonts w:ascii="Times New Roman" w:cs="Times New Roman" w:eastAsia="Times New Roman" w:hAnsi="Times New Roman"/>
          <w:sz w:val="18"/>
          <w:szCs w:val="18"/>
          <w:color w:val="auto"/>
        </w:rPr>
        <w:t>, which is a 3,026-mile pipeline system comprised of 2,910 miles of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interstate pipelines and 116 miles of unregulated intrastate Texas pipelines. The system primarily transports refined products from the upper Texas Gulf Coast to Seymour, Indiana. From Seymour, segments of the TE Products Pipeline extend to Chicago, Illinois; Lima, Ohio; Selkirk, New York; and a location near Philadelphia, Pennsylvania. East of Seymour, Indiana, the TE Products Pipeline is primarily dedicated to NGL transportation service. The refined products transported by the TE Products Pipeline are produced by refineries and include motor gasoline and distillates.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this pipeline system are dependent upon the volume of products transported and the level of fees charged to shippers. The tariffs charged for such services are either contractual or regulated by governmental agencies, including the FERC.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within this Part I, Items 1 and 2 discussion for information regarding governmental regulation of our liquids pipelines, including tariffs charged for transportation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number of barrels per day that our TE Products Pipeline can transport depends on the operating balance achieved at a given point in time between various segments of the system (e.g., demand levels at each delivery point and the mix of products being transported). As a result, we measure the utilization rate of this pipeline in terms of throughput. Aggregate throughput volumes by product type for the TE Products Pipeline were as follows for the years indicated:</w:t>
      </w:r>
    </w:p>
    <w:p>
      <w:pPr>
        <w:spacing w:after="0" w:line="24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7620</wp:posOffset>
            </wp:positionV>
            <wp:extent cx="24174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Refined products transportation (MBPD)</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502</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464</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Petrochemical transportation (MBPD)</w:t>
            </w:r>
          </w:p>
        </w:tc>
        <w:tc>
          <w:tcPr>
            <w:tcW w:w="1360" w:type="dxa"/>
            <w:vAlign w:val="bottom"/>
            <w:gridSpan w:val="3"/>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w:t>
            </w: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transportation (MBPD)</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 Products Pipeline system includes five non-regulated refined products truck terminals and access to approximately 21.2 MMBbls of aggregate storage capacity.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Texas Western Products System</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April 2022, we announced plans for our Texas Western Products System, which will utilize new and existing assets to primarily transport refined products from the U.S. Gulf Coast to markets in West Texas, New Mexico, Colorado and Utah.</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Refined products destined for these western markets will be sourced at our terminals near Beaumont, Texas and Baytown, Texas and stored at our complex in Chambers County, Texas. After aggregating refined products at our storage complex in Chambers County, TX, refined products will be transported and sold to customers at our Permian Terminal located in West Texas, our Jal and Moriarty Terminals located in New Mexico and our Grand Junction Terminal located in Utah. In order to facilitate the transportation and delivery of these refined products, the Texas Western Products System has leased capacity on approximately 1,225 miles of existing pipeline assets and constructed 20 tanks with aggregate storage capacity of 2.0 MMBbls. We expect the first phase of the Texas Western Products System, which is currently in the commissioning stage, will begin operations during the first quarter of 2024. The remainder of this system is expected to be completed and placed into service during the first half of 2024. The results of operations for this pipeline system will be dependent on the level of demand for refined products in the markets that it will serve.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Refined products marine terminals. </w:t>
      </w:r>
      <w:r>
        <w:rPr>
          <w:rFonts w:ascii="Times New Roman" w:cs="Times New Roman" w:eastAsia="Times New Roman" w:hAnsi="Times New Roman"/>
          <w:sz w:val="18"/>
          <w:szCs w:val="18"/>
          <w:color w:val="auto"/>
        </w:rPr>
        <w:t>We own and operate marine terminals located on the Neches River near Beaumont, Texas that handle refined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along with crude oil. Our Beaumont facilities include five deep-water ship docks, three barge docks and access to approximately 10.5 MMBbls of aggregate refined products storage capacity.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handle refined products at EHT on the Houston Ship Channel. In addition to providing vessel loading and unloading services for refined products, EHT’s refined products operations include 3.0 MMBbls of aggregate storage capacity through the use of 20 above-ground storage tanks.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from these marine terminals are primarily dependent upon the volume handled and the associated storage and other fees we charge.</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Refined products marketing activities. </w:t>
      </w:r>
      <w:r>
        <w:rPr>
          <w:rFonts w:ascii="Times New Roman" w:cs="Times New Roman" w:eastAsia="Times New Roman" w:hAnsi="Times New Roman"/>
          <w:sz w:val="18"/>
          <w:szCs w:val="18"/>
          <w:color w:val="auto"/>
        </w:rPr>
        <w:t>Our refined products marketing activities generate revenues from the sale and delivery of refined products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open market. The results of operations from our refined products marketing activities are primarily dependent upon the difference, or spread, between product sales prices and the associated purchase and other costs, including those costs attributable to the use of our other assets. In general, we sell our refined products at market-based prices, which may include pricing differentials for factors such as grade and delivery location. We use derivative instruments to mitigate our exposure to commodity price risks associated with our refined products marketing activities. For a discussion of our commodity hedging program, see Part II, Item 7A of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export terminal and related operations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ethylene export terminal located at our Morgan’s Point facility on the Houston Ship Channel features two docks with a combined nameplate capacity to load 1 million tons of ethylene per year and a refrigerated storage tank capable of handling 66 million pounds of ethylene. Ethylene is the primary feedstock for a wide variety of consumer products, including cell phones and computer parts, food packaging, apparel, textiles and personal protective equipment. We own a 50% consolidated member interest in Enterprise Navigator Ethylene Terminal LLC, which owns the export facility. In April 2022, we announced plans to expand the ethylene export capacity of our Morgan’s Point facility. The expansion project, which will be completed in two phases, will expand our existing capacity by 50% during 2024 and to more than double our current capacity by 2025.</w:t>
      </w:r>
    </w:p>
    <w:p>
      <w:pPr>
        <w:spacing w:after="0" w:line="1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ethylene system serves as an open market storage and trading hub for the ethylene industry by incorporating storage capacity, connections to multiple ethylene pipelines, and high-volume export capabilities. In support of our ethylene business, our Chambers County storage complex includes a high-capacity underground ethylene storage well having a storage capacity of more than 600 million pounds of ethylene. The storage well is connected to our Morgan’s Point ethylene export terminal and further to Bayport, Texas through a 58-mile pipeline 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operate the Baymark ethylene pipeline in South Texas, which is a leading growth area for new ethylene crackers and related facilities. The Baymark pipeline, which is supported by long-term customer commitments, originates in Bayport and extends 93 miles to Markham, Texas. We own a 70% consolidated interest in the Baymark pipeline through our majority owned subsidiary, Baymark Pipeline LLC. Customers using the Baymark pipeline have pipeline access to our high-capacity ethylene storage well in Chambers County and our export terminal at Morgan’s Point.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Marine transportation</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marine transportation business consists of 64 tow boats and 158 tank barges used to transport refined products, crude oil, asphalt, condensate, heavy fuel oil, LPG and other petroleum products on key U.S. inland and intracoastal waterway systems. The marine transportation industry uses tow boats as power sources and tank barges for freight capacity. We operate our marine transportation assets that serve refinery and storage terminal customers along the Mississippi River, the intracoastal waterway between Texas and Florida, and the Tennessee-Tombigbee waterway system. We own and operate shipyard and repair facilities located in Houma and Morgan City, Louisiana and marine fleeting facilities located in Bourg, Louisiana and Channelview, Texas.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from our marine transportation business are generally dependent upon the level of fees charged to transport petroleum products.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fleet of marine vessels operated at an average utilization rate of 95.8%, 92.3% and 85.2% during the years ended December 31, 2023, 2022 and 2021,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marine transportation business is subject to regulation, including by the U.S. Department of Transportation (“DOT”), Department of Homeland Security, U.S. Department of Commerce and the U.S. Coast Guard (“USCG”). For information regarding these regulations, see “</w:t>
      </w:r>
      <w:r>
        <w:rPr>
          <w:rFonts w:ascii="Times New Roman" w:cs="Times New Roman" w:eastAsia="Times New Roman" w:hAnsi="Times New Roman"/>
          <w:sz w:val="18"/>
          <w:szCs w:val="18"/>
          <w:i w:val="1"/>
          <w:iCs w:val="1"/>
          <w:color w:val="auto"/>
        </w:rPr>
        <w:t>Regulatory Matters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Regulation of Marine Operations</w:t>
      </w:r>
      <w:r>
        <w:rPr>
          <w:rFonts w:ascii="Times New Roman" w:cs="Times New Roman" w:eastAsia="Times New Roman" w:hAnsi="Times New Roman"/>
          <w:sz w:val="18"/>
          <w:szCs w:val="18"/>
          <w:color w:val="auto"/>
        </w:rPr>
        <w:t>,” within this Part I, Items 1 and 2 discussion.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describes the principal effects of regulation on our operations, including those regulations involving safety and environmental matters and the rates we charge customers for transportation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Safety and Conservation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safe operation of our pipelines and other assets is a top priority. We are committed to protecting the environment and the health and safety of the public and those working on our behalf by conducting our business activities in a safe and environmentally responsible manner.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Occupational Safety and Health</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facilities are subject to general industry requirements of the Federal Occupational Safety and Health Act, as amended (“OSHA”), and comparable state statutes. We believe we are in material compliance with OSHA and similar state requirements, including general industry standards, record keeping requirements and monitoring of occupational exposures of employees.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facilities are also subject to OSHA Process Safety Management (“PSM”) regulations, which are designed to prevent or minimize the consequences of catastrophic releases of toxic, reactive, flammable or explosive chemicals. These regulations apply to any process involving certain chemicals, flammable gases or liquids at or above a specified threshold (as defined in the regulations). In addition, we are subject to Risk Management Plan regulations of the U.S. Environmental Protection Agency (“EPA”) at certain facilities. These regulations are intended to complement the OSHA PSM regulations. These EPA regulations require us to develop and implement a risk management program that includes a five-year accident history report, an offsite consequence analysis process, a prevention program and an emergency response program. We believe we are operating in material compliance with the OSHA PSM regulations and the EPA’s Risk Management Plan requirements.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OSHA hazard communication standard, the community right-to-know regulations under Title III of the federal Superfund Amendments and Reauthorization Act, and comparable state statutes require us to organize and disclose information about the hazardous materials used in our operations. Certain parts of this information must be reported to federal, state and local governmental authorities and local citizens upon request. These laws and provisions of the Comprehensive Environmental Response, Compensation, and Liability Act (“CERCLA”) require us to report spills and releases of hazardous chemicals in certain situations.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Pipeline Safety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extensive regulation by the DOT as authorized under various provisions of Title 49 of the United States Code and comparable state statutes relating to the design, installation, testing, construction, operation, replacement and management of our pipelines and associated facilities, including breakout tanks and gas storage facilities. These statutes require companies that own or operate pipelines and associated facilities to (i) comply with such regulations, (ii) permit access to and copying of pertinent records, (iii) file certain reports and (iv) provide information as required by the U.S. Secretary of Transportation. The DOT regulates natural gas and hazardous liquids pipelines through its Pipeline and Hazardous Materials Safety Administration (“PHMSA”), and in many cases, enforcement authority is delegated to state agencies. Noncompliance with these requirements can result in substantial penalties. We believe we are in material compliance with DOT regulations.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Congress has periodically amended the pipeline safety laws to become more stringent and more broadly applicable. Similarly, PHMSA has undertaken several actions in recent years to increase the applicability and stringency of its regulations. Some examples of the types of subject areas governed through the pipeline safety laws, as specified in current or pending PHMSA regulations, include: (i) complying with industry consensus standards for safety of pipeline breakout tanks and underground natural gas storage facilities; (ii) maintaining and updating gas and hazardous liquid pipeline facility inspection and maintenance plans; (iii) leak detection and repair requirements; (iv) managing the maximum pressure of a pipeline facility, depending on factors such as its design, condition, inspection history, and material; and (v) additional integrity management, inspection, and other activities in designated “High Consequence Areas” such as populated areas, unusually sensitive areas, and commercially navigable waterways.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and/or implementation of more stringent requirements pursuant to regulations implementing all of the requirements of the pipeline safety laws, as well as any implementation of the PHMSA rules thereunder or reinterpretation of guidance by PHMSA or any state agencies with respect thereto, may result in us incurring significant and unanticipated expenditures to comply with such standards. Until any proposed regulations are finalized, the impact on our operations, if any, is not known.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operations are subject to various environmental and safety requirements and potential liabilities under extensive federal, state and local laws and regulations. These include, without limitation: CERCLA; the Resource Conservation and Recovery Act (“RCRA”); the Federal Clean Air Act (“CAA”); the Clean Water Act (“CWA”); the Oil Pollution Act of 1990 (“OPA”); the OSHA; the Emergency Planning and Community Right-to-Know Act; the National Historic Preservation Act; and comparable or analogous state and local laws and regulations. Such laws and regulations affect many aspects of our present and future operations, and generally require us to obtain and comply with a wide variety of environmental registrations, licenses, permits, inspections and other approvals with respect to air emissions, water quality, wastewater discharges and solid and hazardous waste management. Failure to comply with these requirements may expose us to fines, penalties and/or interruptions in our operations that could have a material adverse effect on our financial position, results of operations and cash flows.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leak, spill or release of hazardous substances occurs at any facilities that we own, operate or otherwise use, or where we send materials for treatment or disposal, we could be held liable for all resulting liabilities, including investigation, remedial and clean-up costs. Likewise, we could be required to remove previously disposed waste products or remediate contaminated property, including situations where groundwater has been impacted. Any or all of these developments could have a material adverse effect on our financial position, results of operations and cash flows.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existing environmental and safety laws and regulations and that our compliance with such regulations will not have a material adverse effect on our financial position, results of operations and cash flows. However, environmental and safety laws and regulations are subject to change. The trend in environmental regulation has been to place more restrictions and limitations on activities that may be perceived to impact the environment, and thus there can be no assurance as to the amount or timing of future expenditures for environmental regulation compliance or remediation. New or revised regulations that result in increased compliance costs or additional operating restrictions, particularly if those costs are not fully recoverable from our customers, could have a material adverse effect on our financial position, results of operations and cash flows.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occasion, we are assessed monetary sanctions by governmental authorities related to administrative or judicial proceedings involving environmental matters. See Part I, Item 3 of this annual report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Air Quality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are associated with regulated, permitted emissions of air pollutants. As a result, we are subject to the CAA and comparable state laws and regulations including state air quality implementation plans. These laws and regulations regulate emissions of air pollutants from various industrial sources, including certain of our facilities, and also impose various monitoring and reporting requirements. These laws and regulations may also require that we (i) obtain pre-approval for the construction or modification of certain projects or facilities expected to produce air emissions or result in an increase in existing levels of air emissions, (ii) obtain and strictly comply with the requirements of air permits containing various emission and operational limitations, or (iii) utilize specific emission control technologies to limit emissions.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Increasingly, environmental groups are challenging requests to receive, modify or renew permits and seeking to apply more stringent provisions on applicants. Our failure to comply with applicable requirements could subject us to monetary penalties, injunctions, conditions or restrictions on operations, including enforcement actions, and our inability to renew or secure a needed modification to an existing permit could adversely affect our operations. We may also be required to incur certain capital expenditures for air pollution control equipment in connection with obtaining and maintaining permits and approvals for air emissions.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Water Quality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CWA and comparable state laws impose strict controls on the discharge of petroleum and its derivatives into regulated waters. The CWA provides penalties for discharges of petroleum products and imposes substantial potential liability for the costs of removing petroleum or other hazardous substances. State laws for the control of water pollution also provide varying civil and criminal penalties and liabilities in the case of a release of petroleum or its derivatives into navigable waters or groundwater. Federal spill prevention control and countermeasure mandates require appropriate containment berms and similar structures to help prevent a petroleum tank release from impacting regulated waters. The EPA has also adopted regulations that require us to have permits in order to discharge regulated storm water run-off. Storm water discharge permits may also be required by certain states in which we operate and may impose monitoring and other requirements. The CWA prohibits discharges of dredged and fill material in wetlands and other waters of the U.S. unless authorized by an appropriately issued permit. We believe that our costs of compliance with these CWA requirements will not have a material adverse effect on our financial position, results of operations and cash flows.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federal law for crude oil spill liability is the OPA, which addresses three principal areas of crude oil pollution: prevention, containment and clean-up, and liability. The OPA is applicable to regulated vessels, deep-water ports, offshore production platforms and onshore facilities, including terminals, pipelines and transfer facilities. In order to handle, store or transport crude oil above certain thresholds, onshore facilities are required to file oil spill response plans with the USCG, the DOT’s Office of Pipeline Safety (“OPS”) or the EPA, as appropriate. Numerous states have enacted laws similar to the OPA. Under the OPA and similar state laws, responsible parties for a regulated facility from which crude oil is discharged may be liable for remediation costs, including damage to surrounding natural resources. Any unpermitted release of petroleum or other pollutants from our pipelines or facilities could result in fines or penalties as well as significant remediation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Contamination resulting from spills or releases of petroleum products is an inherent risk within the pipeline industry. To the extent that groundwater contamination requiring remediation exists along our pipeline systems or other facilities as a result of historical operations, we believe any such contamination could be controlled or remedied; however, such costs are site specific and there is no assurance that the impact will not be material in the aggregate.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Environmental groups have instituted lawsuits regarding certain nationwide permits issued by the U.S. Army Corps of Engineers. These permits allow for streamlined permitting of pipeline projects. If these lawsuits are successful, timelines for future pipeline construction projects could be adversely impacted.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Disposal of Hazardous and Non-Hazardous Wastes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normal operations, we generate hazardous and non-hazardous solid wastes that are subject to requirements of the federal RCRA and comparable state statutes, which impose detailed requirements for the handling, storage, treatment and disposal of solid waste. We also utilize waste minimization and recycling processes to reduce the volumes of our solid wastes.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CERCLA, also known as “Superfund,” imposes liability, often without regard to fault or the legality of the original act, on certain classes of persons who contributed to the release of a “hazardous substance” into the environment. These persons include the owner or operator of a facility where a release occurred and companies that disposed or arranged for the disposal of hazardous substances found at a facility. Under CERCLA, potentially responsible parties may be subject to joint and several liability for the costs of cleaning up the hazardous substances that have been released into the environment, for damages to natural resources and for the costs of certain health studies. Under enforcement provisions, the EPA and, in some instances, third parties can take actions in response to threats to the public health or the environment and to seek to recover the costs they incur from the responsible parties. It is not uncommon for neighboring landowners and other third parties to file claims for personal injury and property damage allegedly caused by hazardous substances or other pollutants released into the environment. In the course of our ordinary operations, our pipeline systems and other facilities generate wastes that may fall within CERCLA’s definition of a “hazardous substance” or be subject to CERCLA and RCRA remediation requirements. It is possible that we could incur liability for remediation, or reimbursement of remediation costs, under CERCLA or RCRA for remediation at sites we currently own or operate, whether as a result of our or our predecessors’ operations, at sites that we previously owned or operated, or at disposal facilities previously used by us, even if such disposal was legal at the time it was undertaken.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Endangered Species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Endangered Species Act, as amended, and comparable state laws, may restrict commercial or other activities that affect endangered and threatened species or their habitats. Some of our current or future planned facilities may be located in areas that are designated as a habitat for endangered or threatened species and, if so, may limit or impose increased costs on facility construction or operation. In addition, the designation of previously unidentified endangered or threatened species could cause us to incur additional costs or become subject to operating restrictions or bans in the affected areas.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 Regulation – Liquids Pipelines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NGL, refined products and crude oil pipeline systems provide interstate common carrier movements that are subject to regulation by FERC under the Interstate Commerce Act (“ICA”). Pipelines providing such movements (referred to as “interstate liquids pipelines”) include, but are not limited to: Aegis Ethane Pipeline, Dixie Pipeline, Front Range Pipeline, Mid-America Pipeline, Seaway Pipeline, Seminole NGL Pipeline and Texas Express Pipeline. These pipelines are owned by legal entities that are subject to FERC regulations, including periodic reporting requirements.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ICA prescribes that the rates we charge for transportation on these interstate liquids pipelines must be just and reasonable, and that the rules applied to our services not unduly discriminate against or confer any undue preference upon any shipper. The FERC regulations implementing the ICA further require that interstate liquids pipeline transportation rates and rules be filed with the FERC. The ICA permits interested persons to challenge proposed new or changed rates or rules and authorizes the FERC to investigate such changes and to suspend their effectiveness for a period of up to seven months. Upon completion of such an investigation, the FERC may require refunds of amounts collected above what it finds to be a just and reasonable level, together with interest. The FERC may also investigate, upon complaint or on its own motion, a carrier’s rates and related rules that are already in effect. If the FERC concludes, after holding a hearing on such complaint, that the challenged rate or rule was not just and reasonable, it may order a carrier to change the rate or rule prospectively and pay damages (i.e., reparations) caused by the imposition of such rate or rule for a period of up to two years prior to the filing of the complaint.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rates charged for our interstate liquids pipeline services are generally based on a FERC-approved indexing methodology, which allows a pipeline to charge rates up to a prescribed ceiling level that changes annually based upon the index adjustment promulgated by FERC for the year. A rate increase within the indexed rate ceiling is presumed to be just and reasonable unless a protesting party can demonstrate that the rate increase is substantially in excess of changes in the pipeline’s operating costs. The annual index adjustment that is prescribed by FERC reflects the year-to-year change in the U.S. Producer Price Index for Finished Goods (“PPI”) plus or minus a predetermined percentage (“Index Level”). The Index Level is subject to review and revision every five years. On December 17, 2020, the FERC issued a final rule setting the Index Level for the five-year period beginning July 1, 2021, and ending on June 30, 2026, at PPI plus 0.78%. On January 20, 2022, the FERC granted rehearing of certain aspects of the final rule and revised the index level to PPI minus 0.21% effective March 1, 2022 through June 30, 2026. The FERC ordered pipelines with filed rates that exceed their index ceiling levels based on PPI minus 0.21% to file rate reductions effective March 1, 2022. Enterprise, together with a number of other midstream companies, is currently contesting this index change in the U.S. Court of Appeals for the District of Columbia Circuit. This appeal could result in a further change to the index. As an alternative to this indexing methodology, we may also choose to support changes in our rates based on a cost-of-service methodology, by obtaining advance approval from FERC to charge “market-based rates,” or by charging “settlement rates” agreed to by all affected shippers. Certain of our pipelines have been granted market-based rate authority by the FERC, including Seaway.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FERC’s methodologies for approving rates could adversely affect us. We believe the transportation rates currently charged by our interstate liquids pipelines are in accordance with the ICA and applicable FERC regulations. However, we cannot predict the rates we will be allowed to charge in the future for transportation services by such pipelines.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 Regulation – Natural Gas Pipelines and Related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intrastate natural gas pipelines, including the Texas Intrastate System and Acadian Gas System, are subject to regulation by the FERC under the Natural Gas Policy Act of 1978 (“NGPA”), in connection with the transportation and storage services they provide pursuant to Section 311 of the NGPA. Under Section 311, along with the FERC’s implementing regulations, an intrastate pipeline may transport gas “on behalf of” an interstate pipeline company or any local distribution company served by an interstate pipeline, without becoming subject to the FERC’s broader regulatory authority under the Natural Gas Act of 1938 (“NGA”). These services must be provided on an open and nondiscriminatory basis, and the rates charged for these services may not exceed a “fair and equitable” level as determined by the FERC in periodic rate proceedings.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transportation rates currently charged and the services performed by our natural gas pipelines are all in accordance with the applicable requirements of the NGPA and FERC regulations. However, we cannot predict the rates we will be allowed to charge in the future for transportation services by our pipelines.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resale of natural gas in interstate commerce is subject to FERC regulation. In order to increase transparency in natural gas markets, the FERC has established rules requiring the annual reporting of data regarding natural gas sales. The FERC has also established regulations that prohibit manipulation of energy markets. A violation of the FERC’s regulations may subject us to civil and criminal penalties, suspension or loss of authorization to perform services or make sales of natural gas, disgorgement of unjust profits or other appropriate non-monetary remedies imposed by the FERC. Pursuant to the Energy Policy Act of 2005, the potential civil penalties for any violation of the NGA, NGPA, or any rules, regulations or orders of the FERC, were approximately $1.5 million per day per violation as of January 2024. The Federal Trade Commission and the Commodity Futures Trading Commission (“CFTC”) have also issued rules and regulations prohibiting energy market manipulation. We believe that our natural gas sales activities are in compliance with all applicable regulatory requirements.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Pipeline Transportation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Transportation services rendered by our intrastate liquids and natural gas pipelines are subject to regulation in many states, including Illinois, Kansas, Louisiana, Minnesota, New Mexico and Texas. Although the applicable state statutes and regulations vary widely, they generally require that intrastate pipelines publish tariffs setting forth all rates, rules and regulations applying to intrastate service, and generally require that pipeline rates and practices be reasonable and nondiscriminatory.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 of Marine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 of tow boats, barges and marine equipment create obligations involving property, personnel and cargo under General Maritime Law. These obligations create a variety of risks including, among other things, the risk of collision and allision, which may precipitate claims for personal injury, cargo, contract, pollution, third-party claims and property damages to vessels and facilities.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Jones Act and other federal laws that restrict maritime transportation between U.S. departure and destination points to vessels built and registered in the U.S. and owned and manned by U.S. citizens. As a result of this ownership requirement, we are responsible for monitoring the foreign ownership of our common units and other partnership interests. If we do not comply with such requirements, we would be prohibited from operating our vessels in U.S. coastwise trade, and under certain circumstances we would be deemed to have undertaken an unapproved foreign transfer, resulting in severe penalties, including permanent loss of U.S. coastwise trading rights for our vessels, fines or forfeiture of the vessels. In addition, the USCG and American Bureau of Shipping maintain the most stringent regime of vessel inspection in the world, which tends to result in higher regulatory compliance costs for U.S.-flagged operators than for owners of vessels registered under foreign flags of convenience. Our marine operations are also subject to the Merchant Marine Act of 1936, which under certain conditions would allow the U.S. government to requisition our marine assets in the event of a national emergency.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Discussion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considerable discussion over global warming and climate change including the environmental effects of greenhouse gas emissions and their associated consequences on global climate, oceans and ecosystems. Climate change could have a long-term impact on our operations. For example, our facilities that are located in low lying areas such as the coastal regions of Louisiana and Texas may be at increased risk due to flooding, rising sea levels, or disruption of operations from more frequent and severe weather events. Facilities in areas with limited water availability may be impacted if droughts become more frequent or severe. Changes in climate or weather may hinder exploration and production activities or increase the cost of production of oil and gas resources and consequently affect the volume of hydrocarbon products entering our system. Changes in climate or weather may also affect consumer demand for energy or alter the overall energy mix.</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governmental, scientific and public concerns that emissions of certain gases, commonly referred to as greenhouse gases, including gases associated with oil and natural gas production such as carbon dioxide, methane and nitrous oxide among others, contribute to a warming of the earth’s atmosphere and other adverse environmental effects, various governmental authorities have considered or taken actions to reduce emissions of greenhouse gases. For example, the EPA has taken action under the CAA to regulate greenhouse gas emissions. In addition, certain states (individually or in regional cooperation), including states in which some of our facilities or operations are located, have taken or proposed measures to reduce emissions of greenhouse gases. Also, the U.S. Congress from time to time has proposed legislative measures for imposing restrictions or requiring fees or carbon taxes for the emission of greenhouse gases. One such fee applicable to certain of our operations has been imposed by the Inflation Reduction Act of 2022, and is known as the “Methane emissions and waste reduction incentive program.”</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Actions have also taken place at the international level, with the U.S. being involved. Various policies and approaches discussed include establishing a cap on emissions, requiring efficiency measures, or providing incentives for emissions reduction, use of renewable energy, or use of replacement fuels with lower carbon content are under discussion and have and may continue to result in additional actions involving greenhouse gases.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federal, regional and state measures generally apply to industrial sources (including facilities in the oil and gas sector) and suppliers and distributors of fuel, and could increase the operating and compliance costs of our pipelines, natural gas processing facilities, fractionation plants and other facilities, and the costs of certain sale and distribution activities. These regulations could also adversely affect market demand and pricing for products handled by our midstream network, by affecting the price of, or reducing the demand for, fossil fuels or providing competitive advantages to competing fuels and energy sources. The potential increase in the costs of our operations could include costs to operate and maintain our facilities, install new emission controls on our facilities, acquire allowances to authorize our greenhouse gas emissions, pay taxes or fees related to our greenhouse gas emissions, or administer and manage a greenhouse gas emissions program. While we may be able to include some or all of such increased costs in the rates charged by our pipelines or other facilities, such recovery of costs is uncertain and may depend on events beyond our control, including the outcome of future rate proceedings before the FERC and the provisions of any final regulations.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direct regulation of emissions as described above, there has been an expansion of requirements and incentives relating to reporting greenhouse gas emissions and other climate change-related matters. Examples include the U.S. Securities and Exchange Commission’s (“SEC’s”) 2022 climate disclosure proposal, expanded greenhouse gas and climate change-related reporting requirements enacted by the California legislature in 2023, and periodic requests from commercial counterparties. We currently file greenhouse gas emission reports for certain facilities and equipment subject to EPA reporting regulations. However, we do not publicly report our total direct or indirect greenhouse gas emissions, and it may not be feasible to quantify all types of emissions without relying on estimates. If we are required to determine comprehensively and report publicly our full direct and indirect greenhouse gas emissions, or certain other climate change-related matters, then it could entail significant costs and administrative burdens and be a source of potential liability and negative publicity. Alternatively, if we do not make such public disclosures, we may be prevented from operating or supplying products into certain markets or dealing with certain counterparties.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changes in regulatory policies or market preferences that result in a reduction in the demand for hydrocarbon products that are deemed to contribute to greenhouse gases, or restrictions on their use, may reduce volumes available to us for processing, transportation, marketing and storage.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Within their respective market areas, our natural gas processing facilities and related NGL marketing activities encounter competition primarily from independent processors, major integrated oil companies, and financial institutions with commodity trading platforms. Each of our marketing competitors has varying levels of financial and personnel resources, and competition generally revolves around price, quality of customer service and proximity to customers and other market hubs. In the markets served by our NGL pipelines, we compete with a number of intrastate and interstate pipeline companies (including those affiliated with major oil, petrochemical and natural gas companies) and barge, rail and truck fleet operations. In general, our NGL pipelines compete with these entities in terms of transportation fees, reliability and quality of customer service.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competitors in the NGL and related product storage business are major integrated oil companies, chemical companies and other storage and pipeline companies. We compete with other storage service providers primarily in terms of the fees charged, number of pipeline connections provided and operational dependability. Our export terminal operations compete with those operated by major oil and gas and chemical companies and other midstream service providers primarily in terms of loading and offloading throughput capacity and access to related pipeline and storage infrastructure.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with a number of NGL fractionators in Kansas, Louisiana, New Mexico and Texas. Competition for such services is primarily based on the fractionation fee charged. However, the ability of an NGL fractionator to receive a customer’s mixed NGLs and store and distribute the resulting purity NGL products is also an important competitive factor and is a function of having the necessary pipeline and storage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their respective market areas, our crude oil pipelines, storage and marine terminals and related marketing activities compete with other crude oil pipeline companies, rail carriers, major integrated oil companies and their marketing affiliates, financial institutions with commodity trading platforms and independent crude oil gathering and marketing companies. The crude oil business can be characterized by intense competition for supplies of crude oil at the wellhead. Competition is based primarily on quality of customer service, competitive pricing and proximity to customers and market hubs.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Our natural gas marketing activities compete primarily with other natural gas pipeline companies and their marketing affiliates as well as standalone natural gas marketing and trading firms. Competition in the natural gas marketing business is based primarily on competitive pricing, proximity to customers and market hubs, and quality of customer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with numerous producers of PGP, which include many of the major refiners and petrochemical companies located along the Gulf Coast, in terms of the level of toll processing fees charged and access to pipeline and storage infrastructure. Our petrochemical marketing activities encounter competition from major integrated oil companies and various petrochemical companies that have varying levels of financial and personnel resources, and competition generally revolves around product price, quality of customer service, logistics and location.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isomerization operations, we compete primarily with facilities located in Kansas, Louisiana and New Mexico. Competitive factors affecting this business include the level of toll processing fees charged, the quality of isobutane that can be produced and access to supporting pipeline and storage infrastructure. We compete with other octane additive manufacturing companies primarily on the basis of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our TE Products Pipeline, the pipeline’s most significant competitors are third-party pipelines in the areas where it delivers products. Competition among common carrier pipelines is based primarily on transportation fees, quality of customer service and proximity to end users. Trucks, barges and railroads competitively deliver products into some of the markets served by our TE Products Pipeline and river terminals. The TE Products Pipeline also faces competition from rail and pipeline movements of NGLs from Canada and waterborne imports into terminals located along the upper East Coast.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marine transportation business competes with other inland marine transportation companies as well as providers of other modes of transportation, such as rail tank cars, tractor-trailer tank trucks and, to a limited extent, pipelines. Competition within the marine transportation business is largely based on performance and price. Also, substantial new construction of inland marine vessels could create an oversupply and intensify competition for our marine transportation business.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discussion of the general risks involving competition, see “</w:t>
      </w:r>
      <w:r>
        <w:rPr>
          <w:rFonts w:ascii="Times New Roman" w:cs="Times New Roman" w:eastAsia="Times New Roman" w:hAnsi="Times New Roman"/>
          <w:sz w:val="18"/>
          <w:szCs w:val="18"/>
          <w:i w:val="1"/>
          <w:iCs w:val="1"/>
          <w:color w:val="auto"/>
        </w:rPr>
        <w:t>We face competition from third parties in our midstream energy businesses</w:t>
      </w:r>
      <w:r>
        <w:rPr>
          <w:rFonts w:ascii="Times New Roman" w:cs="Times New Roman" w:eastAsia="Times New Roman" w:hAnsi="Times New Roman"/>
          <w:sz w:val="18"/>
          <w:szCs w:val="18"/>
          <w:color w:val="auto"/>
        </w:rPr>
        <w:t>” under Part I, Item 1A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majority of our businesses are not materially affected by seasonality, certain aspects of our operations are impacted by seasonal changes such as tropical weather events, energy demand in connection with heating and cooling requirements and for the summer driving season. Examples include:</w:t>
      </w:r>
    </w:p>
    <w:p>
      <w:pPr>
        <w:spacing w:after="0" w:line="162" w:lineRule="exact"/>
        <w:rPr>
          <w:sz w:val="20"/>
          <w:szCs w:val="20"/>
          <w:color w:val="auto"/>
        </w:rPr>
      </w:pPr>
    </w:p>
    <w:p>
      <w:pPr>
        <w:ind w:left="500" w:hanging="330"/>
        <w:spacing w:after="0" w:line="199"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operations along the Gulf Coast, including those at our Chambers County complex, may be affected by weather events such as hurricanes and tropical storms, which generally arise during the summer and fall months.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Residential demand for natural gas typically peaks during the winter months in connection with heating needs and during the summer months for power generation for air conditioning. These seasonal trends affect throughput volumes on our natural gas pipelines and associated natural gas storage levels and marketing results.</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Residential demand for propane typically peaks during the winter months in connection with heating needs in rural areas. These seasonal trends can affect throughput volumes on our TE Products Pipeline, Dixie Pipeline and Mid-America Pipeline System and associated terminals.</w:t>
      </w:r>
    </w:p>
    <w:p>
      <w:pPr>
        <w:spacing w:after="0" w:line="199" w:lineRule="exact"/>
        <w:rPr>
          <w:rFonts w:ascii="Times New Roman" w:cs="Times New Roman" w:eastAsia="Times New Roman" w:hAnsi="Times New Roman"/>
          <w:sz w:val="29"/>
          <w:szCs w:val="29"/>
          <w:color w:val="auto"/>
          <w:vertAlign w:val="superscript"/>
        </w:rPr>
      </w:pPr>
    </w:p>
    <w:p>
      <w:pPr>
        <w:jc w:val="both"/>
        <w:ind w:left="500" w:right="20" w:hanging="330"/>
        <w:spacing w:after="0" w:line="213" w:lineRule="auto"/>
        <w:tabs>
          <w:tab w:leader="none" w:pos="50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Due to increased demand for fuel additives used in the production of motor gasoline, our isomerization and octane enhancement businesses experience higher levels of demand during the summer driving season, which typically occurs in the spring and summer months. Likewise, shipments of refined products and normal butane experience similar changes in demand due to their use in motor fuels.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ind w:left="500" w:hanging="330"/>
        <w:spacing w:after="0" w:line="199" w:lineRule="auto"/>
        <w:tabs>
          <w:tab w:leader="none" w:pos="50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Extreme temperatures and ice during the winter months can negatively impact our gas processing assets as they may experience freeze offs. In addition, these conditions can negatively affect our trucking and inland marine operations on the upper Mississippi and Illinois rivers.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 and Related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 many publicly-traded partnerships, we have no direct employees. All of our management, administrative and operating functions are performed by employees of EPCO pursuant to an administrative services agreement (the “ASA”) or by other service providers. The culture of our workforce is one of ownership, integrity, and opportunity. We recognize the hard work and contributions of individuals in our workforce who strive to further our goals. We promote an environment where our employees feel that working for us is more than just a job; it is a tight-knit community that looks out for one another. We respect employees’ differences and believe everyone should be treated with fairness and respect. We value diverse ideas and perspectives, and we are committed to promoting a safe and inclusive workforce.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 2024, there were approximately 7,500 EPCO personnel who spend all or a substantial portion of their time engaged in our business. From a diversity perspective, approximately 14% of these personnel were female and approximately 32% of these personnel were minorities. We believe that the diversity of our workforce compares favorably to that of related energy industries.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and safety of those working on our behalf is a top priority. We promote a culture in which all personnel share the same commitment to health and safety, and we recognize the importance of mitigating risks. Acting upon our commitment to safety, we engage all levels of employees and management, our Board, our contractors, and various external entities and organizations. We strive to achieve a goal of zero incidents and injuries. We track our safety performance by monitoring our Total Recordable Incident Rate (“TRIR”), which is an OSHA measure that generally reflects the number of recordable incidents per 100 full-time workers during a one-year period. Our TRIR for 2023 was 0.42, which compares favorably to the average TRIR for the midstream industry over the last seven years. We strive for year-to-year improvement in our safety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real property holdings fall into two basic categories: (i) parcels that we and our unconsolidated affiliates own in fee (e.g., we own the land upon which our Chambers County complex is constructed) and (ii) parcels in which our interests and those of our unconsolidated affiliates are derived from leases, easements, rights-of-way, permits or licenses from landowners or governmental authorities permitting the use of such land for our operations. The fee sites upon which our significant facilities are located have been owned by us or our predecessors in title for many years without any material challenge known to us relating to title to the land upon which the assets are located, and we believe that we have satisfactory title to such fee sites. We and our affiliates have no knowledge of any material challenge to the underlying fee title of any material lease, easement, right-of-way, permit or license held by us or to our rights pursuant to any material lease, easement, right-of-way, permit or license, and we believe that we have satisfactory rights pursuant to all of our material leases, easements, rights-of-way, permits and licenses.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a publicly traded partnership, we electronically file certain documents with the SEC. We file annual reports on Form 10-K; quarterly reports on Form 10-Q; and current reports on Form 8-K (as appropriate); along with any related amendments and supplements thereto. Occasionally, we may also file registration statements and related documents in connection with equity or debt offerings. The SEC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and other information regarding registrants that file electronically with the SEC.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provide free electronic access to our periodic and current reports on our website, </w:t>
      </w:r>
      <w:r>
        <w:rPr>
          <w:rFonts w:ascii="Times New Roman" w:cs="Times New Roman" w:eastAsia="Times New Roman" w:hAnsi="Times New Roman"/>
          <w:sz w:val="18"/>
          <w:szCs w:val="18"/>
          <w:u w:val="single" w:color="auto"/>
          <w:color w:val="auto"/>
        </w:rPr>
        <w:t>www.enterpriseproducts.com</w:t>
      </w:r>
      <w:r>
        <w:rPr>
          <w:rFonts w:ascii="Times New Roman" w:cs="Times New Roman" w:eastAsia="Times New Roman" w:hAnsi="Times New Roman"/>
          <w:sz w:val="18"/>
          <w:szCs w:val="18"/>
          <w:color w:val="auto"/>
        </w:rPr>
        <w:t>. These reports are available as soon as reasonably practicable after we electronically file such materials with, or furnish such materials to, the SEC. You may also contact our Investor Relations department at (866) 230-0745 for paper copies of these reports free of charge. The information found on our website is not incorporated into this annual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units or debt securities involves certain risks. If any of the following key risks were to occur, it could have a material adverse effect on our financial position, results of operations and cash flows, as well as our ability to maintain or increase distribution levels. In any such circumstance and others described below, the trading price of our securities could decline and you could lose part or all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29" w:lineRule="exact"/>
        <w:rPr>
          <w:sz w:val="20"/>
          <w:szCs w:val="20"/>
          <w:color w:val="auto"/>
        </w:rPr>
      </w:pPr>
    </w:p>
    <w:p>
      <w:pPr>
        <w:jc w:val="both"/>
        <w:ind w:left="500" w:hanging="330"/>
        <w:spacing w:after="0" w:line="213"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impact of a global public health crisis or foreign conflict on global oil and gas markets may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Changes in price levels could negatively impact our revenue, our expenses, or both, which could adversely affect our business.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Changes in demand for and prices and production of hydrocarbon products could have a material adverse effect on our financial position, results of operations and cash flows.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debt level may limit our future financial and operating flexibility.</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not be able to fully execute our growth strategy if we encounter illiquid capital markets or increased competition for investment opportunities.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construction of new assets is subject to operational, regulatory, environmental, political, geopolitical, legal and economic risks, which may result in delays, increased costs or decreased cash flows.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Several of our assets have been in service for many years and require significant expenditures to maintain them. As a result, an increase in future maintenance or repair costs or delays in completing necessary maintenance or repair activities could have a material adverse effect on our financial position, results of operations and cash flows.</w:t>
      </w:r>
    </w:p>
    <w:p>
      <w:pPr>
        <w:spacing w:after="0" w:line="200"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inability to continue to access lands owned by third parties and governmental bodies could adversely affect our operations and have a material adverse effect on our financial position, results of operations and cash flows.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growth strategy may adversely affect our results of operations if we do not successfully integrate and manage the businesses that we acquire or if we substantially increase our indebtedness and contingent liabilities to make acquisitions.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natural disaster, catastrophe, terrorist attack or other extraordinary event could result in severe personal injury, property damage and environmental damage, which could curtail our operations and have a material adverse effect on our financial position, results of operations and cash flows.</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cyber-attack on our information technology (“IT”) or operational technology (“OT”) systems could affect our business and assets, and have a material adverse effect on our financial position, results of operations and cash flows.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business requires extensive credit risk management that may not be adequate to protect against customer nonpayment.</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use of derivative financial instruments could result in material financial losses by us.</w:t>
      </w:r>
    </w:p>
    <w:p>
      <w:pPr>
        <w:spacing w:after="0" w:line="198"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risk management policies cannot eliminate all commodity price risks. In addition, any noncompliance with our risk management policies could result in significant financial losses.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Federal, state or local regulatory measures (including those related to climate, environmental, health, safety and pipeline integrity matters) could have a material adverse effect on our financial position, results of operations and cash flows.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ind w:left="500" w:hanging="330"/>
        <w:spacing w:after="0" w:line="199"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rates of our regulated assets are subject to review and possible adjustment by federal and state regulators, which could adversely affect our revenues.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standalone operating cash flow is derived primarily from cash distributions we receive from EPO.</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Changes in management’s estimates and assumptions may have a material impact on our financial statements and financial performance.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Partnership Structure</w:t>
      </w:r>
    </w:p>
    <w:p>
      <w:pPr>
        <w:spacing w:after="0" w:line="229" w:lineRule="exact"/>
        <w:rPr>
          <w:sz w:val="20"/>
          <w:szCs w:val="20"/>
          <w:color w:val="auto"/>
        </w:rPr>
      </w:pPr>
    </w:p>
    <w:p>
      <w:pPr>
        <w:ind w:left="500" w:hanging="330"/>
        <w:spacing w:after="0" w:line="199"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not have sufficient operating cash flows to pay cash distributions at the current level following establishment of cash reserves and payments of fees and expenses.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and its affiliates have limited fiduciary responsibilities to, and conflicts of interest with respect to, our partnership, which may permit it to favor its own interests to your detriment.</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Unitholders have limited voting rights and are not entitled to elect our general partner or its directors. In addition, even if unitholders are dissatisfied, they cannot easily remove our general partner.</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partnership agreement restricts the voting rights of unitholders owning 20% or more of our common units.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has a limited call right that may require common unitholders to sell their common units at an undesirable time or price.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common unitholders may not have limited liability if a court finds that limited partner actions constitute control of our business.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Unitholders may have a liability to repay distributions.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partner’s interest in us and the control of our general partner may be transferred to a third party without unitholder consent.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 to Common Unitholders</w:t>
      </w:r>
    </w:p>
    <w:p>
      <w:pPr>
        <w:spacing w:after="0" w:line="229" w:lineRule="exact"/>
        <w:rPr>
          <w:sz w:val="20"/>
          <w:szCs w:val="20"/>
          <w:color w:val="auto"/>
        </w:rPr>
      </w:pPr>
    </w:p>
    <w:p>
      <w:pPr>
        <w:ind w:left="500" w:hanging="330"/>
        <w:spacing w:after="0" w:line="199"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tax treatment depends on our status as a partnership for federal income tax purposes, which could be subject to potential legislative, judicial or administrative changes and differing interpretations, possibly on a retroactive basis.</w:t>
      </w:r>
    </w:p>
    <w:p>
      <w:pPr>
        <w:spacing w:after="0" w:line="199"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successful IRS contest of the federal income tax positions we take and certain valuation methodologies we adopt in determining a unitholder’s allocation of income, gain, loss and deductions may adversely impact the market for our common units and the cost of any IRS contest will reduce our cash available for distribution to unitholders.</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IRS makes audit adjustments to our income tax returns, it (and some states) may assess and collect any taxes (including any applicable penalties and interest) resulting from such audit adjustment directly from us, in which case we would pay the taxes directly to the IRS and our cash available for distribution to our unitholders might be substantially reduced.</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unitholders may be required to pay taxes on their share of our income even if they do not receive any cash distributions from us.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Tax gains or losses on the disposition of our common units could be more or less than expected.</w:t>
      </w:r>
    </w:p>
    <w:p>
      <w:pPr>
        <w:spacing w:after="0" w:line="198"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treat each purchaser of our common units as having the same tax benefits without regard to the common units purchased. The IRS may challenge this treatment, which could adversely affect the value of our common units.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common unitholders will likely be subject to state and local taxes and return filing requirements in states where they do not live as a result of an investment in our common units.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Key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additional information regarding each of our key risk factors by category: Risks Relating to Our Business, Risks Relating to Our Partnership Structure and Tax Risks to Common Unitholders.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The impact of a global public health crisis or foreign conflict on global oil and gas markets may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supply of and demand for hydrocarbon products impacts both the volume of products that we purchase and sell and the level of services that we provide to customers, which in turn impacts our financial position, results of operations and cash flows.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and U.S. economy has generally recovered from the negative economic impacts of the COVID-19 pandemic, which disrupted global supply chains, reduced consumer activity, disrupted travel and created significant volatility and disruption of financial and commodity markets. While the World Health Organization declared an end to the global public health emergency for COVID-19 in May 2023, a future global public health crisis could lead to similar disruptions and related economic repercussions. Any resumed period of economic slowdown or recession, or the return to a period of depressed demand or prices for hydrocarbons that we handle, could have significant adverse consequences on our financial condition and the financial condition of our customers, suppliers and other counterparties, and could diminish our liquidity and negatively affect the volumes of products handled by our pipelines and other facilities.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foreign conflicts, including the ongoing war in Ukraine and related sanctions imposed on Russia and the Israel-Hamas war may significantly disrupt supply chains for crude oil, natural gas and hydrocarbon products. Although we have not experienced any material adverse effect on our results of operations, financial condition or cash flows as a result of these conflicts as of the date of this report, we cannot predict how the continuation of these wars or other foreign conflicts will impact the level of future demand, effects on domestic pricing, and impacts on U.S. oil and gas production. Any economic slowdown or recession in major international markets,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and negatively affect the volumes of products handled by our pipelines and other facilities.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impact of these types of events on our financial condition, results of operations and cash flows depends largely on developments outside our control, including the duration of and response to a public health crisis, the related impact on overall economic activity and the potential long-term impacts on demand for crude oil and other products, all of which cannot be predicted with certainty.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price levels could negatively impact our revenue, our expenses, or both, which could adversely affect our business.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The operation of our assets and the execution of capital projects require significant expenditures for labor, materials, property, equipment and services. As a result, such costs may increase during periods of general business inflation, including as a result of higher commodity prices, supply chain disruptions and tight labor markets. Recent inflationary pressures affecting the general economy and the energy industry have increased our expenses and capital costs, and those costs may continue to increase. While the majority of long-term contracts for our services contain index-based changes and inflation adjustments, we may not be able to pass all of these increased costs to our customers in the form of higher fees for our services. In addition, we use the FERC’s PPI-based price indexing methodology to establish tariff rates in certain markets served by our pipelines. In periods of general price deflation, the ceiling level provided by the FERC’s PPI-based price indexing methodology could decrease, requiring us to reduce our index-based rates, even if the actual costs we incur to operate our assets increase. As such, our revenues and operating margins are impacted by changes in price levels. Prior to adjustments to our applicable rates, material cost increases may affect our operating margins, even if margins in subsequent periods may be normalized following applicable rate adjustments. Accordingly, increased costs during periods of general business inflation that are not passed through to customers or offset by other factors may have a material adverse effect on our financial position, results of operations and cash flows.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Changes in demand for and prices and production of hydrocarbon products could have a material adverse effect on our financial position, results of operations and cash flows.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predominantly in the midstream energy industry, which includes gathering, transporting, processing, fractionating and storing natural gas, NGLs, crude oil,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public health emergencies, foreign conflicts, and government regulations affecting prices and production levels. We may also incur credit and price risk to the extent customers do not fulfill their obligations to us in connection with our marketing of natural gas, NGLs, propylene, refined products and/or crude oil and long-term take-or-pay agreements.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Crude oil and natural gas prices have been volatile in recent years. For example, crude oil prices (based on WTI as measured by the NYMEX) ranged from a high of $123.70 per barrel to a low of $47.62 per barrel in the three-year period ended December 31, 2023. For the period January 1, 2024 through January 31, 2024, WTI prices ranged from a high of $78.01 per barrel to a low of $70.38 per barrel. Natural gas prices (based on Henry Hub as measured by the NYMEX) ranged from a high of $9.68 per MMBtu to a low of $1.99 per MMBtu over the three-year period ended December 31, 2023. Henry Hub natural gas prices ranged from a high of $3.31 per MMBtu to a low of $2.08 per MMBtu from January 1, 2024 through January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prices of hydrocarbon products are subject to fluctuations in response to changes in supply, demand, market uncertainty and a variety of other uncontrollable factors, such as: (i) the level of domestic production and consumer product demand; (ii) the availability of imported crude oil and natural gas and actions taken by foreign crude oil and natural gas producing nations, including members of the Organization of Petroleum Exporting Countries (“OPEC”) and Russia (collectively, the “OPEC+” group); (iii) the availability of transportation systems with adequate capacity; (iv) the availability of competitive fuels; (v) fluctuating and seasonal demand for crude oil, natural gas, NGLs and other hydrocarbon products, including demand for NGL products by the petrochemical, refining and heating industries; (vi) the impact of conservation efforts; (vii) governmental regulation and taxation of production; (viii) reduced demand for hydrocarbons attributable to public health emergencies and (ix) prevailing economic conditions.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natural gas and NGL commodity price risks under certain of our natural gas processing and gathering and NGL fractionation contracts that provide for fees to be calculated based on a regional natural gas or NGL price index, or to be paid in-kind by taking title to natural gas or NGLs. A decrease in natural gas and NGL prices can result in lower margins from these contracts, which could have a material adverse effect on our financial position, results of operations and cash flows. Volatility in the prices of natural gas and NGLs can lead to ethane rejection, which results in a reduction in volumes available for transportation, fractionation, storage and marketing. Volatility in these commodity prices may also have an impact on many of our customers, which in turn could have a negative impact on their ability to fulfill their obligations to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crude oil, natural gas and NGLs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 assets are located could result in a decrease in volumes handled by our assets, which could have a material adverse effect on our financial position, results of operations and cash flows.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discussion regarding our current outlook on industry fundamentals for 2024, please read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Current Outlook</w:t>
      </w:r>
      <w:r>
        <w:rPr>
          <w:rFonts w:ascii="Times New Roman" w:cs="Times New Roman" w:eastAsia="Times New Roman" w:hAnsi="Times New Roman"/>
          <w:sz w:val="18"/>
          <w:szCs w:val="18"/>
          <w:color w:val="auto"/>
        </w:rPr>
        <w:t>” included under Part II, Item 7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face competition from third parties in our midstream energy businesses.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crude oil and natural gas reserves exist in the areas served by our assets, we may not be chosen by producers in these areas to gather, transport, process, fractionate, store or otherwise handle the hydrocarbons extracted. We compete with other companies, including producers of crude oil and natural gas, for any such production on the basis of many factors, including but not limited to geographic proximity to the production, costs of connection, available capacity, rates and access to markets.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NGL, refined products and marine transportation businesses may compete with other pipelines and marine transportation companies in the areas they serve. We also compete with railroads and third party trucking operations in certain of the areas we serve. Competitive pressures may adversely affect our tariff rates or volumes shipped. Also, substantial new construction of inland marine vessels could create an oversupply and intensify competition for our marine transportation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crude oil gathering and marketing business can be characterized by intense competition for supplies of crude oil at the wellhead. A decline in domestic crude oil production could intensify this competition among gatherers and marketers. Our crude oil transportation business competes with common carriers and proprietary pipelines owned and operated by major oil companies, large independent pipeline companies, financial institutions with commodity trading platforms and other companies in the areas where such pipeline systems deliver crude oil.</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Alternate gathering facilities are available to producers we serve, and those producers may also elect to construct proprietary gas gathering systems.</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Both we and our competitors make significant investments in new energy infrastructure to meet anticipated market demand. The success of our projects depends on utilization of our assets. Demand for our new projects may change during construction, and our competitors may make additional investments or redeploy assets that compete with our projects and existing assets. If either our investments or construction by competitors in the markets we serve result in excess capacity, our facilities and assets could be underutilized, which could cause us to reduce rates for our services. A reduction in rates may result in lower returns on our investments and, as a result, lower the value of our assets.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significant increase in competition in the midstream energy industry, including construction of new assets or redeployment of existing assets by our competitors, could have a material adverse effect on our financial position,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debt level may limit our future financial and operating flexibility.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we had $26.3 billion in principal amount of consolidated senior long-term debt outstanding and $2.3 billion in principal amount of junior subordinated debt outstanding. The amount of our future debt could have significant effects on our operations, including, among other things:</w:t>
      </w:r>
    </w:p>
    <w:p>
      <w:pPr>
        <w:spacing w:after="0" w:line="162" w:lineRule="exact"/>
        <w:rPr>
          <w:sz w:val="20"/>
          <w:szCs w:val="20"/>
          <w:color w:val="auto"/>
        </w:rPr>
      </w:pPr>
    </w:p>
    <w:p>
      <w:pPr>
        <w:ind w:left="500" w:right="20" w:hanging="330"/>
        <w:spacing w:after="0" w:line="199"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substantial portion of our cash flow could be dedicated to the payment of principal and interest on our future debt and may not be available for other purposes, including the payment of distributions on our common units and for capital investments;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credit rating agencies may take a negative view of the energy sector or our consolidated debt level;</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covenants contained in our existing and future credit and debt agreements will require us to continue to meet financial tests that may adversely affect our flexibility in planning for and reacting to changes in our business, including possible acquisition opportunities;</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ability to obtain additional financing, if necessary, for working capital, capital investments, acquisitions or other purposes may be impaired or such financing may not be available on favorable terms;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at a competitive disadvantage relative to similar companies that have less debt; and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more vulnerable to adverse economic and industry conditions as a result of our significant debt level.</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public debt indentures currently do not limit the amount of future indebtedness that we can incur, assume or guarantee. Although our credit agreements restrict our ability to incur additional debt above certain levels, any debt we may incur in compliance with these restrictions may still be substantial. For information regarding our long-term debt, see Note 7 of the Notes to Consolidated Financial Statements included under Part II, Item 8 of this annual report.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credit agreements and each of the indentures related to our public debt instruments include traditional financial covenants and other restrictions. For example, we are prohibited from making distributions to our partners if such distributions would cause an event of default or otherwise violate a covenant under our credit agreements. A breach of any of these restrictions by us could permit our lenders or noteholders, as applicable, to declare all amounts outstanding under these debt agreements to be immediately due and payable and, in the case of our credit agreements, terminate all commitments to extend further credit.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access capital markets to raise capital on favorable terms could be affected by our debt level, when such debt matures, and by prevailing market conditions. Moreover, if the rating agencies were to downgrade the energy sector or our credit ratings, we could experience an increase in our borrowing costs, difficulty assessing capital markets and/or a reduction in the market price of our securities. Such a development could adversely affect our ability to obtain financing for working capital, capital investments or acquisitions, or to refinance existing indebtedness. If we are unable to access the capital markets on favorable terms in the future, we might be forced to seek extensions for some of our short-term debt obligations or to refinance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levels.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may not be able to fully execute our growth strategy if we encounter illiquid capital markets or increased competition for investment opportunities.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strategy contemplates the development and acquisition of a wide range of midstream and other energy infrastructure assets while maintaining a strong balance sheet. This strategy includes constructing and acquiring additional assets and businesses that enhance our ability to compete effectively and to diversify our asset portfolio, thereby providing us with more stable cash flows. We consider and pursue potential joint ventures, acquisitions, standalone projects and other transactions that we believe may present opportunities to expand our business, increase our market position and realize operational synergies.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substantial new capital to finance the future development and acquisition of assets and businesses. For example, our capital investments for 2023 reflected $3.3 billion of cash payments for capital projects, acquisitions and other investments. Based on information currently available, we expect our total capital investments for 2024, net of contributions from joint venture partners, to approximate $3.8 billion to $4.3 billion, which includes growth capital projects of $3.25 billion to $3.75 billion and sustaining capital expenditures of $550 million. These amounts do not include capital investments associated with our proposed deep-water offshore crude oil terminal (the Sea Port Oil Terminal or “SPOT”), which remains subject to the Department of Transportation’s Maritime Administration’s issuance of a license for SPOT. In November 2022, we received a favorable ROD from the Maritime Administration for SPOT; however, we can give no assurance as to when or whether the project will ultimately be authorized to begin construction or operation. Any limitations on our access to capital may impair our ability to execute this growth strategy. If our cost of debt or equity capital becomes too expensive, our ability to develop or acquire accretive assets will be limited. We also may not be able to raise the necessary funds on satisfactory terms, if at all.</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sustained tightening of the credit markets may have a material adverse effect on us by, among other things, decreasing our ability to finance growth capital projects or business acquisitions on favorable terms and by the imposition of increasingly restrictive borrowing covenants. In addition, the distribution yields of any new equity we may issue may be higher than historical levels, making additional equity issuances more expensive. Accordingly, increased costs of equity and debt will make returns on capital expenditures with proceeds from such capital less accretive on a per unit basis.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may compete with third parties in the acquisition of energy infrastructure assets that complement our existing asset base. Increased competition for a limited pool of assets could result in our losing to other bidders more often than in the past or acquiring assets at less attractive prices. Either occurrence could limit our ability to fully execute our growth strategy. Our inability to execute our growth strategy may materially adversely affect our ability to maintain or pay higher cash distributions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actual construction, development and acquisition costs could materially exceed forecasted amounts.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announced and are engaged in multiple significant construction projects involving existing and new assets for which we have expended or will expend significant capital. These projects entail significant logistical, technological and staffing challenges. We may not be able to complete our projects at the costs we estimated at the time of each project’s initiation or that we currently estimate. Similarly, force majeure events such as hurricanes along the U.S. Gulf Coast may cause delays, shortages of skilled labor and additional expenses for these construction and development projects.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capital investments materially exceed expected amounts, then our future cash flows could be reduced, which, in turn, could reduce the amount of cash we expect to have available for distribution. In addition, a material increase in project costs could result in decreased overall profitability of the newly constructed asset once it is placed into service.</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construction of new assets is subject to operational, regulatory, environmental, political, geopolitical, legal and economic risks, which may result in delays, increased costs or decreased cash flows.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ways we intend to grow our business is through the construction of new midstream energy infrastructure assets. The construction of new assets involves numerous operational, regulatory, environmental, political, geopolitical, legal and economic risks beyond our control and may require the expenditure of significant amounts of capital. These potential risks include, among other things, the following:</w:t>
      </w:r>
    </w:p>
    <w:p>
      <w:pPr>
        <w:spacing w:after="0" w:line="176" w:lineRule="exact"/>
        <w:rPr>
          <w:sz w:val="20"/>
          <w:szCs w:val="20"/>
          <w:color w:val="auto"/>
        </w:rPr>
      </w:pPr>
    </w:p>
    <w:p>
      <w:pPr>
        <w:jc w:val="both"/>
        <w:ind w:left="500" w:hanging="330"/>
        <w:spacing w:after="0" w:line="221" w:lineRule="auto"/>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unable to complete construction projects on schedule or at the budgeted cost due to the unavailability of required construction personnel, the unavailability of or delays in obtaining necessary materials as a result of supply chain disruptions (including those caused by public health emergency restrictions or geopolitical events, such as the Russian invasion of Ukraine or ongoing conflicts in the Middle East), accidents, weather conditions or an inability to obtain necessary permits;</w:t>
      </w:r>
    </w:p>
    <w:p>
      <w:pPr>
        <w:spacing w:after="0" w:line="201"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will not receive any material increase in operating cash flows until the project is completed, even though we may have expended considerable funds during the construction phase, which may be prolonged;</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construct facilities to capture anticipated future production growth in a region in which such growth does not materialize;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since we are not engaged in the exploration for and development of crude oil or natural gas reserves, we may not have access to third-party estimates of reserves in an area prior to our constructing facilities in the area. As a result, we may construct facilities in an area where the reserves are materially lower than we anticipate;</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those situations where we do rely on third-party reserve estimates in making a decision to construct assets, these estimates may prove inaccurate;</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completion or success of our construction project may depend on the completion of a third-party construction project (e.g., a downstream crude oil refinery expansion or construction of a new petrochemical facility) that we do not control and that may be subject to numerous of its own potential risks, delays and complexities; and</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unable to obtain rights-of-way to construct additional pipelines or the cost to do so may be uneconomical.</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materialization of any of these risks could adversely affect our ability to achieve growth in the level of our cash flows or realize benefits from expansion opportunities or construction projects, which could impact the level of cash distributions we pay to our unitholders.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Several of our assets have been in service for many years and require significant expenditures to maintain them. As a result, an increase in future maintenance or repair costs or delays in completing necessary maintenance or repair activities could have a material adverse effect on our financial position, results of operations and cash flows.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pipelines, terminals and storage assets are generally long-lived assets, and many of them have been in service for many years. The age and condition of our assets could result in increased maintenance or repair expenditures in the future. Additionally, we may be unable to complete maintenance or repairs due to the unavailability of necessary materials as a result of supply chain disruptions (including those caused by public health emergency restrictions or geopolitical events, such as the Russian invasion of Ukraine or ongoing conflicts in the Middle East), which may result in the suspension of operations of the impacted assets until such activities can be completed. Any significant increase in these expenditures or delays in completing necessary maintenance or repairs could adversely affect our results of operations, financial position or cash flows, as well as our ability to make cash distributions to our unitholders.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The inability to continue to access lands owned by third parties and governmental bodies could adversely affect our operations and have a material adverse effect on our financial position, results of operations and cash flows.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operate our pipeline systems on certain lands owned by third parties will depend on our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all existing rights-of-way upon the expiration of the current grants, that all of the rights-of-way will be obtained in a timely fashion or that we will acquire new rights-of-way as needed.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various federal agencies within the U.S. Department of the Interior, particularly the Bureau of Indian Affairs, Bureau of Land Management, and the Office of Natural Resources Revenue, along with each Native American tribe, promulgate and enforce regulations pertaining to natural gas and oil operations on Native American tribal lands. These regulations and approval requirements relate to such matters as drilling and production requirements and environmental standards. In addition, each Native American tribe is a sovereign nation having the right to enforce laws and regulations and to grant approvals independent from federal, state and local statutes and regulations. These tribal laws and regulations include various taxes, fees, requirements to employ Native American tribal members and other conditions that apply to operators and contractors conducting operations on Native American tribal lands. One or more of these factors may increase our cost of doing business on Native American tribal lands and impact the viability of, or prevent or delay our ability to conduct our operations on such lands.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whether we have the power of eminent domain for our pipelines varies from state to state, depending upon the type of pipeline, the laws of the particular state and the ownership of the land to which we seek access. When we exercise eminent domain rights or negotiate private agreements,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may face opposition to the construction and operation of our pipelines and facilities from various groups.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face opposition to the operation of our pipelines and facilities from environmental groups, landowners, tribal groups, local groups and other advocates. Such opposition could take many forms, including organized protests, attempts to block or sabotage our construction activities and operations, intervention in regulatory or administrative proceedings involving our assets, or lawsuits or other actions designed to prevent, disrupt or delay the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growth strategy may adversely affect our results of operations if we do not successfully integrate and manage the businesses that we acquire or if we substantially increase our indebtedness and contingent liabilities to make acquisitions.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includes making accretive acquisitions. From time to time, we evaluate and acquire additional assets and businesses that we believe complement our existing operations. We may be unable to successfully integrate and manage the businesses we acquire in the future. We may incur substantial expenses or encounter delays or other problems in connection with our growth strategy that could have a material adverse effect on our financial position, results of operations and cash flows. Moreover, acquisitions and business expansions involve numerous risks, such as:</w:t>
      </w:r>
    </w:p>
    <w:p>
      <w:pPr>
        <w:spacing w:after="0" w:line="80" w:lineRule="exact"/>
        <w:rPr>
          <w:sz w:val="20"/>
          <w:szCs w:val="20"/>
          <w:color w:val="auto"/>
        </w:rPr>
      </w:pPr>
    </w:p>
    <w:p>
      <w:pPr>
        <w:ind w:left="500" w:hanging="330"/>
        <w:spacing w:after="0"/>
        <w:tabs>
          <w:tab w:leader="none" w:pos="50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difficulties in the assimilation of the operations, technologies, services and products of the acquired assets or businesses;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establishing the internal controls and procedures we are required to maintain under the Sarbanes-Oxley Act of 2002;</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managing relationships with new joint venture partners with whom we have not previously partnered;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84" w:lineRule="exact"/>
        <w:rPr>
          <w:sz w:val="20"/>
          <w:szCs w:val="20"/>
          <w:color w:val="auto"/>
        </w:rPr>
      </w:pPr>
    </w:p>
    <w:p>
      <w:pPr>
        <w:ind w:left="500" w:hanging="330"/>
        <w:spacing w:after="0"/>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experiencing unforeseen operational interruptions or the loss of key employees, customers or suppliers;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inefficiencies and complexities that can arise because of unfamiliarity with new assets and the businesses associated with them, including with their markets;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diversion of the attention of management and other personnel from day-to-day business to the development or acquisition of new businesses and other business opportunities.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consummated, any acquisition or investment would also likely result in the incurrence of indebtedness and contingent liabilities and an increase in interest expense and depreciation, amortization and accretion expenses. As a result, our capitalization and results of operations may change significantly following a material acquisition. A substantial increase in our indebtedness and contingent liabilities could have a material adverse effect on our financial position, results of operations and cash flows. In addition, any anticipated benefits of a material acquisition, such as expected cost savings or other synergies, may not be fully realized, if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 that appear to increase our operating cash flows may nevertheless reduce our operating cash flows on a per unit basis.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make acquisitions that we believe will increase our operating cash flows, these acquisitions may ultimately result in a reduction of operating cash flow on a per unit basis, such as if our assumptions regarding a newly acquired asset or business did not materialize or unforeseen risks occurred. As a result, an acquisition initially deemed accretive based on information available at the time could turn out not to be. Examples of risks that could cause an acquisition to ultimately not be accretive include our inability to achieve anticipated operating and financial projections or to integrate an acquired business successfully, the assumption of unknown liabilities for which we become liable, and the loss of key employees or key customers. If we consummate any future acquisitions, our capitalization and results of operations may change significantly, and our unitholders will not have the opportunity to evaluate the economic, financial and other relevant information that we will in making such decisions. As a result of the risks noted above, we may not realize the full benefits we expect from a material acquisition, which could have a material adverse effect on our financial position, results of operations and cash flows.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 natural disaster, catastrophe, terrorist attack or other extraordinary event could result in severe personal injury, property damage and environmental damage, which could curtail our operations and have a material adverse effect on our financial position, results of operations and cash flows.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operations involve risks of personal injury, property damage and environmental damage, which could curtail our operations and otherwise materially adversely affect our cash flow. For example, natural gas facilities operate at high pressures, sometimes in excess of 1,100 pounds per square inch. In addition, our marine transportation business is subject to additional risks, including the possibility of marine accidents and spill events. From time to time, our octane enhancement facility may produce MTBE for export, which could expose us to additional risks from spill events. Virtually all of our operations are exposed to potential natural disasters and severe weather, including hurricanes, tornadoes, storms, extreme winter events, floods and/or earthquakes. The location of our assets and our customers’ assets in the U.S. Gulf Coast region makes them particularly vulnerable to hurricane or tropical storm risk. In addition, terrorists may target our physical facilities and computer hackers may attack our electronic systems.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one or more facilities or electronic systems that we own or that deliver products to us or that supply our facilities are damaged by severe weather or any other disaster, accident, catastrophe, terrorist attack or other extraordinary event, our operations could be significantly interrupted. These interruptions could involve significant damage to people, property or the environment, and repairs could take from a week or less for a minor incident to six months or more for a major interruption. Additionally, some of the storage contracts that we are a party to obligate us to indemnify our customers for any damage or injury occurring during the period in which the customers’ product is in our possession. Any event that interrupts the revenues generated by our operations, or which causes us to make significant expenditures not covered by insurance, could reduce our cash available for paying distributions and, accordingly, adversely affect the market price of our common units.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EPCO maintains adequate insurance coverage on our behalf; however, insurance will not cover all types of interruptions that might occur, will not cover amounts up to applicable deductibles and will not cover all risks associated with the nature and extent of our operations. As a result of market conditions, premiums and deductibles for certain types of insurance (e.g., general liability policies) can increase substantially, and in some instances, such insurance may become unavailable or available only for reduced amounts of coverage.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circumstances may arise whereby EPCO may not be able to renew existing insurance policies on our behalf or procure other desirable insurance on commercially reasonable terms, if at all.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 cyber-attack on our IT or OT systems could affect our business and assets, and have a material adverse effect on our financial position, results of operations and cash flows.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our IT and OT systems to conduct our business, as well as systems of third-party vendors. These systems include information used to operate our assets, as well as cloud-based services. These systems are subject to possible security breaches and cyber-attacks.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Cyber-attacks are becoming more sophisticated, and U.S. government warnings have indicated that infrastructure assets, including pipelines, may be specifically targeted by certain groups. These attacks include, without limitation, malicious software, ransomware, attempts to gain unauthorized access to data, and other electronic security breaches. These attacks, which could increase as a result of geopolitical events (including the Russian invasion of Ukraine or ongoing conflicts in the Middle East), may be perpetrated by state-sponsored groups, “hacktivists”, criminal organizations or private individuals (including employee malfeasance). </w:t>
      </w:r>
      <w:r>
        <w:rPr>
          <w:rFonts w:ascii="Times New Roman" w:cs="Times New Roman" w:eastAsia="Times New Roman" w:hAnsi="Times New Roman"/>
          <w:sz w:val="18"/>
          <w:szCs w:val="18"/>
          <w:color w:val="231F20"/>
        </w:rPr>
        <w:t>These cybersecurity risks include cyber-attacks on both us and third parties who provide material services to us.</w:t>
      </w:r>
      <w:r>
        <w:rPr>
          <w:rFonts w:ascii="Times New Roman" w:cs="Times New Roman" w:eastAsia="Times New Roman" w:hAnsi="Times New Roman"/>
          <w:sz w:val="18"/>
          <w:szCs w:val="18"/>
          <w:color w:val="auto"/>
        </w:rPr>
        <w:t xml:space="preserve"> In addition to disrupting operations, cyber security breaches could also affect our ability to operate or control our facilities, render data or systems unusable, or result in the theft of sensitive, confidential or customer information. These events could also damage our reputation, and result in losses from remedial actions, loss of business or potential liability to third parties.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carry insurance specifically for cybersecurity events; however, certain of our insurance policies may allow for coverage of associated damages resulting from such events.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spacing w:after="0" w:line="17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231F20"/>
        </w:rPr>
        <w:t>Failure of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u w:val="single" w:color="auto"/>
          <w:color w:val="000000"/>
        </w:rPr>
        <w:t>critical</w:t>
      </w:r>
      <w:r>
        <w:rPr>
          <w:rFonts w:ascii="Times New Roman" w:cs="Times New Roman" w:eastAsia="Times New Roman" w:hAnsi="Times New Roman"/>
          <w:sz w:val="18"/>
          <w:szCs w:val="18"/>
          <w:i w:val="1"/>
          <w:iCs w:val="1"/>
          <w:color w:val="231F20"/>
        </w:rPr>
        <w:t xml:space="preserve"> IT or OT systems could have an adverse impact on our business, financial condition, results of operations and cash flows, as well as </w:t>
      </w:r>
      <w:r>
        <w:rPr>
          <w:rFonts w:ascii="Times New Roman" w:cs="Times New Roman" w:eastAsia="Times New Roman" w:hAnsi="Times New Roman"/>
          <w:sz w:val="18"/>
          <w:szCs w:val="18"/>
          <w:i w:val="1"/>
          <w:iCs w:val="1"/>
          <w:u w:val="single" w:color="auto"/>
          <w:color w:val="231F20"/>
        </w:rPr>
        <w:t>our ability to pay cash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-186055</wp:posOffset>
            </wp:positionV>
            <wp:extent cx="6082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82665" cy="8255"/>
                    </a:xfrm>
                    <a:prstGeom prst="rect">
                      <a:avLst/>
                    </a:prstGeom>
                    <a:noFill/>
                  </pic:spPr>
                </pic:pic>
              </a:graphicData>
            </a:graphic>
          </wp:anchor>
        </w:drawing>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rely on IT and OT systems to operate our assets and manage our businesses. We depend on these systems to process, transmit and store electronic information, including financial records and personally identifiable information such as employee, customer, investor and payroll data, and to manage or support a variety of business processes, including our supply chain, pipeline and storage operations, gathering and processing operations, financial transactions, banking and numerous other processes and transactions. Some of these IT and OT systems are proprietary and custom designed for our business, while others are based upon or reside on commercially available technologies.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have policies and procedures in place designed to protect our critical systems. Our cybersecurity approach is strategically layered with people, technology and processes such as disaster recovery, incident response and business continuity. However, the risk of critical systems failing due to an unforeseen major disruption cannot be eliminated.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Failures of these IT or OT systems, whether due to power failures, a cybersecurity event or other reason, could result in a breach of critical operational or financial controls and lead to unanticipated costs and a disruption of our operations, commercial activities or financial processes. Such failures could adversely affect our results of operations, financial position or cash flow, as well as our ability to pay cash distributions in a timely manner. State and federal cybersecurity legislation could also impose new requirements on us, which could increase our cost of doing business.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business requires extensive credit risk management that may not be adequate to protect against customer nonpayment.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incur credit risk to the extent customers do not fulfill their obligations to us in connection with our marketing of natural gas, NGLs, crude oil, petrochemicals and refined products and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may increase the risk of nonpayment and nonperformance by customers, particularly customers that have sub-investment grade credit ratings or small-scale companies. We manage our exposure to credit risk through customer diversification, credit analysis, credit approvals, credit limits and monitoring procedures, and for certain transactions may utilize letters of credit, prepayments, net out agreements and guarantees. However, these procedures and policies do not fully eliminate customer credit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markets for our services are the Gulf Coast, Southwest, Rocky Mountains, Northeast and Midwest regions of the U.S. We have a concentration of trade receivable balances due from domestic and international major integrated oil and gas companies, independent oil and gas companies and other pipelines and wholesalers operating in these markets. These concentrations of market areas may affect our overall credit risk in that the customers may be similarly affected by changes in economic, regulatory or other factors.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of the Notes to Consolidated Financial Statements included under Part II, Item 8 of this annual report for information regarding our allowance for credit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use of derivative financial instruments could result in material financial losses by 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sought to limit a portion of the adverse effects resulting from changes in energy commodity prices and interest rates by using derivative instruments. Derivative instruments typically include futures, forward contracts, swaps, options and other instruments with similar characteristics. Substantially all of our derivatives are used for non-trading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we hedge our commodity price and interest rate exposures, we will forego the benefits we would otherwise experience if commodity prices or interest rates were to change in our favor. In addition, hedging activities can result in losses that might be material to our financial condition, results of operations and cash flows. Such losses could occur under various circumstances, including those situations where a counterparty does not perform its obligations under a hedge arrangement, the hedge is not effective in mitigating the underlying risk, or our risk management policies and procedures are not followed. Adverse economic conditions (e.g., a significant decline in energy commodity prices that negatively impact the cash flows of oil and gas producers) increase the risk of nonpayment or performance by our hedging counterparties.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Part II, Item 7A of this annual report and Note 14 of the Notes to Consolidated Financial Statements included under Part II, Item 8 of this annual report for a discussion of our derivative instruments and related hedging activities.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risk management policies cannot eliminate all commodity price risks. In addition, any noncompliance with our risk management policies could result in significant financial losses.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engaged in marketing activities, it is our policy to maintain physical commodity positions that are substantially balanced with respect to price risks between purchases, on the one hand, and sales or future delivery obligations, on the other hand. Through these transactions, we seek to earn a margin for the commodity purchased by selling the commodity for physical delivery to third party users, such as producers, wholesalers, local distributors, independent refiners, marketing companies or major integrated oil and gas companies. These policies and practices cannot, however, eliminate all price risks. For example, any event that disrupts our anticipated physical supply could expose us to risk of loss resulting from price changes if we are required to obtain alternative supplies to cover our sales transactions. We are also exposed to basis risks when a commodity is purchased against one pricing index and sold against a different index. Moreover, we are exposed to some risks that are not hedged, including price risks on product we own, such as pipeline linefill, which must be maintained in order to facilitate transportation of the commodity in our pipelines. In addition, our marketing operations involve the risk of non-compliance with our risk management policies. We cannot assure you that our processes and procedures will detect and prevent all violations of our risk management policies, particularly if deception or other intentional misconduct is involved. If we were to incur a material loss related to commodity price risks, including non-compliance with our risk management policies, it could have a material adverse effect on our financial position, results of operations and cash flows.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variable-rate debt, including those fixed-rate debt obligations that may be converted to variable-rate through the use of interest rate swaps, make us vulnerable to increases in interest rates, which could have a material adverse effect on our financial position, results of operation and cash flows.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we had $28.0 billion in principal amount of consolidated fixed-rate debt outstanding, including current maturities thereof. Additionally, at December 31, 2023, we had $1.0 billion of variable-rate debt, which includes our outstanding commercial paper notes. Due to the short term nature of commercial paper notes, we view the interest rates charged in connection with these instruments as variable.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Governors of the Federal Reserve System lowered benchmark interest rates three times during 2019 and twice during 2020. Benchmark interest rates remained near zero during 2021 but increased seven times in 2022, four times in 2023 and are not expected to fall until 2024. Should interest rates increase significantly, the amount of cash required to service our debt (including any future refinancing of our fixed-rate debt instruments) would increase. Additionally, from time to time, we may enter into interest rate swap arrangements, which could increase our exposure to variable interest rates. As a result, significant increases in interest rates could have a material adverse effect on our financial position, results of operations and cash flows.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increase in interest rates may also cause a corresponding decline in demand for equity securities in general, and in particular, for yield-based equity securities such as our common units. A reduction in demand for our common units may cause their trading price to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pipeline integrity program as well as compliance with pipeline safety laws and regulations may impose significant costs and liabilities on us.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were to incur material costs in connection with our pipeline integrity program or pipeline safety laws and regulations, those costs could have a material adverse effect on our financial condition, results of operations and cash flows.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DOT requires pipeline operators to develop integrity management programs to comprehensively evaluate their pipelines, and take measures to protect pipeline segments located in HCAs. The majority of the costs to comply with this integrity management rule are associated with pipeline integrity testing and any repairs found to be necessary as a result of such testing. Changes such as advances in pipeline inspection tools, identification of additional threats to a pipeline’s integrity and changes to the amount of pipe determined to be located in HCAs can have a significant impact on the costs to perform integrity testing and repairs.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total, our pipeline integrity costs for the years ended December 31, 2023, 2022 and 2021 were $104 million, $105 million and $114 million, respectively. Of these annual totals, we charged $55 million, $61 million and $62 million to operating costs and expenses during the years ended December 31, 2023, 2022 and 2021, respectively. The remaining annual pipeline integrity costs were capitalized and treated as sustaining capital projects. We expect the cost of our pipeline integrity program, regardless of whether such costs are capitalized or expensed, to approximate $101 million for 2024.</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pipeline safety regulations, see “</w:t>
      </w:r>
      <w:r>
        <w:rPr>
          <w:rFonts w:ascii="Times New Roman" w:cs="Times New Roman" w:eastAsia="Times New Roman" w:hAnsi="Times New Roman"/>
          <w:sz w:val="18"/>
          <w:szCs w:val="18"/>
          <w:i w:val="1"/>
          <w:iCs w:val="1"/>
          <w:color w:val="auto"/>
        </w:rPr>
        <w:t>Regulatory Matters – Environmental, Safety and Conservation – Pipeline Safety</w:t>
      </w:r>
      <w:r>
        <w:rPr>
          <w:rFonts w:ascii="Times New Roman" w:cs="Times New Roman" w:eastAsia="Times New Roman" w:hAnsi="Times New Roman"/>
          <w:sz w:val="18"/>
          <w:szCs w:val="18"/>
          <w:color w:val="auto"/>
        </w:rPr>
        <w:t>” included under Part I, Items 1 and 2 of this annual report.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Environmental, health and safety costs and liabilities, and changing environmental, health and safety regulation, could have a material adverse effect on our financial position, results of operations and cash flows.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various environmental, health and safety requirements and potential liabilities under extensive federal, state and local laws and regulations. Further, we cannot ensure that existing environmental, health and safety regulations will not be revised or that new regulations will not be adopted or become applicable to us. Governmental authorities have the power to enforce compliance with applicable regulations and permits and to subject violators to civil and criminal penalties, including substantial fines, injunctions or both. Certain environmental laws, including CERCLA and analogous state laws and regulations, may impose strict, joint and several liability for costs required to clean-up and restore sites where hazardous substances or hydrocarbons have been disposed or otherwise released. Moreover, third parties, including neighboring landowners, may also have the right to pursue legal actions to enforce compliance or to recover for personal injury and property damage allegedly caused by the release of hazardous substances, hydrocarbons or other waste products into the environment. Failure to comply with these requirements may expose us to fines, penalties and/or interruptions in our operations that could have a material adverse effect on our financial position, results of operations and cash flows.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future environmental, health and safety law developments, such as stricter laws, regulations, permits or enforcement policies, could significantly increase some costs of our operations. Areas of potential future environmental, health and safety law developments include the following items.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Climate Change. </w:t>
      </w:r>
      <w:r>
        <w:rPr>
          <w:rFonts w:ascii="Times New Roman" w:cs="Times New Roman" w:eastAsia="Times New Roman" w:hAnsi="Times New Roman"/>
          <w:sz w:val="18"/>
          <w:szCs w:val="18"/>
          <w:color w:val="auto"/>
        </w:rPr>
        <w:t>Responding to reports regarding global warming and climate change matters, the U.S. Congress from time to time has considered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legislation intended to reduce emissions of greenhouse gases or require fees related to greenhouse gas emissions or carbon taxes. In addition, certain states, including states in which our facilities or operations are located, have, individually or in regional cooperation, taken or proposed measures to reduce emissions of greenhouse gases. The Infrastructure Investment and Jobs Act passed in November 2021 provides for, among other things, $7.5 billion to build out a national network of electric vehicle (“EV”) chargers in the U.S., as part of a plan to accelerate the adoption of EVs, as well as funding for electric school buses and low- and no-emission buses for public transit. The Inflation Reduction Act of 2022 passed in August 2022 includes multiple additional incentives to promote clean energy, EVs, and battery and energy storage as well as imposes a first-time fee on the emission of methane from sources required to report their greenhouse gas emissions under the EPA’s Greenhouse Gas Reporting Program Part 98 (Subpart W) regulations starting in 2024. Various other policies and approaches, including establishing a cap on emissions, requiring efficiency measures, or providing incentives for pollution reduction, use of renewable energy sources, or use of replacement fuels with lower carbon content are under discussion and have resulted, and may continue to result, in additional actions involving greenhouse gases.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adoption and implementation of any federal, state or local regulations imposing reporting obligations on, or limiting emissions of greenhouse gases from, our equipment and operations could require us to incur significant costs to reduce emissions of greenhouse gases associated with our operations or could adversely affect demand for the crude oil, natural gas or other hydrocarbon products that we transport, store or otherwise handle in connection with our midstream services. The potential increase in our operating costs could include costs to operate and maintain our facilities, install new emission controls on our facilities, acquire allowances to authorize greenhouse gas emissions (whether emitted by our operations or associated with fuel that we supply into the markets), pay taxes or fees related to greenhouse gas emissions, and administer and manage a greenhouse gas emissions program. We may not be able to recover such increased costs through customer prices or rates, which may limit our access to, or otherwise cause us to reduce our participation in, certain market activities. In addition, changes in regulatory policies that result in a reduction in the demand for hydrocarbon products that are deemed to contribute to greenhouse gases, or restrictions on their use, may reduce volumes available to us for processing, transportation, marketing and storage. These developments could have a material adverse effect on our financial position, results of operations and cash flows.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numerous countries around the world have adopted, or are considering adopting laws or regulations to reduce greenhouse gas emissions. It is not possible to know how quickly renewable energy technologies may advance, but if significant additional legislation and regulation were enacted, the increased use of renewable energy could ultimately reduce future demand for hydrocarbons. These developments could have a material adverse effect on our financial position, results of operations and cash flows.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 the process of exploring and developing opportunities to capitalize on changes in law and market dynamics relating to greenhouse gas emissions, such as projects related to carbon capture and sequestration and the production and use of hydrogen. These types of projects pose a variety of risks to us, including: (i) we could overestimate the timing or extent of market demand for such services, and therefore divert capital from more profitable opportunities; (ii) we could rely on temporary subsidies or similar market distortions for an increasing portion of our revenue, which reliance could reduce the long-term economic sustainability of our associated operations; (iii) counterparties to projects considered may not have the same credit profiles as many of our existing customers; and (iv) such projects may involve shorter-term contracts than employed with traditional opportunities, thereby involving greater risk to 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direct regulation of emissions as described above, there has been an expansion of requirements and incentives relating to reporting greenhouse gas emissions and other climate change-related matters. Examples include the SEC’s 2022 climate disclosure proposal, expanded greenhouse gas and climate change-related reporting requirements enacted by the California legislature in 2023, and periodic requests from commercial counterparties. We currently file greenhouse gas emission reports for certain facilities and equipment subject to EPA reporting regulations. However, we do not publicly report our total direct or indirect greenhouse gas emissions, and it may not be feasible to quantify all types of emissions without relying on estimates. If we are required to determine comprehensively and report publicly our full direct and indirect greenhouse gas emissions, or certain other climate change-related matters, then it could entail significant costs and administrative burdens and be a source of potential liability and negative publicity. Alternatively, if we do not make such public disclosures, we may be prevented from operating or supplying products into certain markets or dealing with certain counterparties.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Hydraulic Fracturing. </w:t>
      </w:r>
      <w:r>
        <w:rPr>
          <w:rFonts w:ascii="Times New Roman" w:cs="Times New Roman" w:eastAsia="Times New Roman" w:hAnsi="Times New Roman"/>
          <w:sz w:val="18"/>
          <w:szCs w:val="18"/>
          <w:color w:val="auto"/>
        </w:rPr>
        <w:t>Substantially all of our producer customers employ hydraulic fracturing techniques (commonly referred to as “fracking”)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stimulate natural gas and crude oil production from unconventional geological formations (including shale formations), which entails the injection of pressurized fracturing fluids (consisting of water, sand and certain chemicals) into a well bore. The U.S. federal government, and some states and localities, have adopted, and others are considering adopting, regulations or ordinances that could restrict hydraulic fracturing in certain circumstances, or that would impose higher taxes, fees or royalties on such activities. Increased regulation and attention given to the hydraulic fracturing process could lead to greater opposition to crude oil and natural gas drilling activities using hydraulic fracturing techniques, including increased litigation. Additional legislation or regulation could also lead to operational delays and/or increased operating costs in the production of crude oil and natural gas (including natural gas produced from shale plays like the Permian, Eagle Ford, Haynesville, Barnett, Marcellus and Utica Shales) incurred by our customers or could make it more difficult to perform hydraulic fracturing. If these legislative and regulatory initiatives cause a material decrease in the drilling of new wells and related servicing activities, it may affect the volume of hydrocarbon products available to our midstream businesses and have a material adverse effect on our financial position, results of operations and cash flows.</w:t>
      </w:r>
    </w:p>
    <w:p>
      <w:pPr>
        <w:spacing w:after="0" w:line="19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under Part I, Items 1 and 2 of this annual report for more information and specific disclosures relating to environmental, health and safety laws and regulations, and costs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Federal, state or local regulatory measures could have a material adverse effect on our financial position, results of operations and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FERC regulates our interstate liquids pipelines under the ICA. State regulatory agencies regulate many of our assets, including intrastate natural gas and NGL pipelines, intrastate storage facilities and gathering lines.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intrastate liquids and natural gas pipelines are subject to regulation in many states, including Illinois, Kansas, Louisiana, Minnesota, New Mexico and Texas. To the extent our intrastate natural gas pipelines engage in interstate transportation, they are also subject to regulation by the FERC pursuant to Section 311 of the NGPA and required to provide service on a not unduly discriminatory basis and pursuant to fair and equitable rates. We also have natural gas underground storage facilities in Louisiana and Texas. Although state regulation is typically less comprehensive in scope than regulation by the FERC, our services are typically required to be provided on a nondiscriminatory basis and are also subject to challenge by protest and complaint.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natural gas gathering systems are generally exempt from FERC regulation under the NGA, our natural gas gathering operations could be adversely affected should they become subject to federal regulation of rates and services, or, if the states in which we operate adopt policies imposing more onerous regulation on gas gathering operations. Additional rules, decisions and legislation pertaining to our assets are considered and adopted from time to time at both state and federal levels. We cannot predict what effect, if any, such regulatory changes and legislation might have on our operations, but we could be required to incur additional capital expenditures.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general overview of federal, state and local regulation applicable to our assets,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included within Part I, Items 1 and 2 of this annual report. This regulatory oversight can affect certain aspects of our business and the market for our products and could have a material adverse effect on our financial position, results of operations and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rates of our regulated assets are subject to review and possible adjustment by federal and state regulators, which could adversely affect our 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FERC, pursuant to the ICA (as amended), the Energy Policy Act of 1992 and rules and orders promulgated thereunder, regulates the tariff rates and terms and conditions of service for our interstate common carrier liquids pipeline operations. To be lawful under the ICA, interstate tariff rates, terms and conditions of service must be just and reasonable and not unduly discriminatory and must be on file with the FERC. In addition, pipelines may not confer any undue preference upon any shipper. Shippers may protest (and the FERC may investigate) the lawfulness of new or changed tariff rates. The FERC can suspend those tariff rates for up to seven months. It can also require refunds of amounts collected pursuant to rates that are ultimately found to be unlawful and prescribe new rates prospectively. The FERC and interested parties can also challenge tariff rates that have become final and effective. The FERC can also order new rates to take effect prospectively and order reparations for past rates that exceed the just and reasonable level up to two years prior to the date of a complaint. Due to the complexity of rate making, the lawfulness of any rate is never assured. A successful challenge of our rates could adversely affect our revenues.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FERC uses prescribed rate methodologies for approving regulated tariff rate changes for interstate liquids pipelines. The FERC’s indexing methodology currently allows a pipeline to charge rates up to a prescribed ceiling level that changes annually based upon the index adjustment promulgated by FERC for the year. The annual index adjustment that is prescribed by FERC reflects the year-to-year change in the U.S. Producer Price Index for Finished Goods (“PPI”) plus or minus a predetermined percentage (“Index Level”). The Index Level is subject to review and revision every five years. On December 17, 2020, the FERC issued a final rule setting the index for the five-year period beginning July 1, 2021, and ending on June 30, 2026, at PPI plus 0.78%. On January 20, 2022, the FERC granted rehearing of certain aspects of the final rule and revised the index level to PPI minus 0.21%, effective March 1, 2022 through June 30, 2026. The FERC ordered pipelines with filed rates that exceed their index ceiling levels based on PPI minus 0.21% to file rate reductions effective March 1, 2022. Pending appellate review could result in a further change to the index. As an alternative to this indexing methodology, we may also choose to support changes in our rates based on a cost-of-service methodology, or by obtaining advance approval from FERC to charge “market-based rates,” or by charging “settlement rates” agreed to by all affected shippers. The requirements imposed by these methodologies may limit our ability to set rates based on our actual costs or may delay our ability to charge rates reflecting increased costs. Adverse decisions by the FERC related to our rates could adversely affect our financial position, results of operations and cash flows.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our intrastate natural gas pipelines that provide service pursuant to Section 311 of the NGPA, FERC regulates the statement of operating conditions related to such service under the NGPA, which requires fair and equitable rates and not unduly discriminatory terms and conditions of service. FERC requires pipelines providing Section 311 service to support their filed rates on a fair and equitable basis every five years. Shippers may protest (and the FERC may investigate) the lawfulness of new or changed terms and conditions of service and Section 311 rates, which can be subject to refund if ultimately found to be unlawful. Due to the complexity of rate making, the lawfulness of any rate is never assured. A successful challenge of our rates could adversely affect our financial position, results of operations and cash flows.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intrastate liquids and natural gas pipeline transportation services we provide are subject to various state laws and regulations that apply to the rates we charge and the terms and conditions of the services we offer. The rates we charge and the provision of our services may be subject to challenge at the state level and any adverse decisions could adversely affect our financial position, results of operations and cash flows.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The adoption and implementation of new statutory and regulatory requirements for derivative transactions could have an adverse impact on our ability to hedge risks associated with our business and increase the working capital requirements to conduct these activities.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2010 (the “Dodd-Frank Act”) provides for statutory and regulatory requirements for swaps and other derivative transactions, including financial and certain physical oil and gas hedging transactions. Under the Dodd-Frank Act, the CFTC has adopted regulations requiring registration of swap dealers and major swap participants, mandatory clearing of swaps, election of the end-user exception for any uncleared swaps by certain qualified companies, recordkeeping and reporting requirements, business conduct standards and position limits among other requirements. Several of these requirements, including position limits rules, allow the CFTC to impose controls that could have an adverse impact on our ability to hedge risks associated with our business and could increase our working capital requirements to conduct these activities.</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an assessment of final rules promulgated by the CFTC, we have determined that we are not a swap dealer, major swap participant or a financial entity, and therefore have determined that we currently qualify as an end-user. In addition, the vast majority of our derivative transactions are currently transacted through a Derivatives Clearing Organization, and we believe our use of the end-user exception will likely not be necessary on a routine basis. We will also seek to retain our status as an end-user by taking reasonable measures necessary to avoid becoming a swap dealer, major swap participant or financial entity, and other measures to preserve our ability to elect the end-user exception should it become necessary. However, derivative transactions that are not clearable, and transactions that are clearable but for which we choose to elect the end-user exception, are subject to recordkeeping and reporting requirements and potentially additional credit support arrangements including cash margin or collateral. Posting of additional cash margin or collateral could affect our liquidity and reduce our ability to use cash for capital investments or other company purposes.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believe that the majority of our hedging transactions would meet one or more of the enumerated categories for bona fide hedges under the Dodd-Frank Act, the rules could have an adverse impact on our ability to hedge certain risks associated with our business and could potentially affect our profitability.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time, the Executive Branch, the U.S. Congress and the CFTC itself may express interest in amending some of the statutory and regulatory provisions impacting financial markets and institutions and in reevaluating some of the existing regulations and regulatory proposals. In addition, the make-up of the CFTC, and its Chairman, changes periodically, often year-to-year, since the term for one CFTC seat expires each year. Those personnel changes can also impact the regulatory agenda. It is not clear what, if any, changes in the law may gain sufficient support to be enacted or what, if any, changes in the existing regulations might move forward and be adopted, or how any such changes would impact our hedging activity.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standalone operating cash flow is derived primarily from cash distributions we receive from EPO</w:t>
      </w:r>
      <w:r>
        <w:rPr>
          <w:rFonts w:ascii="Times New Roman" w:cs="Times New Roman" w:eastAsia="Times New Roman" w:hAnsi="Times New Roman"/>
          <w:sz w:val="18"/>
          <w:szCs w:val="18"/>
          <w:u w:val="single" w:color="auto"/>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standalone basis, the Partnership is a holding company with no business operations and conducts all of its business through its wholly owned subsidiary, EPO. As a result, we depend upon the earnings and cash flows of EPO and its subsidiaries and unconsolidated affiliates, and the distribution of their cash flows to us in order to meet our obligations and to allow us to make cash distributions to our unitholders.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amount of cash EPO and its subsidiaries and unconsolidated affiliates can distribute to us depends primarily on cash flows generated from their operations. These operating cash flows fluctuate based on, among other things, the: (i) volume of hydrocarbon products transported on their gathering and transmission pipelines; (ii) throughput volumes in their processing and treating operations; (iii) fees charged and the margins realized for their various storage, terminaling, processing and transportation services; (iv) price of natural gas, crude oil, NGLs and other products; (v) relationships among natural gas, crude oil, NGL and other product prices, including differentials between regional markets; (vi) fluctuations in their working capital needs; (vii) level of their operating costs; (viii) prevailing economic conditions; and (ix) level of competition encountered by their businesses. In addition, the actual amount of cash EPO and its subsidiaries and unconsolidated affiliates will have available for distribution will depend on factors such as: (i) the level of sustaining capital expenditures incurred; (ii) their cash outlays for expansion (or growth) capital projects and acquisitions; and (iii) their debt service requirements and restrictions included in the provisions of existing and future indebtedness, organizational documents, applicable state business organization laws and other applicable laws and regulations. Due to these factors, we may not have sufficient available cash each quarter to continue paying distributions at our current levels.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management’s estimates and assumptions may have a material impact on our financial statements and financial performance</w:t>
      </w:r>
      <w:r>
        <w:rPr>
          <w:rFonts w:ascii="Times New Roman" w:cs="Times New Roman" w:eastAsia="Times New Roman" w:hAnsi="Times New Roman"/>
          <w:sz w:val="18"/>
          <w:szCs w:val="18"/>
          <w:u w:val="single" w:color="auto"/>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and periodic reports filed under the Exchange Act, our management is required under applicable rules and regulations, including accounting standards, to make estimates and assumptions as of a specified date. These estimates and assumptions are based on management’s best estimates and experience as of that date and are subject to substantial risk and uncertainty. Actual results may differ materially as circumstances change and other information becomes known. Areas requiring significant estimates and assumptions by management include: the useful economic lives and residual values of our assets; the economic life of contract-based intangible assets; impairments of property, plant and equipment and investments in affiliates; accruals for estimated liabilities, including reserves for litigation; and routine estimates involving revenues and costs of certain natural gas processing facilities, pipeline transportation revenues, fractionation revenues, marketing revenues and related purchases, and power and utility costs. Changes in estimates or assumptions or information underlying assumptions, such as changes in the Partnership’s business plans, general market conditions and changes in management’s outlook on commodity prices could materially affect reported amounts of assets, liabilities, revenues or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Partnership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may issue additional securities without the approval of our common unitholders.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we may issue an unlimited number of limited partner interests of any type (to parties other than our affiliates) without the approval of our unitholders. Our partnership agreement does not give our common unitholders the right to approve the issuance of equity securities, including equity securities ranking senior to our common units. The issuance of additional common units or other equity securities of equal or senior rank will have the following effects: (i) the ownership interest of a unitholder immediately prior to the issuance will decrease; (ii) the amount of cash available for distribution on each common unit may decrease; (iii) the ratio of taxable income to distributions may increase; (iv) the relative voting strength of each previously outstanding common unit may be diminished; and (v) the market price of our common units may decline.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may not have sufficient operating cash flows to pay cash distributions at the current level following establishment of cash reserves and payments of fees and expenses.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cash distributions on our common units are dependent on the amount of cash we generate, distributions may fluctuate based on our performance and capital needs. We cannot guarantee that we will continue to pay distributions at the current level each quarter. The actual amount of cash that is available to be distributed each quarter will depend upon numerous factors, some of which are beyond our control and the control of our general partner. These factors include, but are not limited to: (i) the volume of the products that we handle and the prices we receive for our services; (ii) the level of our operating costs; (iii) the level of competition in our business; (iv) prevailing economic conditions, including the price of and demand for crude oil, natural gas, NGLs and other products we transport, store and market; (v) the level of capital investments we make; (vi) the amount and cost of capital we can raise compared to the amount of our capital investments and debt service requirements; (vii) restrictions contained in our debt agreements; (viii) fluctuations in our working capital needs; (ix) weather volatility; (x) cash outlays for acquisitions, if any; and (xi) the amount, if any, of cash reserves required by our general partner in its sole discretion.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amount of cash that we have available for distribution is not solely a function of profitability, which will be affected by non-cash items such as depreciation, amortization and provisions for asset impairments. Our cash flows are also impacted by borrowings under credit agreements and similar arrangements. As a result, we may be able to make cash distributions during periods when we record losses and may not be able to make cash distributions during periods when we record net income. An inability on our part to pay cash distributions to our unitholders could have a material adverse effect on our financial position, results of operations and cash flows.</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general partner and its affiliates have limited fiduciary responsibilities to, and conflicts of interest with respect to, our partnership, which may permit it to favor its own interests to your detriment.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and officers of our general partner and its affiliates have duties to manage our general partner in a manner that is beneficial to its members. At the same time, our general partner has duties to manage our partnership in a manner that is beneficial to us. Therefore, our general partner’s duties to us may conflict with the duties of its officers and directors to its members. Such conflicts may include, among others, the following:</w:t>
      </w:r>
    </w:p>
    <w:p>
      <w:pPr>
        <w:spacing w:after="0" w:line="77" w:lineRule="exact"/>
        <w:rPr>
          <w:sz w:val="20"/>
          <w:szCs w:val="20"/>
          <w:color w:val="auto"/>
        </w:rPr>
      </w:pPr>
    </w:p>
    <w:p>
      <w:pPr>
        <w:ind w:left="500" w:hanging="330"/>
        <w:spacing w:after="0"/>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neither our partnership agreement nor any other agreement requires our general partner or EPCO to pursue a business strategy that favors us;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decisions of our general partner regarding the amount and timing of asset purchases and sales, cash expenditures, borrowings, issuances of additional units, and the establishment of additional reserves in any quarter may affect the level of cash available to pay quarterly distributions to our unitholders;</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under our partnership agreement, our general partner determines which costs incurred by it and its affiliates are reimbursable by us;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is allowed to resolve any conflicts of interest involving us and our general partner and its affiliates, and may take into account the interests of parties other than us, such as EPCO, in resolving conflicts of interest, which has the effect of limiting its fiduciary duty to our unitholders;</w:t>
      </w:r>
    </w:p>
    <w:p>
      <w:pPr>
        <w:spacing w:after="0" w:line="200"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resolution of a conflict of interest by our general partner not made in bad faith and that is fair and reasonable to us is binding on the partners and is not a breach of our partnership agreement;</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affiliates of our general partner may compete with us in certain circumstances;</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has limited its liability and reduced its fiduciary duties and has also restricted the remedies available to our unitholders for actions that might, without the limitations, constitute breaches of fiduciary duty. As a result of purchasing our units, you are deemed to consent to some actions and conflicts of interest that might otherwise constitute a breach of fiduciary or other duties under applicable law;</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do not have any employees and we rely solely on employees of EPCO and its affiliates;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some instances, our general partner may cause us to borrow funds in order to permit the payment of distributions;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ind w:left="500" w:right="20" w:hanging="330"/>
        <w:spacing w:after="0" w:line="199" w:lineRule="auto"/>
        <w:tabs>
          <w:tab w:leader="none" w:pos="50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may cause us to pay it or its affiliates for any services rendered to us or entering into additional contractual arrangements with any of these entities on our behalf;</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intends to limit its liability regarding our contractual and other obligations and, in some circumstances, may be entitled to be indemnified by us;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controls the enforcement of obligations owed to us by our general partner and its affiliates; and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general partner decides whether to retain separate counsel, accountants or others to perform services for us.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significant business relationships with entities controlled by EPCO and Dan Duncan LLC. For information regarding these relationships and related party transactions with EPCO and its affiliates, see Note 15 of the Notes to Consolidated Financial Statements included under Part II, Item 8 of this annual report. Additional information regarding our relationship with EPCO and its affiliates can also be found under Part III, Item 13 of this annual report.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NYSE does not require a publicly traded limited partnership like us to comply with certain of its corporate governance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list our common units on the NYSE under the symbol “EPD.” Because we are a publicly traded limited partnership, the NYSE does not require us to have a majority of independent directors on our general partner’s Board or to establish a compensation committee or a nominating and corporate governance committee. Additionally, any future issuance of additional common units or other securities, including to affiliates, will not be subject to the NYSE’s shareholder approval rules that apply to a corporation. Accordingly, unitholders do not have the same protections afforded to certain corporations that are subject to all of the NYSE corporate governance requirements. See Part III, Item 10 of this annual report for additional information.</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Unitholders have limited voting rights and are not entitled to elect our general partner or its directors. In addition, even if unitholders are dissatisfied, they cannot easily remove our general partner.</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the holders of common stock in a corporation, unitholders have only limited voting rights on matters affecting our business and, therefore, limited ability to influence management’s decisions regarding our business. Unitholders did not elect our general partner or its directors and will have no right to elect our general partner or its directors on an annual or other continuing basis. The owners of our general partner choose the directors of our general partner.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if unitholders are dissatisfied with the performance of our general partner, they currently have no practical ability to remove our general partner or its officers or directors. Our general partner may not be removed except upon the vote of the holders of at least 60% of our outstanding units voting together as a single class. Since affiliates of our general partner currently own approximately 32% of our outstanding common units, the removal of Enterprise GP as our general partner is highly unlikely without the consent of both our general partner and its affiliates. As a result of this provision, the trading price of our common units may be lower than other forms of equity ownership because of the absence of a takeover premium in the trading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partnership agreement restricts the voting rights of unitholders owning 20% or more of our common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Unitholders’ voting rights are further restricted by a provision in our partnership agreement stating that any units held by a person that owns 20% or more of any class of our common units then outstanding, other than our general partner and its affiliates, cannot be voted on any matter. In addition, our partnership agreement contains provisions limiting the ability of unitholders to call meetings or to acquire information about our operations, as well as other provisions limiting our unitholders’ ability to influence our management. As a result of this provision, the trading price of our common units may be lower than other forms of equity ownership because of the absence of a takeover premium in the trading price.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general partner has a limited call right that may require common unitholders to sell their common units at an undesirable time or price.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any time our general partner and its affiliates own 85% or more of the common units then outstanding, our general partner will have the right, but not the obligation, which it may assign to any of its affiliates or to us, to acquire all, but not less than all, of the remaining common units held by unaffiliated persons at a price not less than the then current market price. As a result, common unitholders may be required to sell their common units at an undesirable time or price and may therefore not receive any return on their investment. Unitholders may also incur a tax liability upon the sale of their common units.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common unitholders may not have limited liability if a court finds that limited partner actions constitute control of our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law, common unitholders could be held liable for our obligations to the same extent as a general partner if a court determined that the right of limited partners to remove our general partner or to take other action under our partnership agreement constituted participation in the “control” of our business. Under Delaware law, our general partner generally has unlimited liability for our obligations, such as our debts and environmental liabilities, except for those of our contractual obligations that are expressly made without recourse to our general partner.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limitations on the liability of holders of limited partner interests for the obligations of a limited partnership have not been clearly established in some of the states in which we do business. You could have unlimited liability for our obligations if a court or government agency determined that (i) we were conducting business in a state, but had not complied with that particular state’s partnership statute; or (ii) your right to act with other unitholders to remove or replace our general partner, to approve some amendments to our partnership agreement or to take other actions under our partnership agreement constituted “control”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Unitholders may have a liability to repay distributions.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certain circumstances, our unitholders may have to repay amounts wrongfully distributed to them.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A purchaser of common units who becomes a limited partner is liable for the obligations of the transferring limited partner to make contributions to the Partnership that are known to such purchaser of common units at the time it became a limited partner, and for unknown obligations if the liabilities could be determined from our partnership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general partner’s interest in us and the control of our general partner may be transferred to a third party without unitholder consent.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partner, in accordance with our partnership agreement, may transfer its general partner interest without the consent of unitholders. In addition, our general partner may transfer its general partner interest to a third party in a merger or consolidation or in a sale of all or substantially all of its assets without the consent of our unitholders. Furthermore, there is no restriction in our partnership agreement on the ability of the sole member of our general partner, currently Dan Duncan LLC, to transfer its equity interests in our general partner to a third party. The new equity owner of our general partner would then be in a position to replace the Board and officers of our general partner with their own choices and to influence the decisions taken by the Board and officers of our general partner.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do not have the same flexibility as other types of organizations to accumulate cash and issue equity to protect against illiquidity in the future.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make quarterly distributions to our unitholders of all available cash, after taking into account reserves for commitments and contingencies, including capital and operating costs and debt service requirements. The value of our common units and other limited partner interests may decrease in correlation with any reduction in our cash distributions per unit. Accordingly, if we experience a liquidity problem in the future, we may not be able to issue more equity to recapitalize.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 to Common Unitholders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Our tax treatment depends on our status as a partnership for federal income tax purposes, as well as our not being subject to a material amount of entity-level taxation by individual states. If the Internal Revenue Service were to treat us as a corporation for federal income tax purposes or if we were otherwise subject to a material amount of entity-level taxation, then cash available for distribution to our unitholders would be reduced.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federal income tax purposes. Despite the fact that we are organized as a limited partnership under Delaware law, we will be treated as a corporation for federal income tax purposes unless we satisfy a “qualifying income” requirement. Based on our current operations, we believe we satisfy the qualifying income requirement. Failing to meet the qualifying income requirement or a change in current law could cause us to be treated as a corporation for federal income tax purposes or otherwise subject us to taxation as an entity. We have not requested, and do not plan to request, a ruling from the Internal Revenue Service (“IRS”) with respect to our classification as a partnership for federal income tax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were treated as a corporation for federal income tax purposes, we would pay federal income tax on our taxable income at the corporate tax rate and we would also likely pay additional state and local income taxes at varying rates. Distributions to our unitholders would generally be taxed again as corporate dividends, and no income, gains, losses or deductions would flow through to our unitholders. Because a tax would be imposed upon us as a corporation, the cash available for distribution to our unitholders would be reduced. Thus, treatment of us as a corporation could result in a reduction in the anticipated cash-flow and after-tax return to our unitholders, which would cause a reduction in the value of our common units.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capital, and other forms of business taxes, as well as subjecting nonresident partners to taxation through the imposition of withholding obligations and composite, combined, group, block, or similar filing obligations on nonresident partners receiving a distributive share of state “sourced” income. We currently own property or do business in a substantial number of states. Imposition on us of any of these taxes in jurisdictions in which we own assets or conduct business or an increase in the existing tax rates could result in a reduction in the anticipated cash-flow and after-tax return to our unitholders, which would cause a reduction in the value of our common units.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2013 through 2017, several publicly traded partnerships merged into their corporate general partner sponsors. In 2018 and continuing into 2023, the combination of a number of additional factors, including the passage of the Tax Cuts and Jobs Act (the “Tax Act”) of 2017 (which lowered the federal corporate tax rate from 35% to 21% and generally provides for the expensing of certain capital investments and acquisitions), the FERC issuing its Revised Policy Statement on the Treatment of Income Taxes in March 2018, and, generally, continued lower demand and related liquidity for midstream energy companies (including those structured as publicly traded partnerships), led to additional publicly traded partnerships to either (i) merge into their corporate general partner sponsors, (ii) merge into their general partner structured as a partnership and then elect for the combined entity to be taxed as a corporation, or (iii) voluntarily elect to be taxed as a corporation. These conversions have materially reduced the number of publicly traded partnerships and the total market capitalization and the depth of capital available for the publicly traded partnership sector.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believe that our classification as a partnership for federal income tax purposes continues to provide a net benefit for our unitholders, should we continue to see (i) additional publicly traded partnerships elect to be taxed as corporations, which could result in a further decrease in the total market capitalization of the publicly traded partnership sector, (ii) lower demand for equity capital in the publicly traded partnership sector, (iii) the absence of a historic premium in the market valuation of publicly traded partnerships compared to midstream energy companies taxed as corporations (or if we see any discount in the valuation of our partnership compared to such companies), or (iv) a combination thereof that results in a material difference in our cost of capital or limits our access to capital, the board of directors of our general partner may determine it is in our unitholders’ best interest to change our classification as a partnership for federal income tax purposes. Should the general partner recommend that we change our tax classification, such change would be subject to the approval of our common unitholders.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The tax treatment of publicly traded partnerships or an investment in our common units could be subject to potential legislative, judicial or administrative changes and differing interpretations, possibly on a retroactive basis.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present federal income tax treatment of publicly traded partnerships, including us, or an investment in our common units, may be modified by administrative, legislative or judicial interpretation. From time to time, members of Congress propose and consider substantive changes to the existing federal income tax laws that affect publicly traded partnerships or an investment in our common units, including elimination of partnership tax treatment for certain publicly traded partnerships.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changes to federal income tax laws and interpretations thereof (including administrative guidance relating to the Tax Act) may or may not be applied retroactively and could make it more difficult or impossible for us to be treated as a partnership for federal income tax purposes or otherwise adversely affect our business, financial condition or results of operations. Any such changes or interpretations thereof could adversely impact the value of an investment in our common units.</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prorate our items of income, gain, loss and deduction between transferors and transferees of our common units each month based upon the ownership of our common units on the first day of each month, instead of on the basis of the date a particular common unit is transferred.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common units each month based upon the ownership of the units on the first day of each month, instead of on the basis of the date a particular unit is transferred. Treasury Regulations allow a similar monthly simplifying convention, but such regulations do not specifically authorize all aspects of our proration method. If the IRS were to successfully challenge our proration method, we may be required to change the allocation of items of income, gain, loss and deduction among our unitholders.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 successful IRS contest of the federal income tax positions we take may adversely impact the market for our common units and the cost of any IRS contest will reduce our cash available for distribution to unitholders.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IRS has made no determination as to our status as a partnership for U.S. federal income tax purposes. The IRS may adopt positions that differ from the positions we take, even positions taken with advice of counsel. It may be necessary to resort to administrative or court proceedings to sustain some or all of the positions we take and such positions may not ultimately be sustained. A court may not agree with some or all of the positions we take. As a result, any such contest with the IRS may materially and adversely impact the market for our common units and the price at which our common units trade. In addition, our costs of any contest with the IRS, principally legal, accounting and related fees, will be indirectly borne by our unitholders because the costs will reduce our cash available for distribution.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If the IRS makes audit adjustments to our income tax returns, it (and some states) may assess and collect any taxes (including any applicable penalties and interest) resulting from such audit adjustment directly from us, in which case we would pay the taxes directly to the IRS. If we bear such payment, our cash available for distribution to our unitholders might be substantially reduced.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current law, if the IRS makes audit adjustments to our income tax returns for open tax years, it (and some states) may assess and collect any taxes (including any applicable penalties and interest) resulting from such audit adjustment directly from us. Our general partner would cause us to pay the taxes (including any applicable penalties and interest) directly to the IRS. As a result, our current unitholders may bear some or all of the tax liability resulting from such audit adjustment, even if such unitholders did not own common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unitholders may be required to pay taxes on their share of our income even if they do not receive any cash distributions from us.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our unitholders will be treated as partners to whom we will allocate taxable income which could be different in amount from the cash that we distribute, our unitholders may be required to pay federal income taxes and, in some cases, state and local income taxes on their share of our taxable income, whether or not they receive any cash distributions from us. Our common unitholders may not receive cash distributions from us equal to their share of our taxable income or even equal to the actual tax liability resulting from their share of our taxable income.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 gains or losses on the disposition of our common units could be more or less than expected</w:t>
      </w:r>
      <w:r>
        <w:rPr>
          <w:rFonts w:ascii="Times New Roman" w:cs="Times New Roman" w:eastAsia="Times New Roman" w:hAnsi="Times New Roman"/>
          <w:sz w:val="18"/>
          <w:szCs w:val="18"/>
          <w:u w:val="single" w:color="auto"/>
          <w:color w:val="auto"/>
        </w:rPr>
        <w: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unitholders sell their common units, they will recognize a gain or loss equal to the difference between the amount realized and their tax basis in those common units. Because distributions in excess of a unitholder’s allocable share of our net taxable income decrease the unitholder’s tax basis in the unitholder’s common units, the amount, if any, of such prior excess distributions with respect to the common units a unitholder sells will, in effect, become taxable income to the unitholder if the unitholder sells such common units at a price greater than the unitholder’s tax basis in those common units, even if the price received is less than the unitholder’s original cost. A substantial portion of the amount realized, whether or not representing gain, may be taxed as ordinary income due to potential recapture items such as depreciation. In addition, because the amount realized may include a unitholder’s share of our nonrecourse liabilities, a unitholder that sells common units may incur a tax liability in excess of the amount of the cash received from the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Unitholders may be subject to limitation on their ability to deduct interest expense incurred by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deduct interest paid or accrued on indebtedness properly allocable to a trade or business (“business interest”) may be limited in certain circumstances. Should our ability to deduct business interest be limited, the amount of taxable income allocated to our unitholders in the taxable year in which the limitation is in effect may increase. However, in certain circumstances, a unitholder may be able to utilize a portion of a business interest deduction subject to this limitation in future taxable years. Prospective unitholders should consult their tax advisors regarding the impact of this business interest deduction limitation on an investment in our common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Tax-exempt entities face unique tax issues from owning our common units that may result in adverse tax consequences to them.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in our common units by tax-exempt entities, such as individual retirement accounts (“IRAs”) or other retirement plans, raise issues unique to them. For example, virtually all of our income allocated to unitholders who are organizations exempt from federal income tax, including IRAs and other retirement plans, will be unrelated business taxable income and will be taxable to them. With respect to taxable years beginning after December 31, 2017, subject to the proposed aggregation rules for certain similarly situated businesses or activities issued by the Treasury Department, a tax-exempt entity with more than one unrelated trade or business (including by attribution from investment in a partnership such as ours)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regarding the impact of these rules on an investment in our common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Non-U.S. unitholders will be subject to U.S. taxes and withholding with respect to their income and gain from owning our common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common units will generally be considered to be “effectively connected” with a U.S. trade or business. As a result, distributions to a non-U.S. unitholder will be subject to withholding at the highest applicable effective tax rate and a non-U.S. unitholder who sells or otherwise disposes of a common unit will also be subject to U.S. federal income tax on the gain realized from the sale or disposition of that common unit.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upon the sale, exchange or other disposition of a common unit by a non-U.S.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The U.S. Department of the Treasury and the IRS have provided that these rules generally apply to transfers of and distributions on our common units occurring on or after January 1, 2023. Distributions to non-U.S. unitholders may also be subject to additional withholding under these rules to the extent a portion of a distribution is attributable to an amount in excess of our cumulative net income that has not previously been distributed. We currently anticipate all of our distributions will be in excess of the amount of our cumulative net income that has not previously been distributed. Accordingly, a distribution to a non-U.S. unitholder is expected to be subject to withholding at the highest applicable effective tax rate. Under these final regulations, we are required to issue qualified notices regarding these matters. Our qualified notices can be found on our public company website. Non-U.S. unitholders should consult their tax advisors regarding the impact of these rules on an investment in our common units.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treat each purchaser of our common units as having the same tax benefits without regard to the common units purchased. The IRS may challenge this treatment, which could adversely affect the value of our common units.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adopt depreciation and amortization positions that may not conform to all aspects of existing Treasury Regulations. A successful IRS challenge to those positions could adversely affect the amount of tax benefits available to a common unitholder. It also could affect the timing of these tax benefits or the amount of gain from a sale of common units and could have a negative impact on the value of our common units or result in audit adjustments to the unitholder’s tax returns.</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common unitholders will likely be subject to state and local taxes and return filing requirements in states where they do not live as a result of an investment in our common units.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federal income taxes, our common unitholders will likely be subject to other taxes, such as state and local income taxes, unincorporated business taxes and estate, inheritance or intangible taxes imposed by the various jurisdictions in which we do business or own property now or in the future, even if the unitholder does not live in any of those jurisdictions. Our common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or conduct business in a substantial number of states, many of which impose an income tax on individuals, corporations and other entities. As we make acquisitions or expand our business, we may control assets or conduct business in additional states that impose a personal or corporate income tax. It is the responsibility of each unitholder to file its own federal, state and local tax returns, as applicable.</w:t>
      </w:r>
    </w:p>
    <w:p>
      <w:pPr>
        <w:spacing w:after="0" w:line="200" w:lineRule="exact"/>
        <w:rPr>
          <w:sz w:val="20"/>
          <w:szCs w:val="20"/>
          <w:color w:val="auto"/>
        </w:rPr>
      </w:pP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 unitholder whose common units are the subject of a securities loan (e.g., a loan to a “short seller” to cover a short sale of common units) may be considered as having disposed of those common units. If so, the unitholder would no longer be treated for tax purposes as a partner with respect to those common units during the period of the loan and may recognize gain or loss from the disposition.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there are no specific rules governing the U.S. federal income tax consequence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lending their common units.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have adopted certain valuation methodologies in determining a unitholder’s allocations of income, gain, loss and deduction. The IRS may challenge these methods or the resulting allocations and such a challenge could adversely affect the value of our common units.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SEC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our information technology (“IT”) and operational technology (“OT”) systems, as well as systems of third-party vendors, to conduct our business. These systems are subject to possible cybersecurity threats. Cyberattacks are becoming more sophisticated, and U.S. government warnings have indicated that infrastructure assets, including pipelines and related infrastructure, may be specifically targeted by certain groups. These attacks include, without limitation, malicious software, ransomware, attempts to gain unauthorized access to data, and other electronic security breaches. Cybersecurity threats, which could increase as a result of geopolitical events, may be perpetrated by state-sponsored groups, “hacktivists,” criminal organizations, private individuals and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the risks from cybersecurity threats to include, without limitation, disruptions to our business operations, theft of protected information or intellectual property, destruction of our control systems and data, losses from remedial actions, damage to our reputation, and exposure to lawsuits and regulatory actions. In general, such risks are based on the capabilities and intent of known bad actors as well as threat information gathered from multiple sources, including industry groups, government agencies, publications and third-party service providers. Our processes for managing these risks generally involve (i) the use of tools and technologies to continuously monitor for and identify system vulnerabilities and attacks; (ii) adherence to policies and procedures designed to protect our critical IT and OT systems; (iii) the use of an employee awareness program to promote cybersecurity education and company-wide support; and (iv) periodic reassessment of areas of focus to maintain continued preparedness relative to changes in tools and technologies as well as emerging threats.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processes for identifying, assessing and managing the risks from cybersecurity threats are a key component of our overall cybersecurity strategy, which is designed to safeguard technology critical to providing services for our customers, and protecting business-sensitive and personal information that is entrusted to us. To help execute our cybersecurity strategy, we have adopted a risk-based, layered, defense-in-depth approach, which, among other measures, includes: (i) the segregation of our critical industrial control systems (Operational Technology or OT systems) from our corporate network; (ii) multiple layers of preventative and detective measures; (iii) a cybersecurity incident response plan to promote preparedness; and (iv) a cross-functional cybersecurity steering committee (the “Cybersecurity Committee”) to provide guidance around cybersecurity risk management. Our overall cybersecurity program is based on various industry-recognized frameworks and standards developed and issued by leading international, domestic and energy-industry standard-setting organizations.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overall cybersecurity strategy, we also engage third-party service providers to: (i) assist in our cybersecurity risk assessment procedures; (ii) perform penetration testing on external facing IT systems; (iii) perform security assessments on our IT and OT systems; (iv) assist in our incident response procedures; and (v) share information on industry-specific cybersecurity threats. With respect to our use of third-party systems, we oversee our risks from cybersecurity threats by working with our third-party vendors to evaluate their cybersecurity program for alignment with our own policies and procedures, including notification of and coordination during any incidents that might affect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our processes for overseeing risks are effective in eliminating cybersecurity threats or mitigating the impact of an unforeseen incident, we generally do not expect these risks to have a material impact on our business strategy, financial position, or results of operations. However, as mentioned in Part I, Item 1A. Risk Factors, we do not carry insurance specifically for cybersecurity incidents. If we were to incur a significant liability for which we were not fully insured, it could have a material adverse effect on our financial position, results of operations and cash flows.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information on the risks we face from cybersecurity threats, please see the risk factors included under Part I, Item 1A titled “</w:t>
      </w:r>
      <w:r>
        <w:rPr>
          <w:rFonts w:ascii="Times New Roman" w:cs="Times New Roman" w:eastAsia="Times New Roman" w:hAnsi="Times New Roman"/>
          <w:sz w:val="18"/>
          <w:szCs w:val="18"/>
          <w:i w:val="1"/>
          <w:iCs w:val="1"/>
          <w:color w:val="auto"/>
        </w:rPr>
        <w:t>A cyber-attack on our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 systems could affect our business and assets, and have a material adverse effect on our financial position, results of operations and cash flows.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Failure of our critical IT or OT systems could have an adverse impact on our business, financial condition, results of operations and cash flows, as well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our ability to pay cash distributions.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Cybersecurity Committee is comprised of senior representatives from our legal, IT and OT, engineering, corporate security, risk, human resources, finance, accounting, public relations, investor relations and executive management teams. This committee plays a key role in assessing and managing our risks from cybersecurity threats. In particular, our Cybersecurity Committee is responsible for: (i) establishing and promoting company-wide support for the management of cybersecurity risk; (ii) providing oversight and ensuring alignment between our cybersecurity strategy and business objectives; (iii) reviewing and advising on cybersecurity policy and governance; (iv ) providing a forum for review of cybersecurity risk in alignment with our business objectives and risk tolerance; (v) promoting cross-company alignment of cybersecurity programs and actions; and (vi) reviewing our cybersecurity incident response plan (“CIRP”). Our Cybersecurity Committee meets at least quarterly with senior representatives from our cybersecurity team and outside experts to discuss cybersecurity threat updates, new cybersecurity regulations, cybersecurity projects and entity-wide results of cybersecurity preparedness initiatives. If a cybersecurity incident occurs, our Cybersecurity Incident Response Team, which includes several members of our Cybersecurity Committee, will oversee the execution of our CIRP.</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oversight of all material risks relevant to Enterprise, including those related to cybersecurity threats. To help keep our Board informed about such risks, senior representatives from our IT and OT department provide quarterly updates to our Board regarding significant developments in: (i) cyberattacks and other cybersecurity threats targeting critical infrastructure; (ii) governmental enforcement actions and investigations against cyber criminals; (iii) the regulatory landscape impacting the midstream energy industry; (iv) improvements to our cybersecurity programs, including our CIRP and related response procedures, and the progress of ongoing cybersecurity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effective cybersecurity governance is an on-going process, and thus, encourage those individuals with oversight responsibilities to stay abreast of emerging cybersecurity threats as well as pursue cybersecurity education opportunities. To this end, a number of our Cybersecurity Committee members, particularly the IT and OT representatives, hold one or more industry-recognized information security certifications such as the CISSP, CISM and CISA.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named as defendants in legal proceedings in connection with our normal business activities. Although we are insured against various risks to the extent we believe it is prudent, there is no assurance that the nature and amount of such insurance will be adequate, in every case, to fully indemnify us against losses arising from legal proceedings. We will vigorously defend our partnership in litigation matters.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litigation matters, see Note 17 of the Notes to Consolidated Financial Statements included under Part II, Item 8 of this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occasion, we are assessed monetary penalties by governmental authorities related to administrative or judicial proceedings involving environmental matters. The following information summarizes matters where the eventual resolution of each of these matters may result in monetary sanctions in excess of $0.3 million. We do not expect that any expenditures related to the following matters will be material to our consolidated financial statements.</w:t>
      </w:r>
    </w:p>
    <w:p>
      <w:pPr>
        <w:spacing w:after="0" w:line="176" w:lineRule="exact"/>
        <w:rPr>
          <w:sz w:val="20"/>
          <w:szCs w:val="20"/>
          <w:color w:val="auto"/>
        </w:rPr>
      </w:pPr>
    </w:p>
    <w:p>
      <w:pPr>
        <w:ind w:left="660" w:hanging="328"/>
        <w:spacing w:after="0" w:line="267" w:lineRule="auto"/>
        <w:tabs>
          <w:tab w:leader="none" w:pos="660"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June 2019, we received a Notice of Violation from the U.S. Environmental Protection Agency (“EPA”) in connection with regulatory requirements applicable to facilities that we operate near Baton Rouge, Louisiana.</w:t>
      </w:r>
    </w:p>
    <w:p>
      <w:pPr>
        <w:spacing w:after="0" w:line="173" w:lineRule="exact"/>
        <w:rPr>
          <w:rFonts w:ascii="Calibri" w:cs="Calibri" w:eastAsia="Calibri" w:hAnsi="Calibri"/>
          <w:sz w:val="18"/>
          <w:szCs w:val="18"/>
          <w:color w:val="auto"/>
        </w:rPr>
      </w:pPr>
    </w:p>
    <w:p>
      <w:pPr>
        <w:ind w:left="660" w:hanging="328"/>
        <w:spacing w:after="0" w:line="267" w:lineRule="auto"/>
        <w:tabs>
          <w:tab w:leader="none" w:pos="660"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July 2021, we received a civil penalty demand from the U.S. Department of Justice and the State of Colorado regarding alleged violations of hydrocarbon leak detection and repair regulations applicable to our Meeker gas processing plant in Colorado.</w:t>
      </w:r>
    </w:p>
    <w:p>
      <w:pPr>
        <w:spacing w:after="0" w:line="173" w:lineRule="exact"/>
        <w:rPr>
          <w:rFonts w:ascii="Calibri" w:cs="Calibri" w:eastAsia="Calibri" w:hAnsi="Calibri"/>
          <w:sz w:val="18"/>
          <w:szCs w:val="18"/>
          <w:color w:val="auto"/>
        </w:rPr>
      </w:pPr>
    </w:p>
    <w:p>
      <w:pPr>
        <w:ind w:left="660" w:right="20" w:hanging="328"/>
        <w:spacing w:after="0" w:line="267" w:lineRule="auto"/>
        <w:tabs>
          <w:tab w:leader="none" w:pos="660"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August 2022, we received a Notice of Violation from the U.S. EPA alleging that gasoline at two of our refined products terminals in Texas had exceeded certain Clean Air Act-related standards during two past regulatory control periods.</w:t>
      </w:r>
    </w:p>
    <w:p>
      <w:pPr>
        <w:spacing w:after="0" w:line="173" w:lineRule="exact"/>
        <w:rPr>
          <w:rFonts w:ascii="Calibri" w:cs="Calibri" w:eastAsia="Calibri" w:hAnsi="Calibri"/>
          <w:sz w:val="18"/>
          <w:szCs w:val="18"/>
          <w:color w:val="auto"/>
        </w:rPr>
      </w:pPr>
    </w:p>
    <w:p>
      <w:pPr>
        <w:ind w:left="660" w:hanging="328"/>
        <w:spacing w:after="0" w:line="267" w:lineRule="auto"/>
        <w:tabs>
          <w:tab w:leader="none" w:pos="660"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 August 2022, we received two Notices of Enforcement from the Texas Commission on Environmental Quality for alleged exceedances of air permit emission limits at our PDH 1 and iBDH facilities in Texas.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UNITHOLDER MATTERS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ISSUER PURCHASES OF EQUITY SECURITIES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units are listed on the NYSE under the ticker symbol EPD. As of January 31, 2024, there were approximately 1,802 unitholders of record of our common units. For information regarding our quarterly cash distributions to partners, see Note 8 of the Notes to Consolidated Financial Statements included under Part II, Item 8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Issuances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our Series A Cumulative Convertible Preferred Units (“preferred units”) are entitled to receive cumulative quarterly distributions at a rate of 7.25% per annum. We may satisfy our obligation to pay distributions to the preferred unitholders through the issuance, in whole or in part, of additional preferred units (referred to as paid-in-kind or “PIK” distributions), with the remainder in cash, subject to certain rights of a holder to elect all cash and other conditions as described in our partnership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made quarterly PIK distributions of 18,076, 18,404, 18,737 and 19,077 preferred units to OTA Holdings, Inc. (“OTA”), an indirect, wholly owned subsidiary of the Partnership, in the first, second, third and fourth quarters of 2023, respectively. The preferred units held by OTA are accounted for as treasury units in consolidation. For additional information regarding the preferred units, see Note 8 of the Notes to Consolidated Financial Statements included under Part II, Item 8 of this annual report.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issuances of preferred units as PIK distributions during the year ended December 31, 2023 were undertaken in reliance upon an exemption from the registration requirements of the Securities Act of 1933, as amended, pursuant to Section 4(a)(2)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above, there were no sales of unregistered equity securities during the fourth quarter of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 Authorized for Issuance Under Equity Compensation Plan</w:t>
      </w:r>
    </w:p>
    <w:p>
      <w:pPr>
        <w:spacing w:after="0" w:line="2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Securities Authorized for Issuance Under Equity Compensation Plans</w:t>
      </w:r>
      <w:r>
        <w:rPr>
          <w:rFonts w:ascii="Times New Roman" w:cs="Times New Roman" w:eastAsia="Times New Roman" w:hAnsi="Times New Roman"/>
          <w:sz w:val="18"/>
          <w:szCs w:val="18"/>
          <w:color w:val="auto"/>
        </w:rPr>
        <w:t>” included under Part III, Item 12 of this annual report, which is incorporated by reference into this Item 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repurchase activity during the fourth quarter of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Dollar Amount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Units That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2019</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Buyback</w:t>
            </w:r>
          </w:p>
        </w:tc>
        <w:tc>
          <w:tcPr>
            <w:tcW w:w="0" w:type="dxa"/>
            <w:vAlign w:val="bottom"/>
          </w:tcPr>
          <w:p>
            <w:pPr>
              <w:spacing w:after="0"/>
              <w:rPr>
                <w:sz w:val="1"/>
                <w:szCs w:val="1"/>
                <w:color w:val="auto"/>
              </w:rPr>
            </w:pPr>
          </w:p>
        </w:tc>
      </w:tr>
      <w:tr>
        <w:trPr>
          <w:trHeight w:val="148"/>
        </w:trPr>
        <w:tc>
          <w:tcPr>
            <w:tcW w:w="586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2019 Buyback</w:t>
            </w: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80"/>
        </w:trPr>
        <w:tc>
          <w:tcPr>
            <w:tcW w:w="5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2019 Buyback Program: (1)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October 2023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1,177,244</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November 2023</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2,867,527</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2,867,527</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1,102,297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2023</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784,303</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784,303</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1,081,686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Vesting of phantom unit awards: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November 2023 (2)</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6,197</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right="20" w:hanging="452"/>
        <w:spacing w:after="0" w:line="233" w:lineRule="auto"/>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2019, we announced the 2019 Buyback Program, which authorized the repurchase of up to $2 billion of EPD’s common units. Units repurchased under this program are cancelled immediately upon acquisition.</w:t>
      </w:r>
    </w:p>
    <w:p>
      <w:pPr>
        <w:ind w:left="460" w:hanging="452"/>
        <w:spacing w:after="0" w:line="239" w:lineRule="auto"/>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24,262 phantom unit awards that vested in November 2023 and converted to common units, 6,197 units were sold back to us by employees to cover related withholding tax requirements. These repurchases are not part of any announced program. We cancelled these units immediately upon acquisition.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results of operations and related information for the years ended December 31, 2023 and 2022, including applicable year-to-year comparisons, should be read in conjunction with our Consolidated Financial Statements and accompanying notes included under Part II, Item 8 of this annual report. Our financial statements have been prepared in accordance with generally accepted accounting principles (“GAAP”) in the United States (“U.S.”).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Discussion and analysis of matters pertaining to the year ended December 31, 2021 and year-to-year comparisons between the years ended December 31, 2022 and 2021 are not included in this Form 10-K, but can be found under Part II, Item 7 of our annual report on Form 10-K for the year ended December 31, 2022 that was filed on February 28,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References Used in this Management’s Discussion and Analysis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this annual report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the Co-Chief Executive Officer and Chief Financial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32.4% of the Partnership’s common units outstanding at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generally used in the energy industry and in this annual report, the acronyms below have the following meanings:</w:t>
      </w:r>
    </w:p>
    <w:p>
      <w:pPr>
        <w:spacing w:after="0" w:line="23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day</w:t>
            </w:r>
          </w:p>
        </w:tc>
        <w:tc>
          <w:tcPr>
            <w:tcW w:w="1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MMBPD</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million barrels per day</w:t>
            </w:r>
          </w:p>
        </w:tc>
      </w:tr>
      <w:tr>
        <w:trPr>
          <w:trHeight w:val="149"/>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BBtus</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British thermal units</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MMBtus</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British thermal units</w:t>
            </w:r>
          </w:p>
        </w:tc>
      </w:tr>
      <w:tr>
        <w:trPr>
          <w:trHeight w:val="148"/>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Bcf</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billion cubic feet</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MMcf</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million cubic feet</w:t>
            </w:r>
          </w:p>
        </w:tc>
      </w:tr>
      <w:tr>
        <w:trPr>
          <w:trHeight w:val="148"/>
        </w:trPr>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BPD</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barrels per day</w:t>
            </w:r>
          </w:p>
        </w:tc>
        <w:tc>
          <w:tcPr>
            <w:tcW w:w="140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MWac</w:t>
            </w:r>
          </w:p>
        </w:tc>
        <w:tc>
          <w:tcPr>
            <w:tcW w:w="5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alternating current</w:t>
            </w:r>
          </w:p>
        </w:tc>
      </w:tr>
      <w:tr>
        <w:trPr>
          <w:trHeight w:val="149"/>
        </w:trPr>
        <w:tc>
          <w:tcPr>
            <w:tcW w:w="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MBPD</w:t>
            </w:r>
          </w:p>
        </w:tc>
        <w:tc>
          <w:tcPr>
            <w:tcW w:w="4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thousand barrels per day</w:t>
            </w:r>
          </w:p>
        </w:tc>
        <w:tc>
          <w:tcPr>
            <w:tcW w:w="140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MWdc</w:t>
            </w:r>
          </w:p>
        </w:tc>
        <w:tc>
          <w:tcPr>
            <w:tcW w:w="5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megawatts, direct current</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MMBbls</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barrels</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TBtus</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trillion British thermal units</w:t>
            </w:r>
          </w:p>
        </w:tc>
      </w:tr>
    </w:tbl>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year ended December 31, 2023 (our “annual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“pending,”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annual report) are reasonable, neither we nor our general partner can give any assurances that such expectations will prove to be correct.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Enterprise GP, which owns a non-economic general partner interest in us, manages our Partnership. We conduct substantially all of our business operations through EPO and its consolidated subsidiaries.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U.S., Canada and the Gulf of Mexico with domestic consumers and international markets. Our midstream energy operations include:</w:t>
      </w:r>
    </w:p>
    <w:p>
      <w:pPr>
        <w:spacing w:after="0" w:line="62" w:lineRule="exact"/>
        <w:rPr>
          <w:sz w:val="20"/>
          <w:szCs w:val="20"/>
          <w:color w:val="auto"/>
        </w:rPr>
      </w:pPr>
    </w:p>
    <w:p>
      <w:pPr>
        <w:ind w:left="500" w:hanging="330"/>
        <w:spacing w:after="0"/>
        <w:tabs>
          <w:tab w:leader="none" w:pos="50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natural gas gathering, treating, processing, transportation and storage;</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crude oil gathering, transportation, storage, and marine terminals;</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99"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safe operation of our assets is a top priority. We are committed to protecting the environment and the health and safety of the public and those working on our behalf by conducting our business activities in a safe and environmentally responsible manner. For additional information, see “</w:t>
      </w:r>
      <w:r>
        <w:rPr>
          <w:rFonts w:ascii="Times New Roman" w:cs="Times New Roman" w:eastAsia="Times New Roman" w:hAnsi="Times New Roman"/>
          <w:sz w:val="18"/>
          <w:szCs w:val="18"/>
          <w:i w:val="1"/>
          <w:iCs w:val="1"/>
          <w:color w:val="auto"/>
        </w:rPr>
        <w:t>Regulatory Matters</w:t>
      </w:r>
    </w:p>
    <w:p>
      <w:pPr>
        <w:ind w:left="5540" w:right="4580" w:hanging="5532"/>
        <w:spacing w:after="0" w:line="730" w:lineRule="auto"/>
        <w:tabs>
          <w:tab w:leader="none" w:pos="119"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Safety and Conservation</w:t>
      </w:r>
      <w:r>
        <w:rPr>
          <w:rFonts w:ascii="Times New Roman" w:cs="Times New Roman" w:eastAsia="Times New Roman" w:hAnsi="Times New Roman"/>
          <w:sz w:val="18"/>
          <w:szCs w:val="18"/>
          <w:color w:val="auto"/>
        </w:rPr>
        <w:t>” within Part I, Items 1 and 2 of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 many publicly traded partnerships, we have no employees. All of our management, administrative and operating functions are performed by employees of EPCO pursuant to an administrative services agreement (the “ASA”) or by other service providers.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segment gross operating margin for us. The financial results of our marketing efforts fluctuate due to changes in volumes handled and overall market conditions, which are influenced by current and forward market prices for the products bought and sold.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financial position, results of operations and cash flows are subject to certain risks. For information regarding such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under Part I, Item 1A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Outlook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As noted previously, this annual report on Form 10-K, including this update to our outlook on business conditions, contains forward-looking statements that are based on our beliefs and those of Enterprise GP. In addition, it reflects assumptions made by us and information currently available to us, which includes forecast information published by third parties. See “Cautionary Statement Regarding Forward-Looking Information” within this Part II, Item 7 and “Risk Factors” in Part I, Item 1A, for additional information. The following information in this Current Outlook presents our current views on key midstream energy supply and demand fundamentals, and is qualified in all respects as forward-looking statements whether or not expressly qualified as such in particular sentences. All references to U.S. Energy Information Administration (“EIA”) forecasts and expectations are derived from its February 2024 Short-Term Energy Outlook (“February 2024 STEO”), which was published on February 6, 2024.</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level of services we provide and the amount of volumes we purchase and sell are directly affected by changes in supply and demand for hydrocarbon products. These supply and demand changes, and related effects on our level of services and volumes, impacts our financial position, results of operations and cash flows. During 2023, supply and demand fundamentals began to stabilize following a three-year period of high price volatility caused by the COVID-19 pandemic and resulting supply chain disruptions, sanctions on Russian crude oil, natural gas and other commodities due to their February 2022 invasion of Ukraine and production cuts implemented by members of the Organization of the Petroleum Exporting Countries (“OPEC”) and Russia (collectively, the “OPEC+” group). Although commodity prices for most hydrocarbons were relatively stable in 2023 compared to the prior three years, our Current Outlook acknowledges several factors that could affect the near-term balance in supply and demand, thus impacting our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economic growth is arguably the most significant factor influencing overall hydrocarbon supply and demand. As economies emerged from the pandemic in 2022, global inflation rates reached their highest levels in over 25 years. In an effort to lower domestic inflation, the U.S. Federal Reserve Bank increased interest rates from 0.25% to 5.50% through a series of eleven rate actions made during the March 2022 to July 2023 period. Following these actions, and similar actions taken by multiple central banks worldwide, many economists, including those surveyed by the National Association for Business Economics, believed the global economy had a greater than 50% chance of entering a global recession in 2023 or 2024. Despite challenges from the higher interest rate environment, most of the global economy appears to have dodged a recession as a result of several factors including strong consumer spending, low global unemployment and a rebound in China’s economy. The International Monetary Fund is forecasting economic growth in 2024 of one to two percent in each of the U.S., Europe and Japan. Additionally, the continued growth of the global economy will be dependent on China, whose economy is forecasted to grow by four to five percent in 2024 (as reported by the International Monetary Fund). However, this growth in China may be tempered by the effects of deflation, an ongoing real estate crisis and a shift to a more selective and conditional “open door” policy with respect to foreign investment.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Geo-political conflicts can also impact hydrocarbon supply and demand and have increased considerably since the global fight against the COVID-19 pandemic. Sanctions imposed on Russia following its February 2022 invasion of Ukraine initially caused the perception of deep cuts looming in crude oil and natural gas supplies. However, crude oil and related refined products sourced from Russia have mostly circumvented these sanctions and have continued to find their way to global markets, albeit with altered trade flows away from Europe and towards trade partners who purchase these energy supplies at a discount. The impact from lower natural gas supplies from Russia to Europe during the early stages of the war have largely been mitigated with alternate sources of supply and energy conservation efforts. Energy conservation in Europe has been largely successful, but when combined with higher energy prices, has significantly reduced industrial output. For example, the Federal Statistical Office of Germany has reported that German Industrial Production in November 2023 was down 4.8% from the prior year. Risks have also increased for a broader war in the Middle East since the conflict between Israel and Hamas began in October 2023. This conflict has already spilled over into several countries in the region and is acutely impacting the shipping of hydrocarbons and other products through the Red Sea, Gulf of Aden and Persian Gulf. Further escalation of this situation has the potential to affect a significant portion of hydrocarbons supplied from the Middle East and Russia to global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OPEC+ group controls over 80% of the world’s proven crude oil reserves (as reported in the OPEC Annual Statistical Bulletin 2023) and the group’s decisions to cut, maintain or increase production levels have a significant impact on the global balance of supply and demand. During 2022 and 2023, the OPEC+ group was especially aggressive in reducing crude oil production, with cuts announced through April 2023 totaling approximately 3.66 MMBPD. In June 2023, Saudi Arabia acted voluntarily and unilaterally to deepen their share of the cuts by approximately 1 MMBPD following what appeared to be an unwillingness by a few members of the OPEC+ group to further reduce their own production levels. However, at the November 2023 meeting of the OPEC+ group, Saudi Arabia managed to bring several additional members, including Russia, into its voluntary program and cut an incremental 1.2 MMBPD through the first quarter of 2024, bringing the total of production cuts to approximately 5.8 MMBPD. Should there be discord among OPEC+ group member nations, including an unwillingness to abide by or extend the agreed upon levels of crude oil production cuts, global crude oil prices and production could be significantly affected.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 crude oil and natural gas producers have continued to increase production at higher than expected rates, particularly in the Permian Basin, thanks in part to innovations in both drilling and completion techniques. This growth has been dependent on the availability of both crude oil and natural gas export capacity due to limited growth in domestic consumption. While export capacity has been sufficient to accommodate growth in crude oil production, the lack of additional liquefied natural gas (“LNG”) export terminal capacity is expected to limit growth in natural gas production from producers focused in pure-play natural gas production areas. In addition, the U.S. Department of Energy’s decision to place a temporary pause on approved non-Free Trade Agreement export permits could discourage additional natural gas production in the U.S. As a result of differing availability of export capacity between U.S. crude oil and natural gas, U.S. crude oil prices have remained more resilient having access to global markets while natural gas prices will likely continue to be driven more by domestic factors such as weather. As of February 13, 2024, the price of West Texas Intermediate (“WTI”) crude oil (as reported by New York Mercantile Exchange (“NYMEX”)) was $77.87 per barrel, slightly above the 2023 calendar year average of $77.62. The price of natural gas, as measured by the NYMEX at Henry Hub, was $1.69 per MMBtu as of February 13, 2024, which is 36% below the 2023 calendar year average of $2.66. If the price of natural gas continues to decline, it could discourage pure-play producers from growing or maintaining their production rates, thus impacting supply levels until additional export capacity comes online in 2025.</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its February 2024 STEO, the EIA provided expectations of continued growth in U.S. crude oil and liquid fuels production of nearly 0.2 MMBPD to reach a total of 22.1 MMBPD in 2024. Global production of petroleum and liquid fuels is expected to reach an average of 102.3 MMBPD in 2024, up from 101.7 MMBPD in 2023, driven mostly by growth in U.S. and other non-OPEC production. The EIA expects for dry natural gas production to grow about 0.6 Bcf/d in 2024 before increasing by 2.0 Bcf/d to reach a record 106.5 Bcf/d in 2025. With respect to demand, the EIA forecasts that global liquids fuel consumption will increase from 101.0 MMBPD in 2023 to 102.4 MMBPD in 2024, driven primarily by growth from China and other non-Organization for Economic Cooperation and Development (“OECD”) countries. While we believe crude oil fundamentals remain constructive, we are not as optimistic on current fundamentals for natural gas. Domestic natural gas prices will continue to be challenged by rising domestic production, flat consumption and limited global outlets as LNG export capacity is expected to remain relatively unchanged until 2025 when additional capacity will be available from new facilities that are expected to be placed into service. The global petrochemical industry will be challenged in 2024 by oversupply largely as a result of unprecedented growth in China’s petrochemical production capacity. However, U.S. petrochemical producers are expected to continue to benefit from locally produced, lower cost feedstocks, relative to their global peer group.</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these short term risks, we believe the largest impact to supply and demand fundamentals in the longer term is the fact that the world has become accustomed to a higher quality of life that hydrocarbons enable. As the world continues to grow in population and the approximately 3 billion people who currently live in energy poverty continue to gain access to cleaner, more efficient sources of energy, we expect demand for all energy sources to increase. Growth in hydrocarbons production and the development of alternative sources of energy will both be critical to maintaining a healthy balance between global energy supply and demand, and the U.S. is expected to continue to play a key role in meeting the growing needs of developing markets.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anticipated additions to petroleum production and consumption levels, along with favorable pricing trends, will create additional opportunities for us to provide midstream services to our customers while leveraging the strengths of our portfolio, which include:</w:t>
      </w:r>
    </w:p>
    <w:p>
      <w:pPr>
        <w:spacing w:after="0" w:line="162" w:lineRule="exact"/>
        <w:rPr>
          <w:sz w:val="20"/>
          <w:szCs w:val="20"/>
          <w:color w:val="auto"/>
        </w:rPr>
      </w:pPr>
    </w:p>
    <w:p>
      <w:pPr>
        <w:jc w:val="both"/>
        <w:ind w:left="660" w:hanging="328"/>
        <w:spacing w:after="0" w:line="252" w:lineRule="auto"/>
        <w:tabs>
          <w:tab w:leader="none" w:pos="6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Assets – Our employees find innovative ways to optimize our large, integrated and diversified asset base to provide incremental services to customers and to respond to market opportunities. Additional production volumes could lead to higher demand for processing, transportation, fractionation and terminaling services. Storage services provide valuable flexibility for customers seeking to balance supply and demand while also allowing us to capture valuable contango and other marketing opportunities should they arise. U.S. energy and feedstock advantages position our assets well to compete globally for incremental production and processing volumes. To the extent a rising operating cost environment impacts our results, there are typically offsetting benefits either inherent in our business or that result from other steps we take proactively to reduce the impact of inflation on our net operating results. These benefits include revenue rate escalations based on inflation factors, fuel and electricity rebills or surcharges, and increased volumetric throughput often achieved during periods of higher commodity prices.</w:t>
      </w:r>
    </w:p>
    <w:p>
      <w:pPr>
        <w:spacing w:after="0" w:line="191" w:lineRule="exact"/>
        <w:rPr>
          <w:rFonts w:ascii="Calibri" w:cs="Calibri" w:eastAsia="Calibri" w:hAnsi="Calibri"/>
          <w:sz w:val="18"/>
          <w:szCs w:val="18"/>
          <w:color w:val="auto"/>
        </w:rPr>
      </w:pPr>
    </w:p>
    <w:p>
      <w:pPr>
        <w:jc w:val="both"/>
        <w:ind w:left="660" w:hanging="328"/>
        <w:spacing w:after="0" w:line="255" w:lineRule="auto"/>
        <w:tabs>
          <w:tab w:leader="none" w:pos="6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Quality Customers – We have contracted with a large number of quality customers in order to achieve revenue diversification. In 2023, our top 200 largest customers represented 95.9% of our consolidated revenues. Based on their respective year-end 2023 debt ratings, 88.9% of the revenues from our top 200 customers came from companies who were either investment grade rated or backed by letters of credit. Additionally, less than 3% of our top 200 customers were attributable to sub-investment grade companies or non-rated upstream producers.</w:t>
      </w:r>
    </w:p>
    <w:p>
      <w:pPr>
        <w:spacing w:after="0" w:line="186" w:lineRule="exact"/>
        <w:rPr>
          <w:rFonts w:ascii="Calibri" w:cs="Calibri" w:eastAsia="Calibri" w:hAnsi="Calibri"/>
          <w:sz w:val="18"/>
          <w:szCs w:val="18"/>
          <w:color w:val="auto"/>
        </w:rPr>
      </w:pPr>
    </w:p>
    <w:p>
      <w:pPr>
        <w:jc w:val="both"/>
        <w:ind w:left="660" w:hanging="328"/>
        <w:spacing w:after="0" w:line="254" w:lineRule="auto"/>
        <w:tabs>
          <w:tab w:leader="none" w:pos="6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Balance Sheet and Liquidity – We currently maintain investment grade credit ratings on EPO’s long-term senior unsecured debt of A-, A3 and A- from Standard and Poor’s, Moody’s and Fitch Ratings, respectively. Based on current market conditions, we believe that we have sufficient consolidated liquidity as of December 31, 2023, which was comprised of $3.75 billion of available borrowing capacity under EPO’s revolving credit facilities and $180 million of unrestricted cash on hand. As of December 31, 2023, approximately 96.4% of our debt portfolio is fixed-rate debt at a weighted-average cost of 4.6% and weighted-average maturity of 19 years.</w:t>
      </w:r>
    </w:p>
    <w:p>
      <w:pPr>
        <w:spacing w:after="0" w:line="187" w:lineRule="exact"/>
        <w:rPr>
          <w:rFonts w:ascii="Calibri" w:cs="Calibri" w:eastAsia="Calibri" w:hAnsi="Calibri"/>
          <w:sz w:val="18"/>
          <w:szCs w:val="18"/>
          <w:color w:val="auto"/>
        </w:rPr>
      </w:pPr>
    </w:p>
    <w:p>
      <w:pPr>
        <w:jc w:val="both"/>
        <w:ind w:left="660" w:hanging="328"/>
        <w:spacing w:after="0" w:line="258" w:lineRule="auto"/>
        <w:tabs>
          <w:tab w:leader="none" w:pos="6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Access to Capital Markets – EPO successfully issued $2.0 billion in aggregate principal amount of senior notes in January 2024. Based on current conditions, we believe that we will have sufficient liquidity and/or access to debt capital markets to fund our operations, capital investments and the remaining principal amount of senior notes maturing in 2024 and beyond.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Announces Acquisition of Equity Interests from Western Midstream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we announced that we had acquired the remaining equity interests in Whitethorn Pipeline Company, LLC (“Whitethorn”) and Enterprise EF78 LLC (“EF78”) from affiliates of Western Midstream Partners, LP (“Western Midstream”) for $375 million in total cash consideration. This transaction, which closed on February 16, 2024, was funded using cash on hand and proceeds from the issuance of short-term notes under our commercial paper 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announced that an affiliate of Enterprise entered into a definitive agreement to acquire an additional 15% equity interest in Panola Pipeline Company, LLC (“Panola”) from an affiliate of Western Midstream for $25 million in cash consideration. The acquisition is subject to the preferential purchase rights of other members in Panola to participate in the acquisition. This transaction, which is expected to close by April 1, 2024, will be funded using cash on hand and proceeds from the issuance of short-term notes under EPO’s commercial paper program.</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$2.0 Billion of Senior Notes in January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EPO issued $2.0 billion aggregate principal amount of senior notes comprised of (i) $1.0 billion principal amount of senior notes due January 2027 (“Senior Notes HHH”) and (ii) $1.0 billion principal amount of senior notes due January 2034 (“Senior Notes III”). Net proceeds from this offering will be used by EPO for general company purposes, including for growth capital investments, and the repayment of debt (including the repayment of all or a portion of our $850 million principal amount of 3.90% Senior Notes JJ at their maturity in February 2024 and amounts outstanding under our commercial paper program).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Senior Notes HHH were issued at 99.897% of their principal amount and have a fixed interest rate of 4.60% per year. Senior Notes III were issued at 99.705% of their principal amount and have a fixed interest rate of 4.85% per year. The Partnership guaranteed these senior notes through an unconditional guarantee on an unsecured and unsubordinated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Announces Permian Growth Projects; Conversion of Crude Oil Pipeline back to NGL Service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October 2023, we announced the following four new projects to support ongoing production growth in the Permian Basin (including their respective scheduled completion dates):</w:t>
      </w:r>
    </w:p>
    <w:p>
      <w:pPr>
        <w:spacing w:after="0" w:line="62" w:lineRule="exact"/>
        <w:rPr>
          <w:sz w:val="20"/>
          <w:szCs w:val="20"/>
          <w:color w:val="auto"/>
        </w:rPr>
      </w:pPr>
    </w:p>
    <w:p>
      <w:pPr>
        <w:ind w:left="500" w:hanging="330"/>
        <w:spacing w:after="0"/>
        <w:tabs>
          <w:tab w:leader="none" w:pos="50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Bahia NGL Pipeline (first half of 2025);</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natural gas processing train at our Mentone West location in the Delaware Basin (second half of 2025);</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eighth natural gas processing train (“Orion”) in the Midland Basin (second half of 2025); and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NGL fractionator (“Frac 14”) and an associated deisobutanizer (“DIB”) unit in Chambers County, TX (second half of 2025)</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announced plans to convert the Midland-to-Sealy segment of the Midland-to-ECHO 2 Pipeline back to NGL service (as part of our Seminole NGL Pipeline). This conversion was completed in January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Begins Service At PDH 2 Plant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we placed into service our second propane dehydrogenation plant (“PDH 2”) in Chambers County, Texas. Supported by long-term, fee-based contracts, PDH 2 has the capacity to consume 35 MBPD of propane to produce 1.65 billion pounds of PGP per year, which will help us supply our petrochemical customers with the feedstock to produce products that meet the needs of a growing global population. With the completion and integration of our PDH 2 plant with our existing PDH 1 plant and other propylene production facilities, we now have the capacity to produce approximately 11 billion pounds of propylene per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Begins Service At Its Twelfth NGL Fractionator in Chambers County, Texas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our twelfth NGL fractionator (“Frac 12”) located in Chambers County, Texas was placed into service. The incremental 150 MBPD of nameplate capacity at Frac 12 will help accommodate growing NGL production from new natural gas processing plants in the Permian Basin and help satisfy the demand for feedstocks by the petrochemical and refining industries and LPG exports to developing nations. Supported by long-term customer agreements, the addition of Frac 12 increases total NGL fractionation capacity to approximately 1.2 MMBPD at our Chambers County complex and approximately 1.7 MMBPD company-wide.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Begins Service At Poseidon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July 2023, we placed into service our sixth Midland Basin natural gas processing train (“Poseidon”), which is located in Glasscock County, Texas. Poseidon has a nameplate capacity of 300 MMcf/d and can extract more than 40 MBPD of NGLs. Supported by long-term acreage dedication agreements, Poseidon will support Permian Basin producers as they meet growing demand in the U.S. and internationally.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Completes Expansion of Acadian Haynesville Extension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completed an expansion of our Acadian Haynesville Extension natural gas pipeline. This expansion adds approximately 400 MMcf/d of Haynesville natural gas takeaway capacity to meet growing industrial demand in the Mississippi River Corridor and supports the Louisiana liquefied natural gas export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incremental compression added as part of the expansion project increased total natural gas transportation capacity on the Acadian Haynesville Extension from approximately 2.1 Bcf/d to 2.5 Bcf/d. This expansion is underwritten by long-term, take-or-pay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Energy Commodity Price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average index prices for natural gas and selected NGL and petrochemical products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Polymer</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Refinery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Indicative Gas</w:t>
            </w:r>
          </w:p>
        </w:tc>
      </w:tr>
      <w:tr>
        <w:trPr>
          <w:trHeight w:val="216"/>
        </w:trPr>
        <w:tc>
          <w:tcPr>
            <w:tcW w:w="2200" w:type="dxa"/>
            <w:vAlign w:val="bottom"/>
          </w:tcPr>
          <w:p>
            <w:pPr>
              <w:spacing w:after="0"/>
              <w:rPr>
                <w:sz w:val="18"/>
                <w:szCs w:val="18"/>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Natural</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000" w:type="dxa"/>
            <w:vAlign w:val="bottom"/>
          </w:tcPr>
          <w:p>
            <w:pPr>
              <w:spacing w:after="0"/>
              <w:rPr>
                <w:sz w:val="18"/>
                <w:szCs w:val="18"/>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Natural</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Grade</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Grade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Processing</w:t>
            </w:r>
          </w:p>
        </w:tc>
      </w:tr>
      <w:tr>
        <w:trPr>
          <w:trHeight w:val="216"/>
        </w:trPr>
        <w:tc>
          <w:tcPr>
            <w:tcW w:w="2200" w:type="dxa"/>
            <w:vAlign w:val="bottom"/>
          </w:tcPr>
          <w:p>
            <w:pPr>
              <w:spacing w:after="0"/>
              <w:rPr>
                <w:sz w:val="18"/>
                <w:szCs w:val="18"/>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Gas,</w:t>
            </w:r>
          </w:p>
        </w:tc>
        <w:tc>
          <w:tcPr>
            <w:tcW w:w="9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Ethane,</w:t>
            </w:r>
          </w:p>
        </w:tc>
        <w:tc>
          <w:tcPr>
            <w:tcW w:w="10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Propane,</w:t>
            </w: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Butane,</w:t>
            </w: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Isobutane,</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Gasoline,</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Propylene,</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Propylene,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Spread</w:t>
            </w:r>
          </w:p>
        </w:tc>
      </w:tr>
      <w:tr>
        <w:trPr>
          <w:trHeight w:val="192"/>
        </w:trPr>
        <w:tc>
          <w:tcPr>
            <w:tcW w:w="2200" w:type="dxa"/>
            <w:vAlign w:val="bottom"/>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$/MMBtu</w:t>
            </w: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9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9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$/pound</w:t>
            </w: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$/pound</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$/gallon</w:t>
            </w:r>
          </w:p>
        </w:tc>
      </w:tr>
      <w:tr>
        <w:trPr>
          <w:trHeight w:val="220"/>
        </w:trPr>
        <w:tc>
          <w:tcPr>
            <w:tcW w:w="2200" w:type="dxa"/>
            <w:vAlign w:val="bottom"/>
          </w:tcPr>
          <w:p>
            <w:pPr>
              <w:spacing w:after="0"/>
              <w:rPr>
                <w:sz w:val="19"/>
                <w:szCs w:val="19"/>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(1)</w:t>
            </w:r>
          </w:p>
        </w:tc>
        <w:tc>
          <w:tcPr>
            <w:tcW w:w="9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7"/>
              </w:rPr>
              <w:t>(2)</w:t>
            </w: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(2)</w:t>
            </w: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(3)</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r>
      <w:tr>
        <w:trPr>
          <w:trHeight w:val="199"/>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 by quarter:</w:t>
            </w: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$4.96</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9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9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$0.55</w:t>
            </w:r>
          </w:p>
        </w:tc>
      </w:tr>
      <w:tr>
        <w:trPr>
          <w:trHeight w:val="148"/>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$0.59</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9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$0.46</w:t>
            </w:r>
          </w:p>
        </w:tc>
      </w:tr>
      <w:tr>
        <w:trPr>
          <w:trHeight w:val="148"/>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9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9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$0.47</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$0.26</w:t>
            </w:r>
          </w:p>
        </w:tc>
      </w:tr>
      <w:tr>
        <w:trPr>
          <w:trHeight w:val="156"/>
        </w:trPr>
        <w:tc>
          <w:tcPr>
            <w:tcW w:w="2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9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$0.97</w:t>
            </w:r>
          </w:p>
        </w:tc>
        <w:tc>
          <w:tcPr>
            <w:tcW w:w="10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9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r>
      <w:tr>
        <w:trPr>
          <w:trHeight w:val="173"/>
        </w:trPr>
        <w:tc>
          <w:tcPr>
            <w:tcW w:w="22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2022 Averages</w:t>
            </w:r>
          </w:p>
        </w:tc>
        <w:tc>
          <w:tcPr>
            <w:tcW w:w="11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$6.65</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$0.48</w:t>
            </w:r>
          </w:p>
        </w:tc>
        <w:tc>
          <w:tcPr>
            <w:tcW w:w="10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$1.10</w:t>
            </w:r>
          </w:p>
        </w:tc>
        <w:tc>
          <w:tcPr>
            <w:tcW w:w="94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$1.31</w:t>
            </w:r>
          </w:p>
        </w:tc>
        <w:tc>
          <w:tcPr>
            <w:tcW w:w="100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$1.44</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$1.91</w:t>
            </w:r>
          </w:p>
        </w:tc>
        <w:tc>
          <w:tcPr>
            <w:tcW w:w="98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$0.51</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$0.31</w:t>
            </w:r>
          </w:p>
        </w:tc>
        <w:tc>
          <w:tcPr>
            <w:tcW w:w="10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$0.36</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 by quarter:</w:t>
            </w: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48"/>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$0.82</w:t>
            </w:r>
          </w:p>
        </w:tc>
        <w:tc>
          <w:tcPr>
            <w:tcW w:w="9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$0.37</w:t>
            </w:r>
          </w:p>
        </w:tc>
      </w:tr>
      <w:tr>
        <w:trPr>
          <w:trHeight w:val="148"/>
        </w:trPr>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9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$0.78</w:t>
            </w:r>
          </w:p>
        </w:tc>
        <w:tc>
          <w:tcPr>
            <w:tcW w:w="10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$0.84</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9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$0.37</w:t>
            </w: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$0.68</w:t>
            </w:r>
          </w:p>
        </w:tc>
        <w:tc>
          <w:tcPr>
            <w:tcW w:w="9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$0.83</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9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$0.40</w:t>
            </w:r>
          </w:p>
        </w:tc>
      </w:tr>
      <w:tr>
        <w:trPr>
          <w:trHeight w:val="168"/>
        </w:trPr>
        <w:tc>
          <w:tcPr>
            <w:tcW w:w="22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0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9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10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9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$0.33</w:t>
            </w:r>
          </w:p>
        </w:tc>
      </w:tr>
      <w:tr>
        <w:trPr>
          <w:trHeight w:val="136"/>
        </w:trPr>
        <w:tc>
          <w:tcPr>
            <w:tcW w:w="220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2023 Averages</w:t>
            </w:r>
          </w:p>
        </w:tc>
        <w:tc>
          <w:tcPr>
            <w:tcW w:w="11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$2.74</w:t>
            </w:r>
          </w:p>
        </w:tc>
        <w:tc>
          <w:tcPr>
            <w:tcW w:w="9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$0.25</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$0.71</w:t>
            </w:r>
          </w:p>
        </w:tc>
        <w:tc>
          <w:tcPr>
            <w:tcW w:w="94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$0.91</w:t>
            </w:r>
          </w:p>
        </w:tc>
        <w:tc>
          <w:tcPr>
            <w:tcW w:w="100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9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$1.52</w:t>
            </w:r>
          </w:p>
        </w:tc>
        <w:tc>
          <w:tcPr>
            <w:tcW w:w="98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$0.43</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$0.19</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$0.37</w:t>
            </w:r>
          </w:p>
        </w:tc>
      </w:tr>
      <w:tr>
        <w:trPr>
          <w:trHeight w:val="20"/>
        </w:trPr>
        <w:tc>
          <w:tcPr>
            <w:tcW w:w="2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prices are based on Henry-Hub Inside FERC commercial index prices as reported by Platts, which is a division of S&amp;P Global, Inc.</w:t>
      </w:r>
    </w:p>
    <w:p>
      <w:pPr>
        <w:spacing w:after="0" w:line="3" w:lineRule="exact"/>
        <w:rPr>
          <w:rFonts w:ascii="Times New Roman" w:cs="Times New Roman" w:eastAsia="Times New Roman" w:hAnsi="Times New Roman"/>
          <w:sz w:val="14"/>
          <w:szCs w:val="14"/>
          <w:color w:val="auto"/>
        </w:rPr>
      </w:pPr>
    </w:p>
    <w:p>
      <w:pPr>
        <w:ind w:left="420" w:hanging="412"/>
        <w:spacing w:after="0" w:line="221" w:lineRule="auto"/>
        <w:tabs>
          <w:tab w:leader="none" w:pos="4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prices for ethane, propane, normal butane, isobutane and natural gasoline are based on Mont Belvieu, Texas Non-TET commercial index prices as reported by Oil Price Information Service, which is a division of Dow Jones.</w:t>
      </w:r>
    </w:p>
    <w:p>
      <w:pPr>
        <w:ind w:left="420" w:hanging="412"/>
        <w:spacing w:after="0" w:line="221" w:lineRule="auto"/>
        <w:tabs>
          <w:tab w:leader="none" w:pos="4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Polymer grade propylene prices represent average contract pricing for such product as reported by IHS Markit (“IHS”), which is a division of S&amp;P Global, Inc. Refinery grade propylene (“RGP”) prices represent weighted-average spot prices for such product as reported by IHS.</w:t>
      </w:r>
    </w:p>
    <w:p>
      <w:pPr>
        <w:jc w:val="both"/>
        <w:ind w:left="420" w:hanging="412"/>
        <w:spacing w:after="0" w:line="228" w:lineRule="auto"/>
        <w:tabs>
          <w:tab w:leader="none" w:pos="4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“Indicative Gas Processing Gross Spread” represents our generic estimate of the gross economic benefit from extracting NGLs from natural gas production based on certain pricing assumptions. Specifically, it is the amount by which the assumed economic value of a composite gallon of NGLs in Chambers County, Texas exceeds the value of the equivalent amount of energy in natural gas at Henry Hub, Louisiana. Our estimate of the indicative spread does not consider the operating costs incurred by a natural gas processing facility to extract the NGLs nor the transportation and fractionation costs to deliver the NGLs to market. In addition, the actual gas processing spread earned at each plant is further influenced by regional pricing and extraction dynamics.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indicative market price for NGLs was $0.60 per gallon in 2023 versus $0.91 per gallon for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average index prices for crude oil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1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7"/>
              </w:rPr>
              <w:t>WTI</w:t>
            </w:r>
          </w:p>
        </w:tc>
        <w:tc>
          <w:tcPr>
            <w:tcW w:w="16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Midland</w:t>
            </w:r>
          </w:p>
        </w:tc>
        <w:tc>
          <w:tcPr>
            <w:tcW w:w="15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720" w:type="dxa"/>
            <w:vAlign w:val="bottom"/>
          </w:tcPr>
          <w:p>
            <w:pPr>
              <w:spacing w:after="0"/>
              <w:rPr>
                <w:sz w:val="16"/>
                <w:szCs w:val="16"/>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LLS</w:t>
            </w:r>
          </w:p>
        </w:tc>
      </w:tr>
      <w:tr>
        <w:trPr>
          <w:trHeight w:val="216"/>
        </w:trPr>
        <w:tc>
          <w:tcPr>
            <w:tcW w:w="4880" w:type="dxa"/>
            <w:vAlign w:val="bottom"/>
          </w:tcPr>
          <w:p>
            <w:pPr>
              <w:spacing w:after="0"/>
              <w:rPr>
                <w:sz w:val="18"/>
                <w:szCs w:val="18"/>
                <w:color w:val="auto"/>
              </w:rPr>
            </w:pPr>
          </w:p>
        </w:tc>
        <w:tc>
          <w:tcPr>
            <w:tcW w:w="11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6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58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720" w:type="dxa"/>
            <w:vAlign w:val="bottom"/>
          </w:tcPr>
          <w:p>
            <w:pPr>
              <w:spacing w:after="0"/>
              <w:rPr>
                <w:sz w:val="18"/>
                <w:szCs w:val="18"/>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Crude Oil,</w:t>
            </w:r>
          </w:p>
        </w:tc>
      </w:tr>
      <w:tr>
        <w:trPr>
          <w:trHeight w:val="193"/>
        </w:trPr>
        <w:tc>
          <w:tcPr>
            <w:tcW w:w="4880" w:type="dxa"/>
            <w:vAlign w:val="bottom"/>
          </w:tcPr>
          <w:p>
            <w:pPr>
              <w:spacing w:after="0"/>
              <w:rPr>
                <w:sz w:val="16"/>
                <w:szCs w:val="16"/>
                <w:color w:val="auto"/>
              </w:rPr>
            </w:pPr>
          </w:p>
        </w:tc>
        <w:tc>
          <w:tcPr>
            <w:tcW w:w="112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$/barrel</w:t>
            </w:r>
          </w:p>
        </w:tc>
        <w:tc>
          <w:tcPr>
            <w:tcW w:w="1600" w:type="dxa"/>
            <w:vAlign w:val="bottom"/>
            <w:tcBorders>
              <w:bottom w:val="single" w:sz="8" w:color="auto"/>
            </w:tcBorders>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580" w:type="dxa"/>
            <w:vAlign w:val="bottom"/>
            <w:tcBorders>
              <w:bottom w:val="single" w:sz="8" w:color="auto"/>
            </w:tcBorders>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$/barrel</w:t>
            </w:r>
          </w:p>
        </w:tc>
      </w:tr>
      <w:tr>
        <w:trPr>
          <w:trHeight w:val="220"/>
        </w:trPr>
        <w:tc>
          <w:tcPr>
            <w:tcW w:w="6000" w:type="dxa"/>
            <w:vAlign w:val="bottom"/>
            <w:gridSpan w:val="2"/>
          </w:tcPr>
          <w:p>
            <w:pPr>
              <w:jc w:val="center"/>
              <w:ind w:left="5288"/>
              <w:spacing w:after="0"/>
              <w:rPr>
                <w:sz w:val="20"/>
                <w:szCs w:val="20"/>
                <w:color w:val="auto"/>
              </w:rPr>
            </w:pPr>
            <w:r>
              <w:rPr>
                <w:rFonts w:ascii="Times New Roman" w:cs="Times New Roman" w:eastAsia="Times New Roman" w:hAnsi="Times New Roman"/>
                <w:sz w:val="14"/>
                <w:szCs w:val="14"/>
                <w:color w:val="auto"/>
                <w:w w:val="97"/>
              </w:rPr>
              <w:t>(1)</w:t>
            </w:r>
          </w:p>
        </w:tc>
        <w:tc>
          <w:tcPr>
            <w:tcW w:w="160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rPr>
              <w:t>(2)</w:t>
            </w:r>
          </w:p>
        </w:tc>
        <w:tc>
          <w:tcPr>
            <w:tcW w:w="158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w w:val="97"/>
              </w:rPr>
              <w:t>(2)</w:t>
            </w:r>
          </w:p>
        </w:tc>
        <w:tc>
          <w:tcPr>
            <w:tcW w:w="720" w:type="dxa"/>
            <w:vAlign w:val="bottom"/>
          </w:tcPr>
          <w:p>
            <w:pPr>
              <w:spacing w:after="0"/>
              <w:rPr>
                <w:sz w:val="19"/>
                <w:szCs w:val="19"/>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(3)</w:t>
            </w:r>
          </w:p>
        </w:tc>
      </w:tr>
      <w:tr>
        <w:trPr>
          <w:trHeight w:val="199"/>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2022 by quarter:</w:t>
            </w: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9"/>
        </w:trPr>
        <w:tc>
          <w:tcPr>
            <w:tcW w:w="6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600" w:type="dxa"/>
            <w:vAlign w:val="bottom"/>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$94.29</w:t>
            </w:r>
          </w:p>
        </w:tc>
        <w:tc>
          <w:tcPr>
            <w:tcW w:w="1580" w:type="dxa"/>
            <w:vAlign w:val="bottom"/>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$96.43</w:t>
            </w:r>
          </w:p>
        </w:tc>
        <w:tc>
          <w:tcPr>
            <w:tcW w:w="7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$96.77</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$96.77</w:t>
            </w:r>
          </w:p>
        </w:tc>
      </w:tr>
      <w:tr>
        <w:trPr>
          <w:trHeight w:val="148"/>
        </w:trPr>
        <w:tc>
          <w:tcPr>
            <w:tcW w:w="6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600" w:type="dxa"/>
            <w:vAlign w:val="bottom"/>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$108.41</w:t>
            </w:r>
          </w:p>
        </w:tc>
        <w:tc>
          <w:tcPr>
            <w:tcW w:w="1580" w:type="dxa"/>
            <w:vAlign w:val="bottom"/>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w w:val="96"/>
              </w:rPr>
              <w:t>$109.66</w:t>
            </w:r>
          </w:p>
        </w:tc>
        <w:tc>
          <w:tcPr>
            <w:tcW w:w="7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$109.96</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$110.17</w:t>
            </w:r>
          </w:p>
        </w:tc>
      </w:tr>
      <w:tr>
        <w:trPr>
          <w:trHeight w:val="148"/>
        </w:trPr>
        <w:tc>
          <w:tcPr>
            <w:tcW w:w="6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600" w:type="dxa"/>
            <w:vAlign w:val="bottom"/>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$91.56</w:t>
            </w:r>
          </w:p>
        </w:tc>
        <w:tc>
          <w:tcPr>
            <w:tcW w:w="1580" w:type="dxa"/>
            <w:vAlign w:val="bottom"/>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$93.41</w:t>
            </w:r>
          </w:p>
        </w:tc>
        <w:tc>
          <w:tcPr>
            <w:tcW w:w="7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$93.77</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$94.17</w:t>
            </w:r>
          </w:p>
        </w:tc>
      </w:tr>
      <w:tr>
        <w:trPr>
          <w:trHeight w:val="155"/>
        </w:trPr>
        <w:tc>
          <w:tcPr>
            <w:tcW w:w="4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$82.64</w:t>
            </w:r>
          </w:p>
        </w:tc>
        <w:tc>
          <w:tcPr>
            <w:tcW w:w="1580" w:type="dxa"/>
            <w:vAlign w:val="bottom"/>
            <w:tcBorders>
              <w:bottom w:val="single" w:sz="8" w:color="auto"/>
            </w:tcBorders>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$83.97</w:t>
            </w:r>
          </w:p>
        </w:tc>
        <w:tc>
          <w:tcPr>
            <w:tcW w:w="72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$84.33</w:t>
            </w: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$85.50</w:t>
            </w:r>
          </w:p>
        </w:tc>
      </w:tr>
      <w:tr>
        <w:trPr>
          <w:trHeight w:val="169"/>
        </w:trPr>
        <w:tc>
          <w:tcPr>
            <w:tcW w:w="60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2022 Averages</w:t>
            </w:r>
          </w:p>
        </w:tc>
        <w:tc>
          <w:tcPr>
            <w:tcW w:w="1600" w:type="dxa"/>
            <w:vAlign w:val="bottom"/>
            <w:shd w:val="clear" w:color="auto" w:fill="CCEEFF"/>
          </w:tcPr>
          <w:p>
            <w:pPr>
              <w:jc w:val="right"/>
              <w:ind w:right="1048"/>
              <w:spacing w:after="0" w:line="129" w:lineRule="exact"/>
              <w:rPr>
                <w:sz w:val="20"/>
                <w:szCs w:val="20"/>
                <w:color w:val="auto"/>
              </w:rPr>
            </w:pPr>
            <w:r>
              <w:rPr>
                <w:rFonts w:ascii="Times New Roman" w:cs="Times New Roman" w:eastAsia="Times New Roman" w:hAnsi="Times New Roman"/>
                <w:sz w:val="14"/>
                <w:szCs w:val="14"/>
                <w:color w:val="auto"/>
              </w:rPr>
              <w:t>$94.23</w:t>
            </w:r>
          </w:p>
        </w:tc>
        <w:tc>
          <w:tcPr>
            <w:tcW w:w="1580" w:type="dxa"/>
            <w:vAlign w:val="bottom"/>
            <w:shd w:val="clear" w:color="auto" w:fill="CCEEFF"/>
          </w:tcPr>
          <w:p>
            <w:pPr>
              <w:jc w:val="right"/>
              <w:ind w:right="1048"/>
              <w:spacing w:after="0" w:line="129" w:lineRule="exact"/>
              <w:rPr>
                <w:sz w:val="20"/>
                <w:szCs w:val="20"/>
                <w:color w:val="auto"/>
              </w:rPr>
            </w:pPr>
            <w:r>
              <w:rPr>
                <w:rFonts w:ascii="Times New Roman" w:cs="Times New Roman" w:eastAsia="Times New Roman" w:hAnsi="Times New Roman"/>
                <w:sz w:val="14"/>
                <w:szCs w:val="14"/>
                <w:color w:val="auto"/>
              </w:rPr>
              <w:t>$95.87</w:t>
            </w:r>
          </w:p>
        </w:tc>
        <w:tc>
          <w:tcPr>
            <w:tcW w:w="720" w:type="dxa"/>
            <w:vAlign w:val="bottom"/>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$96.21</w:t>
            </w:r>
          </w:p>
        </w:tc>
        <w:tc>
          <w:tcPr>
            <w:tcW w:w="1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$96.65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 by quarter:</w:t>
            </w: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48"/>
        </w:trPr>
        <w:tc>
          <w:tcPr>
            <w:tcW w:w="6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1st Quarter</w:t>
            </w:r>
          </w:p>
        </w:tc>
        <w:tc>
          <w:tcPr>
            <w:tcW w:w="1600" w:type="dxa"/>
            <w:vAlign w:val="bottom"/>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$76.13</w:t>
            </w:r>
          </w:p>
        </w:tc>
        <w:tc>
          <w:tcPr>
            <w:tcW w:w="1580" w:type="dxa"/>
            <w:vAlign w:val="bottom"/>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$77.50</w:t>
            </w:r>
          </w:p>
        </w:tc>
        <w:tc>
          <w:tcPr>
            <w:tcW w:w="7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$77.74</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$79.00</w:t>
            </w:r>
          </w:p>
        </w:tc>
      </w:tr>
      <w:tr>
        <w:trPr>
          <w:trHeight w:val="148"/>
        </w:trPr>
        <w:tc>
          <w:tcPr>
            <w:tcW w:w="6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2nd Quarter</w:t>
            </w:r>
          </w:p>
        </w:tc>
        <w:tc>
          <w:tcPr>
            <w:tcW w:w="1600" w:type="dxa"/>
            <w:vAlign w:val="bottom"/>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$73.78</w:t>
            </w:r>
          </w:p>
        </w:tc>
        <w:tc>
          <w:tcPr>
            <w:tcW w:w="1580" w:type="dxa"/>
            <w:vAlign w:val="bottom"/>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$74.48</w:t>
            </w:r>
          </w:p>
        </w:tc>
        <w:tc>
          <w:tcPr>
            <w:tcW w:w="7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$74.68</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$75.87</w:t>
            </w:r>
          </w:p>
        </w:tc>
      </w:tr>
      <w:tr>
        <w:trPr>
          <w:trHeight w:val="148"/>
        </w:trPr>
        <w:tc>
          <w:tcPr>
            <w:tcW w:w="6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3rd Quarter</w:t>
            </w:r>
          </w:p>
        </w:tc>
        <w:tc>
          <w:tcPr>
            <w:tcW w:w="1600" w:type="dxa"/>
            <w:vAlign w:val="bottom"/>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$82.26</w:t>
            </w:r>
          </w:p>
        </w:tc>
        <w:tc>
          <w:tcPr>
            <w:tcW w:w="1580" w:type="dxa"/>
            <w:vAlign w:val="bottom"/>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$83.85</w:t>
            </w:r>
          </w:p>
        </w:tc>
        <w:tc>
          <w:tcPr>
            <w:tcW w:w="7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$84.02</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$84.72</w:t>
            </w:r>
          </w:p>
        </w:tc>
      </w:tr>
      <w:tr>
        <w:trPr>
          <w:trHeight w:val="156"/>
        </w:trPr>
        <w:tc>
          <w:tcPr>
            <w:tcW w:w="48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$78.32</w:t>
            </w:r>
          </w:p>
        </w:tc>
        <w:tc>
          <w:tcPr>
            <w:tcW w:w="1580" w:type="dxa"/>
            <w:vAlign w:val="bottom"/>
            <w:tcBorders>
              <w:bottom w:val="single" w:sz="8" w:color="auto"/>
            </w:tcBorders>
            <w:shd w:val="clear" w:color="auto" w:fill="CCEEFF"/>
          </w:tcPr>
          <w:p>
            <w:pPr>
              <w:jc w:val="right"/>
              <w:ind w:right="1048"/>
              <w:spacing w:after="0" w:line="149" w:lineRule="exact"/>
              <w:rPr>
                <w:sz w:val="20"/>
                <w:szCs w:val="20"/>
                <w:color w:val="auto"/>
              </w:rPr>
            </w:pPr>
            <w:r>
              <w:rPr>
                <w:rFonts w:ascii="Times New Roman" w:cs="Times New Roman" w:eastAsia="Times New Roman" w:hAnsi="Times New Roman"/>
                <w:sz w:val="14"/>
                <w:szCs w:val="14"/>
                <w:color w:val="auto"/>
              </w:rPr>
              <w:t>$79.62</w:t>
            </w:r>
          </w:p>
        </w:tc>
        <w:tc>
          <w:tcPr>
            <w:tcW w:w="72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$79.89</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$80.93</w:t>
            </w:r>
          </w:p>
        </w:tc>
      </w:tr>
      <w:tr>
        <w:trPr>
          <w:trHeight w:val="148"/>
        </w:trPr>
        <w:tc>
          <w:tcPr>
            <w:tcW w:w="60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2023 Averages</w:t>
            </w:r>
          </w:p>
        </w:tc>
        <w:tc>
          <w:tcPr>
            <w:tcW w:w="1600" w:type="dxa"/>
            <w:vAlign w:val="bottom"/>
          </w:tcPr>
          <w:p>
            <w:pPr>
              <w:jc w:val="right"/>
              <w:ind w:right="1048"/>
              <w:spacing w:after="0" w:line="129" w:lineRule="exact"/>
              <w:rPr>
                <w:sz w:val="20"/>
                <w:szCs w:val="20"/>
                <w:color w:val="auto"/>
              </w:rPr>
            </w:pPr>
            <w:r>
              <w:rPr>
                <w:rFonts w:ascii="Times New Roman" w:cs="Times New Roman" w:eastAsia="Times New Roman" w:hAnsi="Times New Roman"/>
                <w:sz w:val="14"/>
                <w:szCs w:val="14"/>
                <w:color w:val="auto"/>
              </w:rPr>
              <w:t>$77.62</w:t>
            </w:r>
          </w:p>
        </w:tc>
        <w:tc>
          <w:tcPr>
            <w:tcW w:w="1580" w:type="dxa"/>
            <w:vAlign w:val="bottom"/>
          </w:tcPr>
          <w:p>
            <w:pPr>
              <w:jc w:val="right"/>
              <w:ind w:right="1048"/>
              <w:spacing w:after="0" w:line="129" w:lineRule="exact"/>
              <w:rPr>
                <w:sz w:val="20"/>
                <w:szCs w:val="20"/>
                <w:color w:val="auto"/>
              </w:rPr>
            </w:pPr>
            <w:r>
              <w:rPr>
                <w:rFonts w:ascii="Times New Roman" w:cs="Times New Roman" w:eastAsia="Times New Roman" w:hAnsi="Times New Roman"/>
                <w:sz w:val="14"/>
                <w:szCs w:val="14"/>
                <w:color w:val="auto"/>
              </w:rPr>
              <w:t>$78.86</w:t>
            </w:r>
          </w:p>
        </w:tc>
        <w:tc>
          <w:tcPr>
            <w:tcW w:w="72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$79.08</w:t>
            </w:r>
          </w:p>
        </w:tc>
        <w:tc>
          <w:tcPr>
            <w:tcW w:w="13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$80.13</w:t>
            </w:r>
          </w:p>
        </w:tc>
      </w:tr>
      <w:tr>
        <w:trPr>
          <w:trHeight w:val="21"/>
        </w:trPr>
        <w:tc>
          <w:tcPr>
            <w:tcW w:w="4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WTI prices are based on commercial index prices at Cushing, Oklahoma as measured by the NYMEX.</w:t>
      </w:r>
    </w:p>
    <w:p>
      <w:pPr>
        <w:spacing w:after="0" w:line="3" w:lineRule="exact"/>
        <w:rPr>
          <w:rFonts w:ascii="Times New Roman" w:cs="Times New Roman" w:eastAsia="Times New Roman" w:hAnsi="Times New Roman"/>
          <w:sz w:val="14"/>
          <w:szCs w:val="14"/>
          <w:color w:val="auto"/>
        </w:rPr>
      </w:pPr>
    </w:p>
    <w:p>
      <w:pPr>
        <w:ind w:left="460" w:hanging="452"/>
        <w:spacing w:after="0" w:line="221" w:lineRule="auto"/>
        <w:tabs>
          <w:tab w:leader="none" w:pos="4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Midland and Houston crude oil prices are based on commercial index prices as reported by Argus.</w:t>
      </w:r>
    </w:p>
    <w:p>
      <w:pPr>
        <w:ind w:left="460" w:hanging="452"/>
        <w:spacing w:after="0"/>
        <w:tabs>
          <w:tab w:leader="none" w:pos="4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Light Louisiana Sweet (“LLS”) prices are based on commercial index prices as reported by Platts.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cost of sales amounts are explained in large part by changes in energy commodity prices. An increase in our consolidated marketing revenues due to higher energy commodity sales prices may not result in an increase in gross operating margin or cash available for distribution, since our consolidated cost of sales amounts would also be expected to increase due to comparable increases in the purchase prices of the underlying energy commodities. The same type of relationship would be true in the case of lower energy commodity sales prices and purchase costs.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attempt to mitigate commodity price exposure through our hedging activities and the use of fee-based arrangements. See Note 14 of the Notes to Consolidated Financial Statements included under Part II, Item 8 of this annual report and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under Part II, Item 7A of this annual report for information regarding our commodity hedging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Inflation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Inflation rates in the U.S. increased significantly in 2022 and remained elevated in 2023 compared to recent historical levels. While pandemic-era supply chain disruptions have largely dissipated and measures taken by the U.S. Federal Reserve Bank helped slow the growth of inflation in 2023, the high-cost environment that began in 2022 generally remained intact in 2023. However, to the extent that a rising cost environment impacts our results, there are typically offsetting benefits either inherent in our business or that result from other steps we take proactively to reduce the impact of inflation on our net operating results. These benefits include: (1) provisions included in our long-term fee-based revenue contracts that offset cost increases in the form of rate escalations based on positive changes in the U.S. Consumer Price Index, Producer Price Index for Finished Goods or other factors; (2) provisions in other revenue contracts that enable us to pass through higher energy costs to customers in the form of gas, electricity and fuel rebills or surcharges; and (3) higher commodity prices, which generally enhance our results in the form of increased volumetric throughput and demand for our services. Additionally, we take measures to mitigate the impact of cost increases in certain commodities, including a portion of our electricity needs, using fixed-price, term purchase agreements. For these reasons, the increased cost environment, caused in part by inflation, has not had a material impact on our historical results of operations for the periods presented in this report. However, a significant or prolonged period of high inflation could adversely impact our results if costs were to increase at a rate greater than the increase in the revenues we receive.</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Capital Investments</w:t>
      </w:r>
      <w:r>
        <w:rPr>
          <w:rFonts w:ascii="Times New Roman" w:cs="Times New Roman" w:eastAsia="Times New Roman" w:hAnsi="Times New Roman"/>
          <w:sz w:val="18"/>
          <w:szCs w:val="18"/>
          <w:color w:val="auto"/>
        </w:rPr>
        <w:t>” within this Part II, Item 7 for a discussion of the impact of inflation on our capital investment decisions. Additionally, see Part I, Item 1A “</w:t>
      </w:r>
      <w:r>
        <w:rPr>
          <w:rFonts w:ascii="Times New Roman" w:cs="Times New Roman" w:eastAsia="Times New Roman" w:hAnsi="Times New Roman"/>
          <w:sz w:val="18"/>
          <w:szCs w:val="18"/>
          <w:i w:val="1"/>
          <w:iCs w:val="1"/>
          <w:color w:val="auto"/>
        </w:rPr>
        <w:t>Risk Factors - Changes in price levels could negatively impact our revenue, our expenses, or both, which could adversely affect our business.</w:t>
      </w:r>
      <w:r>
        <w:rPr>
          <w:rFonts w:ascii="Times New Roman" w:cs="Times New Roman" w:eastAsia="Times New Roman" w:hAnsi="Times New Roman"/>
          <w:sz w:val="18"/>
          <w:szCs w:val="18"/>
          <w:color w:val="auto"/>
        </w:rPr>
        <w: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components of our consolidated results of operations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7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49,715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58,186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sales</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37,023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45,836</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costs and expenses</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3,454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amortization and accretion expenses</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losses (gains) attributable to asset sales and related matters</w:t>
            </w:r>
          </w:p>
        </w:tc>
        <w:tc>
          <w:tcPr>
            <w:tcW w:w="72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43,017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costs and expenses</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8"/>
              </w:rPr>
              <w:t>43,248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51,743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6,907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(1,244)</w:t>
            </w:r>
          </w:p>
        </w:tc>
      </w:tr>
      <w:tr>
        <w:trPr>
          <w:trHeight w:val="223"/>
        </w:trPr>
        <w:tc>
          <w:tcPr>
            <w:tcW w:w="8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other expense, net</w:t>
            </w:r>
          </w:p>
        </w:tc>
        <w:tc>
          <w:tcPr>
            <w:tcW w:w="7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(1,210)</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5,697</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preferred units</w:t>
            </w:r>
          </w:p>
        </w:tc>
        <w:tc>
          <w:tcPr>
            <w:tcW w:w="72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72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each business segment’s contribution to consolidated revenues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NGLs and related products</w:t>
            </w:r>
          </w:p>
        </w:tc>
        <w:tc>
          <w:tcPr>
            <w:tcW w:w="7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14,846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21,307</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17,645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24,259</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crude oil</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18,185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17,301</w:t>
            </w:r>
          </w:p>
        </w:tc>
      </w:tr>
      <w:tr>
        <w:trPr>
          <w:trHeight w:val="22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19,336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18,561</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natural gas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5,019</w:t>
            </w:r>
          </w:p>
        </w:tc>
      </w:tr>
      <w:tr>
        <w:trPr>
          <w:trHeight w:val="22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6,260</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petrochemicals and refined products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8,003</w:t>
            </w:r>
          </w:p>
        </w:tc>
      </w:tr>
      <w:tr>
        <w:trPr>
          <w:trHeight w:val="22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Midstream services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720" w:type="dxa"/>
            <w:vAlign w:val="bottom"/>
          </w:tcPr>
          <w:p>
            <w:pPr>
              <w:jc w:val="right"/>
              <w:ind w:right="59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49,715</w:t>
            </w:r>
          </w:p>
        </w:tc>
        <w:tc>
          <w:tcPr>
            <w:tcW w:w="2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58,186</w:t>
            </w:r>
          </w:p>
        </w:tc>
      </w:tr>
      <w:tr>
        <w:trPr>
          <w:trHeight w:val="20"/>
        </w:trPr>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for 2023 decreased a net $8.5 billion when compared to 2022 primarily due to lower marketing revenues.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the marketing of NGLs, natural gas and petrochemicals and refined products decreased a combined net $9.4 billion year-to-year primarily due to lower average sales prices, which accounted for an $11.3 billion decrease, partially offset by higher sales volumes, which accounted for a $1.9 billion increase. Revenues from the marketing of crude oil increased a net $883 million year-to-year primarily due to higher sales volumes, which accounted for a $4.1 billion increase, partially offset by lower average sales prices, which accounted for a $3.2 billion decrease.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midstream services for 2023 increased a net $66 million when compared to 2022. Revenues from our NGL and natural gas pipeline assets increased a combined $263 million year-to-year primarily due to higher demand for transportation services and the addition of the Midland Basin Gathering System, which was acquired in February 2022. Revenues from our natural gas processing facilities decreased $84 million year-to-year primarily due to lower market values for the equity NGL-equivalent production volumes we receive as non-cash consideration for processing services. Revenues from our crude oil pipeline assets decreased $63 million year-to-year primarily due to lower deficiency revenues as a result of the expiration of minimum volume commitments under certain long-term gathering agreements on our EFS Midstream System.</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revenues, see Note 9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costs and expenses for 2023 decreased $8.5 billion when compared to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sales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sales for 2023 decreased $8.8 billion when compared to 2022. The cost of sales associated with the marketing of NGLs, natural gas and petrochemicals and refined products decreased a combined net $9.1 billion year-to-year primarily due to lower average purchase prices, which accounted for a $10.9 billion decrease, partially offset by higher volumes, which accounted for a $1.8 billion increase. The cost of sales associated with the marketing of crude oil increased a net $310 million year-to-year primarily due to higher volumes, which accounted for a $3.5 billion increase, partially offset by lower average purchase prices, which accounted for a $3.2 billion decrease.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costs and expenses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Other operating costs and expenses increased a net $241 million year-to-year primarily due to higher maintenance, rental, employee compensation and other operating costs, which accounted for a $286 million increase, partially offset by lower utility costs, which accounted for a $45 million decrease.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amortization and accretion expenses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Depreciation, amortization and accretion expense increased a combined $121 million year-to-year. Depreciation expense increased $81 million year-to-year primarily due to the addition of our PDH 2 facility, which was placed into service in July 2023, assets attributable to the acquisition of our Midland Basin System in February 2022 and other assets placed into full or limited service since the end of 2022. Additionally, amortization expense associated with our intangible assets accounted for an additional $24 million of the year-to-year increase.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impairment charges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Non-cash asset impairment charges decreased $23 million year-to-year. The asset impairment charges recognized during 2023 and 2022 are attributable to the write-off of assets that are no longer expected to be used or constructed. For information regarding these charges, see Note 4 of the Notes to Consolidated Financial Statements included under Part II, Item 8 of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for 2023 decreased $10 million when compared to 2022 primarily due to lower professional services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of unconsolidated affiliates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income from our unconsolidated affiliates for 2023 decreased a net $2 million when compared to 2022 primarily due to lower earnings from investments in NGL pipelines, which accounted for a $16 million decrease, partially offset by higher earnings from investments in crude oil pipelines, which accounted for a $12 million increase.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the year ended December 31, 2023 increased $22 million when compared to the year ended December 31, 2022 due to the previously described year-to-year changes in revenues, operating costs and expenses, general and administrative costs and equity in income of unconsolidated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consolidated interest expense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charged on debt principal outstanding (1)</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Impact of interest rate hedging program, including related amortization</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costs capitalized in connection with construction projects (2)</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9"/>
                <w:szCs w:val="19"/>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1,244</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interest rates on debt principal outstanding were 4.56% and 4.33% during the years ended December 31, 2023 and 2022, respectively.</w:t>
      </w:r>
    </w:p>
    <w:p>
      <w:pPr>
        <w:spacing w:after="0" w:line="3" w:lineRule="exact"/>
        <w:rPr>
          <w:rFonts w:ascii="Times New Roman" w:cs="Times New Roman" w:eastAsia="Times New Roman" w:hAnsi="Times New Roman"/>
          <w:sz w:val="14"/>
          <w:szCs w:val="14"/>
          <w:color w:val="auto"/>
        </w:rPr>
      </w:pPr>
    </w:p>
    <w:p>
      <w:pPr>
        <w:jc w:val="both"/>
        <w:ind w:left="400" w:hanging="392"/>
        <w:spacing w:after="0" w:line="230" w:lineRule="auto"/>
        <w:tabs>
          <w:tab w:leader="none" w:pos="4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capitalize interest costs incurred on funds used to construct property, plant and equipment while the asset is in its construction phase. Capitalized interest amounts become part of the historical cost of an asset and are charged to earnings (as a component of depreciation expense) on a straight-line basis over the estimated useful life of the asset once the asset enters its intended service. When capitalized interest is recorded, it reduces interest expense from what it would be otherwise. Capitalized interest amounts fluctuate based on the timing of when projects are placed into service, our capital investment levels and the interest rates charged on borrowings.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charged on debt principal outstanding, which is a key driver of interest expense, increased a net $67 million year-to-year. This increase was primarily due to the issuance of $1.75 billion of fixed-rate senior notes in January 2023, which accounted for an $89 million increase, partially offset by a combined $50 million decrease as a result of the retirement of $1.4 billion and $1.25 billion of fixed-rate senior notes in February 2022 and March 2023, respectively, and the redemption of $350 million of variable-rate junior subordinated notes in August 2022. In addition, interest expense on our outstanding variable-rate junior subordinated notes increased $19 million primarily due to a year-to-year increase in the applicable 3-month variable rate. Beginning on July 1, 2023, our junior subordinated notes subject to a variable rate replaced the applicable London Interbank Offered Rate (“LIBOR”) with the 3-month Chicago Mercantile Exchange (“CME”) Term Secured Overnight Financing Rate (“SOFR”) plus a 0.26161% tenor spread adjustment.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debt obligations, see Note 7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provision for income taxes for 2023 decreased $38 million when compared to 2022 primarily due to changes in the valuation allowance on deferred tax assets attributable to OTA, which accounted for a $30 million decrease, and lower state tax obligations under the Revised Texas Franchise Tax (“Texas Margin Tax”) as a result of a decrease in the Texas apportionment factor, which accounted for an additional $8 million decrease.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income taxes, see Note 16 of the Notes to Consolidated Financial Statements included under Part II, Item 8 of this annual report.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the assets and operations of each business segment:</w:t>
      </w:r>
    </w:p>
    <w:p>
      <w:pPr>
        <w:spacing w:after="0" w:line="225" w:lineRule="exact"/>
        <w:rPr>
          <w:sz w:val="20"/>
          <w:szCs w:val="20"/>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NGL Pipelines &amp; Services business segment includes our natural gas processing and related NGL marketing activities, NGL pipelines, NGL fractionation facilities, NGL and related product storage facilities, and NGL marine terminals.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Crude Oil Pipelines &amp; Services business segment includes our crude oil pipelines, crude oil storage and marine terminals, and related crude oil marketing activities.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Pipelines &amp; Services business segment includes our natural gas pipeline systems that provide for the gathering, treating and transportation of natural gas. This segment also includes our natural gas marketing activities.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Petrochemical &amp; Refined Products Services business segment includes our (i) propylene production facilities, which include propylene fractionation units and PDH facilities, and related pipelines and marketing activities, (ii) butane isomerization complex and related DIB operations,</w:t>
      </w:r>
    </w:p>
    <w:p>
      <w:pPr>
        <w:ind w:left="340" w:hanging="8"/>
        <w:spacing w:after="0" w:line="260" w:lineRule="auto"/>
        <w:tabs>
          <w:tab w:leader="none" w:pos="68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octane enhancement, iBDH and HPIB production facilities, (iv) refined products pipelines, terminals and related marketing activities, (v) an ethylene export terminal and related operations; and (vi) marine transportation business.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gross operating margin by segment and total gross operating margin, a non-generally accepted accounting principle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 for the years indicated (dollars in millions):</w:t>
      </w:r>
    </w:p>
    <w:p>
      <w:pPr>
        <w:spacing w:after="0" w:line="20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Gross operating margin by segment: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5,142</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1,655</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1,042</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segment gross operating margin (1)</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9,356</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adjustment for shipper make-up rights</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r>
      <w:tr>
        <w:trPr>
          <w:trHeight w:val="256"/>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gross operating margin (non-GAAP)</w:t>
            </w:r>
          </w:p>
        </w:tc>
        <w:tc>
          <w:tcPr>
            <w:tcW w:w="76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right="20" w:hanging="392"/>
        <w:spacing w:after="0" w:line="261" w:lineRule="auto"/>
        <w:tabs>
          <w:tab w:leader="none" w:pos="4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context of this table, total segment gross operating margin represents a subtotal and corresponds to measures similarly titled within our business segment disclosures found under Note 10 of the Notes to Consolidated Financial Statements included under Part II, Item 8 of this annual report.</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operating margin includes equity in the earnings of unconsolidated affiliates, but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 Segment gross operating margin for NGL Pipelines &amp; Services and Crude Oil Pipelines &amp; Services reflect adjustments for shipper make-up rights that are included in management’s evaluation of segment results. However, these adjustments are excluded from non-GAAP total gross operating margin.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GAAP financial measure most directly comparable to total gross operating margin is operating income. For a discussion of operating income and its components, see the previous section titled “</w:t>
      </w:r>
      <w:r>
        <w:rPr>
          <w:rFonts w:ascii="Times New Roman" w:cs="Times New Roman" w:eastAsia="Times New Roman" w:hAnsi="Times New Roman"/>
          <w:sz w:val="18"/>
          <w:szCs w:val="18"/>
          <w:i w:val="1"/>
          <w:iCs w:val="1"/>
          <w:color w:val="auto"/>
        </w:rPr>
        <w:t>Income Statement Highlights</w:t>
      </w:r>
      <w:r>
        <w:rPr>
          <w:rFonts w:ascii="Times New Roman" w:cs="Times New Roman" w:eastAsia="Times New Roman" w:hAnsi="Times New Roman"/>
          <w:sz w:val="18"/>
          <w:szCs w:val="18"/>
          <w:color w:val="auto"/>
        </w:rPr>
        <w:t>” within this Part II, Item 7. The following table presents a reconciliation of operating income to total gross operating margin for the years indicated (dollars in millions):</w:t>
      </w:r>
    </w:p>
    <w:p>
      <w:pPr>
        <w:spacing w:after="0" w:line="16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6,929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6,907</w:t>
            </w:r>
          </w:p>
        </w:tc>
        <w:tc>
          <w:tcPr>
            <w:tcW w:w="0" w:type="dxa"/>
            <w:vAlign w:val="bottom"/>
          </w:tcPr>
          <w:p>
            <w:pPr>
              <w:spacing w:after="0"/>
              <w:rPr>
                <w:sz w:val="1"/>
                <w:szCs w:val="1"/>
                <w:color w:val="auto"/>
              </w:rPr>
            </w:pPr>
          </w:p>
        </w:tc>
      </w:tr>
      <w:tr>
        <w:trPr>
          <w:trHeight w:val="124"/>
        </w:trPr>
        <w:tc>
          <w:tcPr>
            <w:tcW w:w="868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reconcile operating income to total gross operating margin</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(addition or subtraction indicated by sign):</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 expense in operating costs and expenses (1)</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2,107</w:t>
            </w:r>
          </w:p>
        </w:tc>
        <w:tc>
          <w:tcPr>
            <w:tcW w:w="0" w:type="dxa"/>
            <w:vAlign w:val="bottom"/>
          </w:tcPr>
          <w:p>
            <w:pPr>
              <w:spacing w:after="0"/>
              <w:rPr>
                <w:sz w:val="1"/>
                <w:szCs w:val="1"/>
                <w:color w:val="auto"/>
              </w:rPr>
            </w:pPr>
          </w:p>
        </w:tc>
      </w:tr>
      <w:tr>
        <w:trPr>
          <w:trHeight w:val="216"/>
        </w:trPr>
        <w:tc>
          <w:tcPr>
            <w:tcW w:w="8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impairment charges in operating costs and expenses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losses (gains) attributable to asset sales and related matters in operating</w:t>
            </w:r>
          </w:p>
        </w:tc>
        <w:tc>
          <w:tcPr>
            <w:tcW w:w="7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and expenses</w:t>
            </w:r>
          </w:p>
        </w:tc>
        <w:tc>
          <w:tcPr>
            <w:tcW w:w="7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gross operating margin (non-GAAP)</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9,395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which are a component of gross operating margin.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for us. The financial results of our marketing efforts fluctuate due to changes in volumes handled and overall market conditions, which are influenced by current and forward market prices for the products bought and sold.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NGL Pipelines &amp;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Natural gas processing and related NGL marketing activities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1,946</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NGL pipelines, storage and terminals</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2,362</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fractionation</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834</w:t>
            </w:r>
          </w:p>
        </w:tc>
      </w:tr>
      <w:tr>
        <w:trPr>
          <w:trHeight w:val="27"/>
        </w:trPr>
        <w:tc>
          <w:tcPr>
            <w:tcW w:w="86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4,898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5,142</w:t>
            </w:r>
          </w:p>
        </w:tc>
      </w:tr>
      <w:tr>
        <w:trPr>
          <w:trHeight w:val="21"/>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pipeline transportation volumes (MBPD)</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3,703</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NGL marine terminal volumes (MBPD)</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723</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fractionation volumes (MBPD)</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1,339</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NGL-equivalent production volumes (MBPD) (1)</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Fee-based natural gas processing volumes (MMcf/d) (2, 3)</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right="240" w:hanging="452"/>
        <w:spacing w:after="0" w:line="233" w:lineRule="auto"/>
        <w:tabs>
          <w:tab w:leader="none" w:pos="4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NGL and condensate volumes we earn and take title to in connection with our processing activities. The total equity NGL-equivalent production volumes also include residue natural gas volumes from our natural gas processing business.</w:t>
      </w:r>
    </w:p>
    <w:p>
      <w:pPr>
        <w:ind w:left="460" w:hanging="452"/>
        <w:spacing w:after="0" w:line="221" w:lineRule="auto"/>
        <w:tabs>
          <w:tab w:leader="none" w:pos="4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Volumes reported correspond to the revenue streams earned by our natural gas processing plants.</w:t>
      </w:r>
    </w:p>
    <w:p>
      <w:pPr>
        <w:ind w:left="460" w:hanging="452"/>
        <w:spacing w:after="0"/>
        <w:tabs>
          <w:tab w:leader="none" w:pos="4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Fee-based natural gas processing volumes are measured at either the wellhead or plant inlet in MMcf/d.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processing and related NGL marketing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natural gas processing and related NGL marketing activities for the year ended December 31, 2023 decreased $646 million when compared to the year ended December 31, 2022.</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NGL marketing activities decreased $311 million year-to-year primarily due to lower average sales margins, which accounted for a $304 million decrease, and lower sales volumes, which accounted for an additional $40 million decrease, partially offset by higher non-cash, mark-to-market earnings, which accounted for a $32 million increase.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operating margin from our Midland Basin natural gas processing facilities decreased a net $154 million year-to-year primarily due to lower average processing margins (including the impact of hedging activities), which accounted for a $235 million decrease, and higher operating costs, which accounted for an additional $27 million decrease, partially offset by an increase in total fee-based natural gas processing volumes, which accounted for a $77 million increase, and an increase in total equity NGL-equivalent production volumes, which accounted for an additional $33 million increase. Fee-based natural gas processing volumes at these facilities, which reflect the average daily operating rates from the time the asset was acquired, increased 210 MMcf/d and equity NGL-equivalent production volumes increased 4 MBPD year-to-year.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Delaware Basin natural gas processing facilities decreased $86 million year-to-year primarily due to lower average processing margins (including the impact of hedging activities). Fee-based natural gas processing volumes at these facilities increased 105 MMcf/d and equity NGL-equivalent production volumes decreased 4 MBPD year-to-year.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South Texas natural gas processing facilities decreased $49 million year-to-year primarily due to lower average processing margins (including the impact of hedging activities), which accounted for a $33 million decrease, higher maintenance and other operating costs, which accounted for a $9 million decrease, and a 3 MBPD decrease in equity NGL-equivalent production volumes, which accounted for an additional $7 million decrease. Fee-based natural gas processing volumes increased 83 MMcf/d year-to-year.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combined basis, gross operating margin from our Rockies natural gas processing facilities (Meeker, Pioneer and Chaco) decreased $29 million year-to-year primarily due to a lower average processing margins (including the impact of hedging activities), which accounted for a $17 million decrease, and 5 MBPD decrease in equity NGL-equivalent production volumes, which accounted for an additional $7 million decrease. Fee-based natural gas processing volumes decreased a combined 36 MMcf/d year-to-year.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Louisiana and Mississippi natural gas processing facilities decreased $6 million year-to-year primarily due to lower average processing margins (including the impact of hedging activities). Fee-based natural gas processing volumes increased 192 MMcf/d and equity NGL-equivalent production volumes were flat year-to-year (net to our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pipelines, storage and terminals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our NGL pipelines, storage and terminal assets for the year ended December 31, 2023 increased $409 million when compared to the year ended December 31, 2022.</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for our Eastern ethane pipelines, which include our ATEX and Aegis pipelines, increased a combined $78 million year-to-year primarily due to a combined 73 MBPD increase in transportation volumes.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operating margin from LPG-related activities at EHT increased $71 million year-to-year primarily due to a 68 MBPD increase in LPG export volumes, which accounted for a $37 million increase, and higher average loading fees, which accounted for an additional $33 million increase. Gross operating margin at our Morgan’s Point Ethane Export Terminal increased $49 million year-to-year primarily due to a 30 MBPD increase in export volumes, which accounted for a $33 million increase, and higher average loading fees, which accounted for an additional $14 million increase. Gross operating margin from our related Houston Ship Channel Pipeline System increased $36 million year-to-year primarily due to a 123 MBPD increase in transportation volumes, which accounted for a $22 million increase, and higher average transportation fees, which accounted for an additional $14 million increase.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our pipelines, including the Mid-America Pipeline System, Seminole NGL Pipeline, Chaparral Pipeline, and Shin Oak NGL Pipeline, serve Permian Basin and/or Rocky Mountain producers. On a combined basis, gross operating margin from these pipelines increased a net $49 million year-to-year primarily due to higher average transportation fees, which accounted for a $50 million increase, and an 80 MBPD (net to our interest) increase in transportation volumes, which accounted for an additional $23 million increase, partially offset by higher operating costs, which accounted for a $20 million decrease.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South Texas NGL Pipeline System increased $40 million year-to-year primarily due to higher average transportation and related fees, which accounted for a $26 million increase, a 28 MBPD increase in transportation volumes, which accounted for a $10 million increase, and higher storage and other revenues, which accounted for an additional $5 million increase.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operating margin from our Chambers County storage complex increased $29 million year-to-year primarily due to higher storage revenues.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South Louisiana NGL Pipeline System increased $15 million year-to-year primarily due to a 24 MBPD increase in transportation volumes, which accounted for a $7 million increase, and higher average transportation fees, which accounted for an additional $5 million increase.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fractionation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NGL fractionation during the year ended December 31, 2023 decreased $7 million when compared to the year ended December 31, 2022.</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combined basis, gross operating margin from NGL fractionators other than our Chambers County complex decreased a net $16 million year-to-year primarily due to lower average fractionation fees, which accounted for a $31 million decrease, and lower ancillary service revenues, which accounted for an additional $7 million decrease, partially offset by a combined 34 MBPD (net to our interest) increase in NGL fractionation volumes, which accounted for a $17 million increase, and lower utility and other operating costs, which accounted for an additional $5 million increase.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from our Chambers County NGL fractionation complex increased a net $2 million year-to-year primarily due to a 183 MBPD (net to our interest) increase in fractionation volumes, which accounted for a $64 million increase, and lower utility and other operating costs, which accounted for an additional $39 million increase, partially offset by lower average fractionation fees, which accounted for a $61 million decrease, and lower ancillary service revenues, which accounted for an additional $41 million decrease. NGL fractionation volumes from our Chambers County NGL fractionation complex increased primarily due to contributions from Frac 12, which entered service in July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Crude Oil Pipelines &amp;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Midland-to-ECHO System and related business activities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w:t>
            </w: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crude oil pipelines, terminals and related marketing results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9"/>
                <w:szCs w:val="19"/>
                <w:color w:val="auto"/>
              </w:rPr>
            </w:pPr>
          </w:p>
        </w:tc>
      </w:tr>
      <w:tr>
        <w:trPr>
          <w:trHeight w:val="25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1,655</w:t>
            </w:r>
          </w:p>
        </w:tc>
      </w:tr>
      <w:tr>
        <w:trPr>
          <w:trHeight w:val="210"/>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Crude oil pipeline transportation volumes (MBPD)</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2,222</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Crude oil marine terminal volumes (MBPD)</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Crude Oil Pipelines &amp; Services segment for the year ended December 31, 2023 increased $52 million when compared to the year ended December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Midland-to-ECHO System and related business activities increased a net $158 million year-to-year primarily due to higher average transportation fees and related margins from marketing activities, which accounted for a $97 million increase, and a 121 MBPD (net to our interest) increase in transportation volumes, which accounted for an additional $93 million increase, partially offset by higher chemical, utility and other operating costs, which accounted for a $33 million decrease.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crude oil activities at EHT increased a net $11 million year-to-year primarily due to higher loading revenues, which accounted for a $19 million increase, partially offset by lower storage and other revenues, which accounted for a $10 million decrease. Crude oil terminal volumes at EHT increased 153 MBPD year-to-year.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operating margin from our Texas in-basin crude oil pipelines, terminals and other marketing activities (excluding our Midland-to-ECHO System and Seaway Pipeline) decreased a combined net $58 million year-to-year primarily due to lower deficiency revenues as a result of the expiration of minimum volume commitments under certain long term agreements on our EFS Midstream and South Texas Crude Oil Pipeline Systems, which accounted for a $124 million decrease, lower average transportation fees, which accounted for an additional $45 million decrease, partially offset by higher sales volumes, which accounted for a $92 million increase, and a 33 MBPD (net to our interest) increase in crude oil transportation volumes, which accounted for an additional $24 million increase.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equity investment in the Seaway Pipeline decreased a net $47 million year-to-year primarily due to lower average transportation and related fees, which accounted for a $57 million decrease, partially offset by an 85 MBPD (net to our interest) increase in transportation volumes, which accounted for a $12 million increase.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operating margin from our crude oil terminal in Beaumont, Texas decreased $16 million year-to-year primarily due to lower storage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Natural Gas Pipelines &amp;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2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1,042</w:t>
            </w:r>
          </w:p>
        </w:tc>
      </w:tr>
      <w:tr>
        <w:trPr>
          <w:trHeight w:val="216"/>
        </w:trPr>
        <w:tc>
          <w:tcPr>
            <w:tcW w:w="8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Natural gas pipeline transportation volumes (BBtus/d)</w:t>
            </w:r>
          </w:p>
        </w:tc>
        <w:tc>
          <w:tcPr>
            <w:tcW w:w="72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18,365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17,107</w:t>
            </w:r>
          </w:p>
        </w:tc>
      </w:tr>
    </w:tbl>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Natural Gas Pipelines &amp; Services segment for the year ended December 31, 2023 increased $35 million when compared to the year ended December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East Texas Gathering System increased $26 million year-to-year primarily due to a 297 BBtus/d increase in gathering volumes.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Texas Intrastate System increased a net $18 million year-to-year primarily due to a 592 BBtus/d increase in transportation volumes, which accounted for a $25 million increase, and higher average transportation fees, which accounted for an additional $10 million increase, partially offset by higher operating costs, which accounted for an $11 million decrease, and lower ancillary and other revenues, which accounted for an additional $6 million decrease.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Delaware Basin Gathering System increased a net $17 million year-to-year primarily due to higher average gathering fees, which accounted for a $9 million increase, higher ancillary service and other revenues, which accounted for a $9 million increase, and a 116 BBtus/d increase in gathering volumes, which accounted for an additional $6 million increase, partially offset by higher maintenance and other operating costs, which accounted for a $7 million decrease.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Midland Basin Gathering System increased a net $12 million year-to-year primarily due to an increase in total natural gas gathering volumes, which accounted for a $56 million increase, partially offset by higher rental and other operating costs, which accounted for a $44 million decrease. Gathering volumes on our Midland Basin Gathering System, which reflect the average daily operating rates from the time the assets were acquired or placed into service, increased 288 BBtus/d year-to-year.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combined basis, gross operating margin from our Jonah Gathering System, Piceance Basin Gathering System and San Juan Gathering System in the Rocky Mountains decreased $34 million year-to-year primarily due to higher maintenance and other operating costs, which accounted for a $14 million decrease, a 114 BBtus/d decrease in gathering volumes, which accounted for a $12 million decrease, and a decrease in condensate sales, which accounted for an additional $5 million decrease.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natural gas marketing activities decreased $15 million year-to-year primarily due to lower average sales margins attributable to price differentials.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Petrochemical &amp; Refined Products Services segment for the years indicated (dollars in millions, volumes as noted):</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Propylene production and related activities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Butane isomerization and related operations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Octane enhancement and related plant operations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Refined products pipelines and related activities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Ethylene exports and related activities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2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Marine transportation and other services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1,694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volumetric data:</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Propylene production volumes (MBPD)</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Butane isomerization volumes (MBPD)</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Standalone DIB processing volumes (MBPD)</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Octane enhancement and related plant sales volumes (MBPD) (1)</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26"/>
        </w:trPr>
        <w:tc>
          <w:tcPr>
            <w:tcW w:w="86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Pipeline transportation volumes, primarily refined products and</w:t>
            </w:r>
          </w:p>
        </w:tc>
        <w:tc>
          <w:tcPr>
            <w:tcW w:w="7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71"/>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petrochemicals (MBPD)</w:t>
            </w:r>
          </w:p>
        </w:tc>
        <w:tc>
          <w:tcPr>
            <w:tcW w:w="7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Marine terminal volumes, primarily refined products and</w:t>
            </w:r>
          </w:p>
        </w:tc>
        <w:tc>
          <w:tcPr>
            <w:tcW w:w="7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petrochemicals (MBPD)</w:t>
            </w:r>
          </w:p>
        </w:tc>
        <w:tc>
          <w:tcPr>
            <w:tcW w:w="7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40" w:hanging="432"/>
        <w:spacing w:after="0" w:line="261" w:lineRule="auto"/>
        <w:tabs>
          <w:tab w:leader="none" w:pos="4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sales volumes for our octane enhancement and iBDH facilities located at our Chambers County complex and our HPIB facility located adjacent to the Houston Ship Channel.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Propylene production and related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propylene production and related activities for the year ended December 31, 2023 increased $19 million when compared to the year ended December 31, 2022.</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operating margin from our propylene pipeline systems increased a combined $14 million year-to-year primarily due to higher average transportation fees. On a combined basis, transportation volumes decreased 2 MBPD (net to our interest) year-to-year.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operating margin from our Chambers County propylene production facilities decreased a combined net $7 million year-to-year primarily due to lower propylene sales volumes, which accounted for a $55 million decrease, and higher operating costs, which accounted for an additional $17 million decrease, partially offset by higher propylene processing revenues, which accounted for a $32 million increase, and higher storage and other revenues, which accounted for an additional $28 million increase. Propylene and associated by-product production volumes at these facilities, which reflect the average daily operating rates from the time the asset was placed into service, decreased a combined 1 MBPD (net to our interest) year-to-year primarily due to major maintenance activities at our PDH 1 facility during the first and third quarters of 2023 and major maintenance at three of our propylene splitters during the second quarter of 2023, partially offset by production from our PDH 2 facility, which was placed into service in July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Butane isomerization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operating margin from butane isomerization and related operations increased a net $10 million year-to-year primarily due to lower utility and other operating costs, which accounted for an $18 million increase, and a 19 MBPD increase in transportation volumes, which accounted for an additional $6 million increase, partially offset by lower by-product sales, which accounted for an $8 million decrease.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Octane enhancement and related plant operations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our octane enhancement and related plant operations increased $48 million year-to-year primarily due to higher average sales margins, which accounted for a $35 million increase, and lower utility and other operating costs, which accounted for an additional $11 million increase.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Refined products pipelines and related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operating margin from refined products pipelines and related activities for the year ended December 31, 2023 increased $80 million when compared to the year ended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operating margin from our refined products marketing activities increased $48 million year-to-year primarily due to higher average sales margins.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refined products terminal in Beaumont, Texas increased $25 million year-to-year primarily due to higher storage and other fee revenues. Refined product marine terminal volumes at Beaumont increased 125 MBPD year-to-year.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TE Products Pipeline System decreased a net $3 million year-to-year primarily due to higher storage, maintenance and other operating costs, which accounted for a $25 million decrease, and a 5 MBPD decrease in NGL transportation volumes, which accounted for an additional $10 million decrease, partially offset by higher average transportation and related fees, which accounted for a $33 million increase. Overall, transportation volumes on our TE Products Pipeline System increased 50 MBPD year-to-year.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exports and related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operating margin from ethylene exports and related activities for the year ended December 31, 2023 was flat when compared to the year ended December 31, 2022.</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combined basis, gross operating margin from our ethylene pipelines, storage and related marketing activities increased $12 million year-to-year primarily due to a combined 22 MBPD (net to our interest) increase in transportation volumes. Gross operating margin from our ethylene export terminal decreased $12 million year-to-year primarily due to lower average loading fees. Ethylene export volumes were flat year-to-year (net to our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Marine transportation and other services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operating margin from marine transportation and other services increased a net $20 million year-to-year primarily due to higher average fees, which accounted for a $24 million increase, and higher fleet utilization rates, which accounted for an additional $7 million increase, partially offset by higher operating costs, which accounted for a $12 million decrease.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current market conditions (as of the filing date of this annual report), we believe that the Partnership and its consolidated businesses will have sufficient liquidity, cash flow from operations and access to capital markets to fund their capital investments and working capital needs for the reasonably foreseeable future. At December 31, 2023, we had $3.9 billion of consolidated liquidity. This amount was comprised of $3.75 billion of available borrowing capacity under EPO’s revolving credit facilities, which is the net of $4.2 billion of total borrowing capacity under EPO’s revolving credit facilities and $450 million outstanding under EPO’s commercial paper program, and $180 million of unrestricted cash on hand.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and equity securities to assist us in meeting our future funding and liquidity requirements, including those related to capital investments. We have a universal shelf registration statement on file with the SEC that allows the Partnership and EPO to issue an unlimited amount of equity and debt securities, respectively.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Statement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76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7,569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8,039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4,954</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used in financing activities</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5,844</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are largely dependent on earnings from our consolidated business activities. Changes in energy commodity prices may impact the demand for natural gas, NGLs, crude oil, petrochemicals and refined products, which could impact sales of our products and the demand for our midstream services. Changes in demand for our products and services may be caused by other factors, including prevailing economic conditions, reduced demand by consumers for the end products made with hydrocarbon products, increased competition, public health emergencies, adverse weather conditions and government regulations affecting prices and production levels. We may also incur credit and price risk to the extent customers do not fulfill their contractual obligations to us in connection with our marketing activities and long-term take-or-pay agreements. For a more complete discussion of these and other risk factors pertinent to our business, see Part I, Item 1A of this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cash flow amounts, please refer to the Statements of Consolidated Cash Flows included under Part II, Item 8 of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highlights significant year-to-year fluctuations in our consolidated cash flow amounts: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provided by operating activities for the year ended December 31, 2023 decreased a net $470 million when compared to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primarily due to:</w:t>
      </w:r>
    </w:p>
    <w:p>
      <w:pPr>
        <w:spacing w:after="0" w:line="207" w:lineRule="exact"/>
        <w:rPr>
          <w:sz w:val="20"/>
          <w:szCs w:val="20"/>
          <w:color w:val="auto"/>
        </w:rPr>
      </w:pPr>
    </w:p>
    <w:p>
      <w:pPr>
        <w:jc w:val="both"/>
        <w:ind w:left="500" w:hanging="330"/>
        <w:spacing w:after="0" w:line="252" w:lineRule="auto"/>
        <w:tabs>
          <w:tab w:leader="none" w:pos="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$501 million year-to-year decrease from changes in operating accounts primarily due to the use of working capital employed in our marketing activities, which includes the impact of (i) fluctuations in commodity prices, (ii) timing of our inventory purchase and sale strategies, and (iii) changes in margin deposit requirements associated with our commodity derivative instruments; partially offset by</w:t>
      </w:r>
    </w:p>
    <w:p>
      <w:pPr>
        <w:spacing w:after="0" w:line="187" w:lineRule="exact"/>
        <w:rPr>
          <w:rFonts w:ascii="Times New Roman" w:cs="Times New Roman" w:eastAsia="Times New Roman" w:hAnsi="Times New Roman"/>
          <w:sz w:val="20"/>
          <w:szCs w:val="20"/>
          <w:color w:val="auto"/>
        </w:rPr>
      </w:pPr>
    </w:p>
    <w:p>
      <w:pPr>
        <w:ind w:left="500" w:hanging="330"/>
        <w:spacing w:after="0" w:line="255" w:lineRule="auto"/>
        <w:tabs>
          <w:tab w:leader="none" w:pos="5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$31 million year-to-year increase resulting from higher partnership earnings (determined by adjusting our $42 million year-to-year increase in net income for changes in the non-cash items identified on our Statements of Consolidated Cash Flows).</w:t>
      </w:r>
    </w:p>
    <w:p>
      <w:pPr>
        <w:spacing w:after="0" w:line="18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 information regarding significant year-to-year changes in our consolidated net income and underlying segment results, see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Highlights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Segment Highlights</w:t>
      </w:r>
      <w:r>
        <w:rPr>
          <w:rFonts w:ascii="Times New Roman" w:cs="Times New Roman" w:eastAsia="Times New Roman" w:hAnsi="Times New Roman"/>
          <w:sz w:val="18"/>
          <w:szCs w:val="18"/>
          <w:color w:val="auto"/>
        </w:rPr>
        <w:t>” within this Part II, Item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2023 decreased a net $1.8 billion when compared to the year ended December 31, 2022 primarily due to:</w:t>
      </w:r>
    </w:p>
    <w:p>
      <w:pPr>
        <w:spacing w:after="0" w:line="181" w:lineRule="exact"/>
        <w:rPr>
          <w:sz w:val="20"/>
          <w:szCs w:val="20"/>
          <w:color w:val="auto"/>
        </w:rPr>
      </w:pPr>
    </w:p>
    <w:p>
      <w:pPr>
        <w:ind w:left="500" w:hanging="330"/>
        <w:spacing w:after="0"/>
        <w:tabs>
          <w:tab w:leader="none" w:pos="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net $3.2 billion cash outflow in February 2022 in connection with the acquisition of our Midland Basin System; partially offset by</w:t>
      </w:r>
    </w:p>
    <w:p>
      <w:pPr>
        <w:spacing w:after="0" w:line="213" w:lineRule="exact"/>
        <w:rPr>
          <w:rFonts w:ascii="Times New Roman" w:cs="Times New Roman" w:eastAsia="Times New Roman" w:hAnsi="Times New Roman"/>
          <w:sz w:val="20"/>
          <w:szCs w:val="20"/>
          <w:color w:val="auto"/>
        </w:rPr>
      </w:pPr>
    </w:p>
    <w:p>
      <w:pPr>
        <w:ind w:left="500" w:hanging="330"/>
        <w:spacing w:after="0" w:line="257" w:lineRule="auto"/>
        <w:tabs>
          <w:tab w:leader="none" w:pos="5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$1.3 billion year-to-year increase in investments for property, plant and equipment (see “</w:t>
      </w:r>
      <w:r>
        <w:rPr>
          <w:rFonts w:ascii="Times New Roman" w:cs="Times New Roman" w:eastAsia="Times New Roman" w:hAnsi="Times New Roman"/>
          <w:sz w:val="18"/>
          <w:szCs w:val="18"/>
          <w:i w:val="1"/>
          <w:iCs w:val="1"/>
          <w:color w:val="auto"/>
        </w:rPr>
        <w:t>Capital Investments</w:t>
      </w:r>
      <w:r>
        <w:rPr>
          <w:rFonts w:ascii="Times New Roman" w:cs="Times New Roman" w:eastAsia="Times New Roman" w:hAnsi="Times New Roman"/>
          <w:sz w:val="18"/>
          <w:szCs w:val="18"/>
          <w:color w:val="auto"/>
        </w:rPr>
        <w:t>” within this Part II, Item 7 for additional information).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2023 decreased a net $1.6 billion when compared to the year ended December 31, 2022 primarily due to:</w:t>
      </w:r>
    </w:p>
    <w:p>
      <w:pPr>
        <w:spacing w:after="0" w:line="181" w:lineRule="exact"/>
        <w:rPr>
          <w:sz w:val="20"/>
          <w:szCs w:val="20"/>
          <w:color w:val="auto"/>
        </w:rPr>
      </w:pPr>
    </w:p>
    <w:p>
      <w:pPr>
        <w:jc w:val="both"/>
        <w:ind w:left="500" w:hanging="330"/>
        <w:spacing w:after="0" w:line="251" w:lineRule="auto"/>
        <w:tabs>
          <w:tab w:leader="none" w:pos="5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net cash inflow of $456 million related to debt transactions that occurred during the year ended December 31, 2023 compared to a net cash outflow of $1.3 billion related to debt transactions that occurred during the year ended December 31, 2022. In 2023, we issued $1.75 billion aggregate principal amount of senior notes, partially offset by the repayment of $1.25 billion principal amount of senior notes and net repayments of $45 million under EPO’s commercial paper program. In 2022 we repaid $1.75 billion aggregate principal amount of senior and junior subordinated notes, partially offset by net issuances of $495 million under EPO’s commercial paper program; partially offset by</w:t>
      </w:r>
    </w:p>
    <w:p>
      <w:pPr>
        <w:spacing w:after="0" w:line="189" w:lineRule="exact"/>
        <w:rPr>
          <w:rFonts w:ascii="Times New Roman" w:cs="Times New Roman" w:eastAsia="Times New Roman" w:hAnsi="Times New Roman"/>
          <w:sz w:val="20"/>
          <w:szCs w:val="20"/>
          <w:color w:val="auto"/>
        </w:rPr>
      </w:pPr>
    </w:p>
    <w:p>
      <w:pPr>
        <w:ind w:left="500" w:hanging="330"/>
        <w:spacing w:after="0" w:line="255" w:lineRule="auto"/>
        <w:tabs>
          <w:tab w:leader="none" w:pos="5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$206 million year-to-year increase in cash distributions paid to common unitholders primarily attributable to increases in the quarterly cash distribution rate per unit.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Cash Flow Measures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Distributable Cash Flow and Operational Distributable Cash Flow</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partnership agreement requires us to make quarterly distributions to our common unitholders of all available cash, after any cash reserves established by Enterprise GP in its sole discretion. Cash reserves include those for the proper conduct of our business, including those for capital investments, debt service, working capital, operating expenses, common unit repurchases, commitments and contingencies and other amounts. The retention of cash allows us to reinvest in our growth and reduce our future reliance on the equity and debt capital markets.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measure available cash by reference to distributable cash flow (“DCF”), which is a non-GAAP cash flow measure. DCF is an important financial measure for our common unitholders since it serves as an indicator of our success in providing a cash return on investment. Specifically, this financial measure indicates to investors whether or not we are generating cash flows at a level that can sustain our declared quarterly cash distributions. DCF is also a quantitative standard used by the investment community with respect to publicly traded partnerships since the value of a partnership unit is, in part, measured by its yield, which is based on the amount of cash distributions a partnership can pay to a unitholder. Our management compares the DCF we generate to the cash distributions we expect to pay our common unitholders. Using this metric, management computes our distribution coverage ratio. Our calculation of DCF may or may not be comparable to similarly titled measures used by other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level of available cash each quarter, management proposes a quarterly cash distribution rate to the Board, which has sole authority in approving such matters. Enterprise GP has a non-economic ownership interest in the Partnership and is not entitled to receive any cash distributions from it based on incentive distribution rights or other equity interests.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distributable cash flow (“Operational DCF”), which is defined as DCF excluding the impact of proceeds from asset sales and other matters and monetization of interest rate derivative instruments, is a supplemental non-GAAP liquidity measure that quantifies the portion of cash available for distribution to common unitholders that was generated from our normal operations. We believe that it is important to consider this non-GAAP measure as it provides an enhanced perspective of our assets’ ability to generate cash flows without regard for certain items that do not reflect our core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 of DCF and Operational DCF for the limited purposes described above and in this report is not a substitute for net cash flows provided by operating activities, which is the most comparable GAAP measure to DCF. For a discussion of net cash flows provided by operating activities, see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Flow Statement Highlights</w:t>
      </w:r>
      <w:r>
        <w:rPr>
          <w:rFonts w:ascii="Times New Roman" w:cs="Times New Roman" w:eastAsia="Times New Roman" w:hAnsi="Times New Roman"/>
          <w:sz w:val="18"/>
          <w:szCs w:val="18"/>
          <w:color w:val="auto"/>
        </w:rPr>
        <w:t>” within this Part II, Item 7.</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calculation of DCF and Operational DCF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unitholders (GAAP) (1)</w:t>
            </w:r>
          </w:p>
        </w:tc>
        <w:tc>
          <w:tcPr>
            <w:tcW w:w="72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5,487</w:t>
            </w:r>
          </w:p>
        </w:tc>
        <w:tc>
          <w:tcPr>
            <w:tcW w:w="0" w:type="dxa"/>
            <w:vAlign w:val="bottom"/>
          </w:tcPr>
          <w:p>
            <w:pPr>
              <w:spacing w:after="0"/>
              <w:rPr>
                <w:sz w:val="1"/>
                <w:szCs w:val="1"/>
                <w:color w:val="auto"/>
              </w:rPr>
            </w:pPr>
          </w:p>
        </w:tc>
      </w:tr>
      <w:tr>
        <w:trPr>
          <w:trHeight w:val="124"/>
        </w:trPr>
        <w:tc>
          <w:tcPr>
            <w:tcW w:w="868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net income attributable to common unitholders to</w:t>
            </w: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80" w:type="dxa"/>
            <w:vAlign w:val="bottom"/>
          </w:tcPr>
          <w:p>
            <w:pPr>
              <w:ind w:left="160"/>
              <w:spacing w:after="0"/>
              <w:rPr>
                <w:sz w:val="20"/>
                <w:szCs w:val="20"/>
                <w:color w:val="auto"/>
              </w:rPr>
            </w:pPr>
            <w:r>
              <w:rPr>
                <w:rFonts w:ascii="Times New Roman" w:cs="Times New Roman" w:eastAsia="Times New Roman" w:hAnsi="Times New Roman"/>
                <w:sz w:val="14"/>
                <w:szCs w:val="14"/>
                <w:i w:val="1"/>
                <w:iCs w:val="1"/>
                <w:color w:val="auto"/>
              </w:rPr>
              <w:t>derive DCF and Operational DCF (addition or subtraction indicated by sign):</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 expenses</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distributions received from unconsolidated affiliates (2)</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 charges</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market value of derivative instruments</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Sustaining capital expenditures (3)</w:t>
            </w: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72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Operational DCF (non-GAAP)</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7,538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Monetization of interest rate derivative instruments accounted</w:t>
            </w:r>
          </w:p>
        </w:tc>
        <w:tc>
          <w:tcPr>
            <w:tcW w:w="7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vMerge w:val="restart"/>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for as cash flow hedges</w:t>
            </w:r>
          </w:p>
        </w:tc>
        <w:tc>
          <w:tcPr>
            <w:tcW w:w="7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DCF (non-GAAP)</w:t>
            </w:r>
          </w:p>
        </w:tc>
        <w:tc>
          <w:tcPr>
            <w:tcW w:w="720" w:type="dxa"/>
            <w:vAlign w:val="bottom"/>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7,601</w:t>
            </w:r>
          </w:p>
        </w:tc>
        <w:tc>
          <w:tcPr>
            <w:tcW w:w="2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7,751</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distributions paid to common unitholders with respect to period,</w:t>
            </w:r>
          </w:p>
        </w:tc>
        <w:tc>
          <w:tcPr>
            <w:tcW w:w="720" w:type="dxa"/>
            <w:vAlign w:val="bottom"/>
            <w:vMerge w:val="restart"/>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4,393</w:t>
            </w:r>
          </w:p>
        </w:tc>
        <w:tc>
          <w:tcPr>
            <w:tcW w:w="200" w:type="dxa"/>
            <w:vAlign w:val="bottom"/>
          </w:tcPr>
          <w:p>
            <w:pPr>
              <w:spacing w:after="0"/>
              <w:rPr>
                <w:sz w:val="10"/>
                <w:szCs w:val="10"/>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including distribution equivalent rights on phantom unit awards</w:t>
            </w:r>
          </w:p>
        </w:tc>
        <w:tc>
          <w:tcPr>
            <w:tcW w:w="7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Cash distribution per common unit declared by Enterprise GP with respect to period (4)</w:t>
            </w:r>
          </w:p>
        </w:tc>
        <w:tc>
          <w:tcPr>
            <w:tcW w:w="7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2.0050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DCF retained by the Partnership with respect to period (5)</w:t>
            </w:r>
          </w:p>
        </w:tc>
        <w:tc>
          <w:tcPr>
            <w:tcW w:w="7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3,208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coverage ratio (6)</w:t>
            </w:r>
          </w:p>
        </w:tc>
        <w:tc>
          <w:tcPr>
            <w:tcW w:w="72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1.73x</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1.85x</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the primary drivers of changes in our comparative income statement amounts, see “</w:t>
      </w:r>
      <w:r>
        <w:rPr>
          <w:rFonts w:ascii="Times New Roman" w:cs="Times New Roman" w:eastAsia="Times New Roman" w:hAnsi="Times New Roman"/>
          <w:sz w:val="14"/>
          <w:szCs w:val="14"/>
          <w:i w:val="1"/>
          <w:iCs w:val="1"/>
          <w:color w:val="auto"/>
        </w:rPr>
        <w:t>Income Statement Highlights</w:t>
      </w:r>
      <w:r>
        <w:rPr>
          <w:rFonts w:ascii="Times New Roman" w:cs="Times New Roman" w:eastAsia="Times New Roman" w:hAnsi="Times New Roman"/>
          <w:sz w:val="14"/>
          <w:szCs w:val="14"/>
          <w:color w:val="auto"/>
        </w:rPr>
        <w:t>” within this Part II, Item 7.</w:t>
      </w:r>
    </w:p>
    <w:p>
      <w:pPr>
        <w:spacing w:after="0" w:line="5" w:lineRule="exact"/>
        <w:rPr>
          <w:rFonts w:ascii="Times New Roman" w:cs="Times New Roman" w:eastAsia="Times New Roman" w:hAnsi="Times New Roman"/>
          <w:sz w:val="14"/>
          <w:szCs w:val="14"/>
          <w:color w:val="auto"/>
        </w:rPr>
      </w:pPr>
    </w:p>
    <w:p>
      <w:pPr>
        <w:ind w:left="460" w:hanging="452"/>
        <w:spacing w:after="0" w:line="221" w:lineRule="auto"/>
        <w:tabs>
          <w:tab w:leader="none" w:pos="4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distributions received from unconsolidated affiliates attributable to both earnings and the return of capital.</w:t>
      </w:r>
    </w:p>
    <w:p>
      <w:pPr>
        <w:ind w:left="460" w:hanging="452"/>
        <w:spacing w:after="0" w:line="221" w:lineRule="auto"/>
        <w:tabs>
          <w:tab w:leader="none" w:pos="4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Sustaining capital expenditures include cash payments and accruals applicable to the period.</w:t>
      </w:r>
    </w:p>
    <w:p>
      <w:pPr>
        <w:ind w:left="460" w:right="20" w:hanging="452"/>
        <w:spacing w:after="0" w:line="221" w:lineRule="auto"/>
        <w:tabs>
          <w:tab w:leader="none" w:pos="4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of the Notes to Consolidated Financial Statements included under Part II, Item 8 of this annual report for information regarding our quarterly cash distributions declared with respect to the years indicated.</w:t>
      </w:r>
    </w:p>
    <w:p>
      <w:pPr>
        <w:ind w:left="460" w:hanging="452"/>
        <w:spacing w:after="0" w:line="221" w:lineRule="auto"/>
        <w:tabs>
          <w:tab w:leader="none" w:pos="4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retained by the Partnership may be used for capital investments, debt service, working capital, operating expenses, common unit repurchases, commitments and contingencies and other amounts. The retention of cash reduces our reliance on the capital markets.</w:t>
      </w:r>
    </w:p>
    <w:p>
      <w:pPr>
        <w:ind w:left="460" w:hanging="452"/>
        <w:spacing w:after="0" w:line="239" w:lineRule="auto"/>
        <w:tabs>
          <w:tab w:leader="none" w:pos="4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coverage ratio is determined by dividing DCF by total cash distributions paid to common unitholders and in connection with distribution equivalent rights with respect to the period.</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cash flows provided by operating activities to DCF and Operational DCF for the years indicated (dollars in millions):</w:t>
      </w:r>
    </w:p>
    <w:p>
      <w:pPr>
        <w:spacing w:after="0" w:line="15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flows provided by operating activities (GAAP)</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7,569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8,039</w:t>
            </w:r>
          </w:p>
        </w:tc>
        <w:tc>
          <w:tcPr>
            <w:tcW w:w="0" w:type="dxa"/>
            <w:vAlign w:val="bottom"/>
          </w:tcPr>
          <w:p>
            <w:pPr>
              <w:spacing w:after="0"/>
              <w:rPr>
                <w:sz w:val="1"/>
                <w:szCs w:val="1"/>
                <w:color w:val="auto"/>
              </w:rPr>
            </w:pPr>
          </w:p>
        </w:tc>
      </w:tr>
      <w:tr>
        <w:trPr>
          <w:trHeight w:val="124"/>
        </w:trPr>
        <w:tc>
          <w:tcPr>
            <w:tcW w:w="868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reconcile net cash flows provided by operating activities to</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DCF and Operational DCF (addition or subtraction indicated by sign):</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effect of changes in operating accounts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(413)</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26"/>
        </w:trPr>
        <w:tc>
          <w:tcPr>
            <w:tcW w:w="86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Distributions received from unconsolidated affiliates attributable</w:t>
            </w:r>
          </w:p>
        </w:tc>
        <w:tc>
          <w:tcPr>
            <w:tcW w:w="7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71"/>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the return of capital</w:t>
            </w:r>
          </w:p>
        </w:tc>
        <w:tc>
          <w:tcPr>
            <w:tcW w:w="7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Operational DCF (non-GAAP)</w:t>
            </w:r>
          </w:p>
        </w:tc>
        <w:tc>
          <w:tcPr>
            <w:tcW w:w="760" w:type="dxa"/>
            <w:vAlign w:val="bottom"/>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7,538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26"/>
        </w:trPr>
        <w:tc>
          <w:tcPr>
            <w:tcW w:w="86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Monetization of interest rate derivative instruments accounted</w:t>
            </w:r>
          </w:p>
        </w:tc>
        <w:tc>
          <w:tcPr>
            <w:tcW w:w="7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 as cash flow hedges</w:t>
            </w: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DCF (non-GAAP)</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7,601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7,751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we placed $3.5 billion of growth capital projects into service, including the 400 MMcf/d expansion of our Acadian Gas System, PDH 2 facility, Frac 12, our sixth Midland Basin natural gas processing train at Poseidon and our second natural gas processing train at Mentone in the Delaware Basin. We have approximately $6.8 billion of growth capital projects scheduled to be completed by the end of the first half of 2026, including the following projects (including their respective scheduled completion dates):</w:t>
      </w:r>
    </w:p>
    <w:p>
      <w:pPr>
        <w:spacing w:after="0" w:line="180" w:lineRule="exact"/>
        <w:rPr>
          <w:sz w:val="20"/>
          <w:szCs w:val="20"/>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and second phase of our Texas Western Products System (first half of 2024);</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natural gas processing train at Mentone in the Delaware Basin (first quarter of 2024);</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seventh natural gas processing train (“Leonidas”) in the Midland Basin (first quarter of 2024);</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gathering expansion projects in the Delaware and Midland Basins (2024 and first half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LPG and PGP export capacity at EHT (first half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Bahia NGL Pipeline (first half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NGL fractionator (“Frac 14”) and an associated DIB unit in Chambers County, Texas (second half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first natural gas processing train at our Mentone West location in the Delaware Basin (second half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eighth natural gas processing train (“Orion”) in the Midland Basin (second half of 2025);</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expansion of our Morgan’s Point terminal to increase ethylene export capacity (second half of 2024 and second half of 2025); and</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Neches River Ethane / Propane Export Facility located in Orange County, Texas (second half of 2025 and first half of 2026).</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information currently available, we expect our total capital investments for 2024, net of contributions from noncontrolling interests, to approximate $3.8 billion to $4.3 billion, which reflects growth capital investments of $3.25 billion to $3.75 billion and sustaining capital expenditures of $550 million. These amounts do not include capital investments associated with SPOT, our proposed deep-water offshore crude oil terminal, which remains subject to the Department of Transportation’s Maritime Administration’s issuance of a license for SPOT. We received a favorable ROD from the Maritime Administration for SPOT during the fourth quarter of 2022 and we believe we have satisfied the remaining conditions to obtain the deep-water port license. While we anticipate that the Maritime Administration will issue the license in 2024, we can give no assurance as to when or whether the project will ultimately be authorized to begin construction or operation.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forecast of capital investments is dependent upon our ability to generate the required funds from either operating cash flows or other means, including borrowings under debt agreements, the issuance of additional equity and debt securities, and potential divestitures. We may revise our forecast of capital investments due to factors beyond our control, such as adverse economic conditions, weather-related issues and changes in supplier prices resulting from raw material or labor shortages, supply chain disruptions or inflation. Furthermore, our forecast of capital investments may change over time based on future decisions by management, which may include changing the scope or timing of projects or cancelling projects altogether. Our success in raising capital, having the ability to increase revenues commensurate with cost increases and our ability to partner with other companies to share project costs and risks continue to be significant factors in determining how much capital we can invest. We believe our access to capital resources is sufficient to meet the demands of our current and future growth needs, and although we currently expect to make the forecast capital investments noted above, we may revise our plans in response to changes in economic and capital market conditions.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capital investments for the years indicated (dollars in millions):</w:t>
      </w:r>
    </w:p>
    <w:p>
      <w:pPr>
        <w:spacing w:after="0" w:line="21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wp:posOffset>
            </wp:positionV>
            <wp:extent cx="156019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investments for property, plant and equipment: (1)</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Growth capital projects (2)</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2,844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1,606</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Sustaining capital projects (3)</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9"/>
                <w:szCs w:val="19"/>
                <w:color w:val="auto"/>
              </w:rPr>
            </w:pPr>
          </w:p>
        </w:tc>
      </w:tr>
      <w:tr>
        <w:trPr>
          <w:trHeight w:val="257"/>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3,266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1,964</w:t>
            </w:r>
          </w:p>
        </w:tc>
      </w:tr>
      <w:tr>
        <w:trPr>
          <w:trHeight w:val="209"/>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used for business combinations, net (4)</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3,204</w:t>
            </w:r>
          </w:p>
        </w:tc>
      </w:tr>
      <w:tr>
        <w:trPr>
          <w:trHeight w:val="210"/>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Investments in unconsolidated affiliates</w:t>
            </w:r>
          </w:p>
        </w:tc>
        <w:tc>
          <w:tcPr>
            <w:tcW w:w="76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right="80" w:hanging="372"/>
        <w:spacing w:after="0" w:line="233" w:lineRule="auto"/>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and sustaining capital amounts presented in the table above are presented on a cash basis. In total, these amounts represent “Capital expenditures” as presented on our Statements of Consolidated Cash Flows.</w:t>
      </w:r>
    </w:p>
    <w:p>
      <w:pPr>
        <w:ind w:left="380" w:right="80" w:hanging="372"/>
        <w:spacing w:after="0" w:line="221" w:lineRule="auto"/>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capital projects either (a) result in new sources of cash flow due to enhancements of or additions to existing assets (e.g., additional revenue streams, cost savings resulting from debottlenecking of a facility, etc.) or (b) expand our asset base through construction of new facilities that will generate additional revenue streams and cash flows.</w:t>
      </w:r>
    </w:p>
    <w:p>
      <w:pPr>
        <w:jc w:val="both"/>
        <w:ind w:left="380" w:right="80" w:hanging="372"/>
        <w:spacing w:after="0" w:line="221" w:lineRule="auto"/>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Sustaining capital projects are capital expenditures (as defined by GAAP) resulting from improvements to existing assets. Such expenditures serve to maintain existing operations but do not generate additional revenues or result in significant cost savings. Sustaining capital expenditures include the costs of major maintenance activities at our reaction-based plants, which are accounted for using the deferral method.</w:t>
      </w:r>
    </w:p>
    <w:p>
      <w:pPr>
        <w:ind w:left="380" w:hanging="372"/>
        <w:spacing w:after="0"/>
        <w:tabs>
          <w:tab w:leader="none" w:pos="3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for the year ended December 31, 2022 represents net cash used for the acquisition of our Midland Basin System, which closed in February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2023 with Year Ended December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total, investments in growth capital projects increased a net $1.2 billion year-to-year primarily due to the following:</w:t>
      </w:r>
    </w:p>
    <w:p>
      <w:pPr>
        <w:spacing w:after="0" w:line="225" w:lineRule="exact"/>
        <w:rPr>
          <w:sz w:val="20"/>
          <w:szCs w:val="20"/>
          <w:color w:val="auto"/>
        </w:rPr>
      </w:pPr>
    </w:p>
    <w:p>
      <w:pPr>
        <w:ind w:left="420" w:right="20" w:hanging="250"/>
        <w:spacing w:after="0" w:line="255" w:lineRule="auto"/>
        <w:tabs>
          <w:tab w:leader="none" w:pos="4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higher investments in natural gas gathering and processing projects in the Permian Basin (e.g., construction of six natural gas processing trains and related gathering systems), which accounted for a $761 million increase;</w:t>
      </w:r>
    </w:p>
    <w:p>
      <w:pPr>
        <w:spacing w:after="0" w:line="183" w:lineRule="exact"/>
        <w:rPr>
          <w:rFonts w:ascii="Times New Roman" w:cs="Times New Roman" w:eastAsia="Times New Roman" w:hAnsi="Times New Roman"/>
          <w:sz w:val="20"/>
          <w:szCs w:val="20"/>
          <w:color w:val="auto"/>
        </w:rPr>
      </w:pPr>
    </w:p>
    <w:p>
      <w:pPr>
        <w:ind w:left="420" w:hanging="250"/>
        <w:spacing w:after="0" w:line="255" w:lineRule="auto"/>
        <w:tabs>
          <w:tab w:leader="none" w:pos="4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higher investments in ethane, ethylene and LPG export expansion projects at our Gulf Coast terminals, which accounted for a $295 million increase; and</w:t>
      </w:r>
    </w:p>
    <w:p>
      <w:pPr>
        <w:spacing w:after="0" w:line="183" w:lineRule="exact"/>
        <w:rPr>
          <w:rFonts w:ascii="Times New Roman" w:cs="Times New Roman" w:eastAsia="Times New Roman" w:hAnsi="Times New Roman"/>
          <w:sz w:val="20"/>
          <w:szCs w:val="20"/>
          <w:color w:val="auto"/>
        </w:rPr>
      </w:pPr>
    </w:p>
    <w:p>
      <w:pPr>
        <w:ind w:left="420" w:hanging="250"/>
        <w:spacing w:after="0"/>
        <w:tabs>
          <w:tab w:leader="none" w:pos="4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higher investments in our Texas Western Products System, which accounted for a $245 million increase; partially offset by</w:t>
      </w:r>
    </w:p>
    <w:p>
      <w:pPr>
        <w:spacing w:after="0" w:line="215" w:lineRule="exact"/>
        <w:rPr>
          <w:rFonts w:ascii="Times New Roman" w:cs="Times New Roman" w:eastAsia="Times New Roman" w:hAnsi="Times New Roman"/>
          <w:sz w:val="20"/>
          <w:szCs w:val="20"/>
          <w:color w:val="auto"/>
        </w:rPr>
      </w:pPr>
    </w:p>
    <w:p>
      <w:pPr>
        <w:ind w:left="420" w:hanging="250"/>
        <w:spacing w:after="0"/>
        <w:tabs>
          <w:tab w:leader="none" w:pos="4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lower investments in PDH 2 (placed into service in July 2023) at our Chambers County complex, which accounted for a $76 million decrease.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Investments attributable to sustaining capital projects increased $64 million year-to-year primarily due to fluctuations in timing and costs of pipeline integrity and similar projects.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average maturity of EPO’s consolidated debt obligations was approximately 19.1 years. The following table presents the scheduled maturities of principal amounts of EPO’s consolidated debt obligations and associated estimated cash payments for interest at December 31, 2023 for the years indicated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Principal amount of debt</w:t>
            </w: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29,021</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1,300</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1,150</w:t>
            </w:r>
          </w:p>
        </w:tc>
        <w:tc>
          <w:tcPr>
            <w:tcW w:w="24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1,625</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23,371</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obligations</w:t>
            </w:r>
          </w:p>
        </w:tc>
        <w:tc>
          <w:tcPr>
            <w:tcW w:w="3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Estimated cash payments for</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26,940</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1,300</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1,256</w:t>
            </w:r>
          </w:p>
        </w:tc>
        <w:tc>
          <w:tcPr>
            <w:tcW w:w="2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1,187</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1,160</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1,149</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20,888</w:t>
            </w:r>
          </w:p>
        </w:tc>
        <w:tc>
          <w:tcPr>
            <w:tcW w:w="0" w:type="dxa"/>
            <w:vAlign w:val="bottom"/>
          </w:tcPr>
          <w:p>
            <w:pPr>
              <w:spacing w:after="0"/>
              <w:rPr>
                <w:sz w:val="1"/>
                <w:szCs w:val="1"/>
                <w:color w:val="auto"/>
              </w:rPr>
            </w:pPr>
          </w:p>
        </w:tc>
      </w:tr>
      <w:tr>
        <w:trPr>
          <w:trHeight w:val="188"/>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(1)</w:t>
            </w:r>
          </w:p>
        </w:tc>
        <w:tc>
          <w:tcPr>
            <w:tcW w:w="3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jc w:val="both"/>
        <w:ind w:left="360" w:hanging="352"/>
        <w:spacing w:after="0" w:line="233" w:lineRule="auto"/>
        <w:tabs>
          <w:tab w:leader="none" w:pos="3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cash payments for interest are based on the principal amount of our consolidated debt obligations outstanding at December 31, 2023, the contractually scheduled maturities of such balances, and the applicable interest rates. Our estimated cash payments for interest are influenced by the long-term maturities of our $2.3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2023, as applicable, for each note through the respective maturity date.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2023, EPO issued $1.75 billion aggregate principal amount of senior notes comprised of (i) $750 million principal amount of senior notes due January 2026 (“Senior Notes FFF”) and (ii) $1.0 billion principal amount of senior notes due January 2033 (“Senior Notes GGG”). Senior Notes FFF were issued at 99.893% of their principal amount and have a fixed interest rate of 5.05% per year. Senior Notes GGG were issued at 99.803% of their principal amount and have a fixed interest rate of 5.35% per year. Net proceeds from this offering were used by EPO for general company purposes, including for growth capital investments, and the repayment of debt (including the repayment of all of our $1.25 billion principal amount of 3.35% Senior Notes HH at their maturity in March 2023 and amounts outstanding under our commercial paper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EPO entered into a new 364-Day Revolving Credit Agreement (the “March 2023 $1.5 Billion 364-Day Revolving Credit Agreement”) that replaced its September 2022 364-Day Revolving Credit Agreement. The March 2023 $1.5 Billion 364-Day Revolving Credit Agreement matures in March 2024. EPO’s borrowing capacity was unchanged from the prior 364-day revolving credit agreement. As of December 31, 2023, there are no principal amounts outstanding under this new revolving credit agreement. EPO expects to renew this credit agreement during the first quarter of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2023, EPO entered into a new revolving credit agreement that matures in March 2028 (the “March 2023 $2.7 Billion Multi-Year Revolving Credit Agreement”). The March 2023 $2.7 Billion Multi-Year Revolving Credit Agreement replaced EPO’s prior multi-year revolving credit agreement that was scheduled to mature in September 2026. We proposed to reduce EPO’s borrowing capacity from $3.0 billion under the prior multi-year revolving credit agreement to $2.7 billion under the March 2023 $2.7 Billion Multi-Year Revolving Credit Agreement. Under the new agreement, EPO retains the right to increase its borrowing capacity by up to $500 million to $3.2 billion, provided certain conditions for the election are met. As of December 31, 2023, there are no principal amounts outstanding under this new revolving credit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2024, EPO issued $2.0 billion aggregate principal amount of senior notes comprised of (i) $1.0 billion principal amount of Senior Notes HHH and (ii) $1.0 billion principal amount of Senior Notes III. Senior Notes HHH were issued at 99.897% of their principal amount and have a fixed interest rate of 4.60% per year. Senior Notes III were issued at 99.705% of their principal amount and have a fixed interest rate of 4.85% per year. Net proceeds from this offering will be used by EPO for general company purposes, including for growth capital investments, and the repayment of debt (including the repayment of all or a portion of our $850 million principal amount of 3.90% Senior Notes JJ at their maturity in February 2024 and amounts outstanding under our commercial paper program).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consolidated debt obligations, see Note 7 of the Notes to Consolidated Financial Statements included under Part II, Item 8 of this annual report.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February 28, 2024, the investment-grade credit ratings of EPO’s long-term senior unsecured debt securities were A- from Standard and Poor’s, A3 from Moody’s and A- from Fitch Ratings. In addition, the credit ratings of EPO’s short-term senior unsecured debt securities were A-2 from Standard and Poor’s, P-2 from Moody’s and F-2 from Fitch Ratings. EPO’s credit ratings reflect only the view of a rating agency and should not be interpreted as a recommendation to buy, sell or hold any of our securities. A credit rating can be revised upward or downward or withdrawn at any time by a rating agency, if it determines that circumstances warrant such a change. A credit rating from one rating agency should be evaluated independently of credit ratings from other rating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Purchase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unconditional product purchase commitments at December 31, 2023 for the years indicated (dollars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Product purchase</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11,924</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2,576</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2,539</w:t>
            </w:r>
          </w:p>
        </w:tc>
        <w:tc>
          <w:tcPr>
            <w:tcW w:w="24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1,932</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1,827</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1,511</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1,539</w:t>
            </w:r>
          </w:p>
        </w:tc>
        <w:tc>
          <w:tcPr>
            <w:tcW w:w="0" w:type="dxa"/>
            <w:vAlign w:val="bottom"/>
          </w:tcPr>
          <w:p>
            <w:pPr>
              <w:spacing w:after="0"/>
              <w:rPr>
                <w:sz w:val="1"/>
                <w:szCs w:val="1"/>
                <w:color w:val="auto"/>
              </w:rPr>
            </w:pPr>
          </w:p>
        </w:tc>
      </w:tr>
      <w:tr>
        <w:trPr>
          <w:trHeight w:val="171"/>
        </w:trPr>
        <w:tc>
          <w:tcPr>
            <w:tcW w:w="1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commitments</w:t>
            </w:r>
          </w:p>
        </w:tc>
        <w:tc>
          <w:tcPr>
            <w:tcW w:w="7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long-term product purchase commitments for natural gas, NGLs, crude oil, and petrochemicals and refined products with third party suppliers. The prices that we are obligated to pay under these contracts approximate market prices at the time we take delivery of the volumes. The preceding table presents our estimated future payment obligations under these contracts based on the contractual price in each agreement at December 31, 2023 applied to all future volume commitments. Actual future payment obligations may vary depending on prices at the time of delivery.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product purchase commitments, see Note 17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Declares Cash Distribution for Fourth Quarter of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8, 2024, we announced that the Board declared a quarterly cash distribution of $0.515 per common unit, or $2.06 per common unit on an annualized basis, to be paid to the Partnership’s common unitholders with respect to the fourth quarter of 2023. The quarterly distribution was paid on February 14, 2024 to unitholders of record as of the close of business on January 31, 2024. The total amount paid was $1.13 billion, which includes $10 million for distribution equivalent rights on phantom unit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 Repurchases Under 2019 Buyback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2019, we announced that the Board had approved a $2.0 billion multi-year unit buyback program (the “2019 Buyback Program”), which provides the Partnership with an additional method to return capital to investors. The 2019 Buyback Program authorizes the Partnership to repurchase its common units from time to time, including through open market purchases and negotiated transactions. The timing and pace of buy backs under the program will be determined by a number of factors including (i) our financial performance and flexibility, (ii) organic growth and acquisition opportunities with higher potential returns on investment, (iii) the market price of the Partnership’s common units and implied cash flow yield and (iv) maintaining targeted financial leverage, which is currently a debt-to-normalized adjusted EBITDA (earnings before interest, taxes, depreciation and amortization) ratio in the range of 2.75 to 3.25 times. No time limit has been set for completion of the 2019 Buyback Program, and it may be suspended or discontinued at any time.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repurchased an aggregate 7,244,540 common units under the 2019 Buyback Program through open market purchases during the year ended December 31, 2023. The total cost of these repurchases, including commissions and fees, was $188 million. Common units repurchased under the 2019 Buyback Program are immediately cancelled upon acquisition. As of December 31, 2023, the remaining available capacity under the 2019 Buyback Program was $1.1 billion.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Equity Interests From Western Midstream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16, 2024, we acquired the remaining 20% equity interest in Whitethorn and 25% equity interest in EF78 from affiliates of Western Midstream for total cash consideration of $375 million. We funded the cash consideration using cash on hand and proceeds from the issuance of short-term notes under EPO’s commercial paper program.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 February 16, 2024, an affiliate of Enterprise entered into a definitive agreement to acquire an additional 15% equity interest in Panola from an affiliate of Western Midstream for $25 million in cash consideration. The acquisition is subject to the preferential purchase rights of other members in Panola to participate in the acquisition. This transaction, which is expected to close by April 1, 2024, will be funded using cash on hand and proceeds from the issuance of short-term notes under EPO’s commercial paper program.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these transactions, see Note 20 of the Notes to Consolidated Financial Statements included under Part II, Item 8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financial reporting processes, we employ methods, estimates and assumptions that affect the reported amounts of assets and liabilities and disclosure of contingent assets and liabilities as of the date of our financial statements. These methods, estimates and assumptions also affect the reported amounts of revenues and expenses for each reporting period. Investors should be aware that actual results could differ from these estimates if the underlying assumptions prove to be incorrect. The following sections discuss the use of estimates within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Methods and Estimated Useful Lives of Property, Plant and Equipment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Depreciation expense incorporates management estimates regarding the useful economic lives and residual values of our assets. At the time we place our assets into service, we believe such assumptions are reasonable; however, circumstances may develop that cause us to change these assumptions, which would change our depreciation amounts prospectively. Examples of such circumstances include (i) changes in laws and regulations that limit the estimated economic life of an asset, (ii) changes in technology that render an asset obsolete, (iii) changes in expected salvage values or (iv) significant changes in our forecast of the remaining life for the associated resource basins, if applicable.</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December 31, 2023 and 2022, the net carrying value of our property, plant and equipment was $45.8 billion and $44.4 billion, respectively. We recorded $1.9 billion and $1.8 billion of depreciation expense during the years ended December 31, 2023 and 2022, respectively. For information regarding our property, plant and equipment, see Note 4 of the Notes to Consolidated Financial Statements included under Part II, Item 8 of this annual report.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Measuring Recoverability of Long-Lived Assets and Fair Value of Equity Method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which consist of intangible assets with finite useful lives and property, plant and equipment, are reviewed for impairment whenever events or changes in circumstances indicate that the carrying amount of such assets may not be recoverable. Examples of such events or changes might be production declines that are not replaced by new discoveries or long-term decreases in the demand for or price of natural gas, NGLs, crude oil, petrochemicals or refined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a long-lived asset is deemed not recoverable if it exceeds the sum of undiscounted estimated cash flows expected to result from the use and eventual disposition of the asset. Estimates of undiscounted cash flows are based on a number of assumptions including anticipated operating margins and volumes; estimated useful life of the asset or asset group; and estimated residual values. If the carrying value of a long-lived asset is not recoverable, an impairment charge would be recorded for the excess of the asset’s carrying value over its estimated fair value, which is derived from an analysis of the asset’s estimated future discounted cash flows, the market value of similar assets and replacement cost of the asset less any applicable depreciation or amortization. In addition, fair value estimates also include the usage of probabilities when there is a range of possible outcomes.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our equity method investments for impairment when there are events or changes in circumstances that indicate there is a potential loss in value of the investment attributable to an other-than-temporary decline. Examples of such events or changes in circumstances include continuing operating losses of the entity and/or long-term negative changes in the entity’s industry. In the event we determine that the value of an investment is not recoverable due to an other-than-temporary decline, we record a non-cash impairment charge to adjust the carrying value of the investment to its estimated fair value. We assess the fair value of our equity method investments using commonly accepted techniques, and may use more than one method, including, but not limited to, recent third party sales and discounted estimated cash flow models. Estimates of discounted cash flows are based on a number of assumptions including discount rates; probabilities assigned to different cash flow scenarios; anticipated margins and volumes and estimated useful lives of the investment’s underlying assets.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change in the assumptions we use to measure recoverability of long-lived assets and the fair value of equity method investments could result in our recording a non-cash impairment charge. Any write-down of the carrying values of such assets would increase operating costs and expenses at that 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and 2022, we recognized non-cash asset impairment charges attributable to assets other than goodwill totaling $32 million and $53 million, respectively. For information regarding impairment charges involving property, plant and equipment see Note 4 of the Notes to Consolidated Financial Statements included under Part II, Item 8 of this annual report. We did not recognize any impairment charges in connection with our equity-method investments during the years ended December 31, 2023 and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Methods of Customer Relationships and Contract-Based Intangible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specific, identifiable intangible assets of an acquired business depend largely upon the nature of its operations and include items such as customer relationships and contracts.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relationship intangible assets represent the estimated economic value assigned to commercial relationships acquired in connection with business combinations. In certain instances, the acquisition of these intangible assets provides us with access to customers in a defined resource basin and is analogous to having a franchise in a particular area. Efficient operation of the acquired assets (e.g., a natural gas gathering system) helps to support the commercial relationships with existing producers and provides us with opportunities to establish new ones within our existing asset footprint. The duration of this type of customer relationship is limited by the estimated economic life of the associated resource basin that supports the customer group. When estimating the economic life of a resource basin, we consider a number of factors, including reserve estimates and the economic viability of production and exploration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other situations, the acquisition of a customer relationship intangible asset provides us with access to customers whose hydrocarbon volumes are not attributable to specific resource basins. As with basin-specific customer relationships, efficient operation of the associated assets (e.g., a marine terminal that handles volumes originating from multiple sources) helps to support the commercial relationships with existing customers and provides us with opportunities to establish new ones. The duration of this type of customer relationship is typically limited to the term of the underlying service contracts, including assumed renewals.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value we assign to customer relationships is amortized to earnings using methods that closely resemble the pattern in which the estimated economic benefits will be consumed (i.e., the manner in which the intangible asset is expected to contribute directly or indirectly to our cash flows). For example, the amortization period for a basin-specific customer relationship asset is limited by the estimated finite economic life of the associated hydrocarbon resource basin.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Contract-based intangible assets represent specific commercial rights we own arising from discrete contractual agreements. A contract-based intangible asset with a finite life is amortized over its estimated economic life, which is the period over which the contract is expected to contribute directly or indirectly to our cash flows. Our estimates of the economic life of contract-based intangible assets are based on a number of factors, including (i) the expected useful life of the related tangible assets (e.g., a marine terminal, pipeline or other asset), (ii) any legal or regulatory developments that would impact such contractual rights and (iii) any contractual provisions that enable us to renew or extend such arrangements.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regarding the estimated economic life of an intangible asset were to change, then the amortization period for such asset would be adjusted accordingly. Changes in the estimated useful life of an intangible asset would impact operating costs and expenses prospectively from the date of change.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and 2022, the carrying value of our customer relationship and contract-based intangible asset portfolio was $3.8 billion and $4.0 billion, respectively. We recorded $201 million and $177 million of amortization expense attributable to intangible assets during the years ended December 31, 2023 and 2022, respectively. For information regarding our intangible assets, see Note 6 of the Notes to Consolidated Financial Statements included under Part II, Item 8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Methods We Employ to Measure the Fair Value of Goodwill and Related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goodwill balance was $5.6 billion at December 31, 2023 and 2022. Goodwill, which represents the cost of an acquired business in excess of the fair value of its net assets at the acquisition date, is subject to annual impairment testing in the fourth quarter of each year or when events or changes in circumstances indicate that the carrying amount of the goodwill may not be recoverable. Goodwill impairment charges represent the amount by which a reporting unit’s carrying value (including its respective goodwill) exceeds its fair value, not to exceed the carrying amount of the reporting unit’s goodwill.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the fair value of each reporting unit using accepted valuation techniques, primarily through the use of discounted cash flows (i.e., an income approach to fair value) supplemented by market-based assessments, if available. The estimated fair values of our reporting units incorporate assumptions regarding the future economic prospects of the assets and operations that comprise each reporting unit including: (i) discrete financial forecasts for the assets comprising the reporting unit, which, in turn, rely on management’s estimates of long-term operating margins, throughput volumes, capital investments and similar factors; (ii) long-term growth rates for the reporting unit’s cash flows beyond the discrete forecast period; and (iii) appropriate discount rates. The fair value estimates are based on Level 3 inputs of the fair value hierarchy. We believe that the assumptions we use in estimating reporting unit fair values are consistent with those that market participants would use in their fair value estimation process. However, due to uncertainties in the estimation process and volatility in the supply and demand for hydrocarbons and similar risk factors, actual results could differ significantly from our estimates.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record any goodwill impairment charges during the year ended December 31, 2023. Based on our most recent goodwill impairment test at December 31, 2023, the estimated fair value of each of our reporting units was substantially in excess of its carrying value (i.e., by at least 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our goodwill, see Note 6 of the Notes to Consolidated Financial Statements included under Part II, Item 8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for Revenues and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previously, preparing our consolidated financial statements in conformity with GAAP requires us to make estimates that affect amounts presented in the financial statements. Due to the time required to compile actual billing information and receive third party data needed to record transactions, we routinely employ estimates in connection with revenue and expense amounts in order to meet our accelerated financial reporting deadlines.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routine estimates involve revenues and costs of certain natural gas processing facilities, pipeline transportation revenues, fractionation revenues, marketing revenues and related purchases, and power and utility costs. These types of transactions must be estimated since the actual amounts are generally unavailable at the time we complete our accounting close process. The estimates subsequently reverse in the next accounting period when the corresponding actual customer billing or vendor-invoiced amounts are recorded.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facts and circumstances may result in revised estimates, which could affect our reported financial statements and accompanying disclosures. Prior to issuing our financial statements, we review our revenue and expense estimates based on currently available information to determine if adjustments are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Parent-Subsidiary Guarantor Relationship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 (the “Parent Guarantor”) has guaranteed the payment of principal and interest on the consolidated debt obligations of EPO (the “Subsidiary Issuer”), with the exception of the remaining debt obligations of TEPPCO Partners, L.P. (collectively, the “Guaranteed Debt”). If EPO were to default on any of its Guaranteed Debt, the Partnership would be responsible for full and unconditional repayment of such obligations. At December 31, 2023, the total amount of Guaranteed Debt was $29.5 billion, which was comprised of $26.3 billion of EPO’s senior notes, $2.3 billion of EPO’s junior subordinated notes, $450 million of short-term commercial paper notes and $455 million of related accrued interest.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Partnership’s guarantees of EPO’s senior note obligations, commercial paper notes and borrowings under bank credit facilities represent unsecured and unsubordinated obligations of the Partnership that rank equal in right of payment to all other existing or future unsecured and unsubordinated indebtedness of the Partnership. In addition, these guarantees effectively rank junior in right of payment to any existing or future indebtedness of the Partnership that is secured and unsubordinated, to the extent of the assets securing such indebtedness.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Partnership’s guarantees of EPO’s junior subordinated notes represent unsecured and subordinated obligations of the Partnership that rank equal in right of payment to all other existing or future subordinated indebtedness of the Partnership and senior in right of payment to all existing or future equity securities of the Partnership. The Partnership’s guarantees of EPO’s junior subordinated notes effectively rank junior in right of payment to (i) any existing or future indebtedness of the Partnership that is secured, to the extent of the assets securing such indebtedness and (ii) all other existing or future unsecured and unsubordinated indebtedness of the Partnership.</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may be released from its guarantee obligations only in connection with EPO’s exercise of its legal or covenant defeasance options as described in the underlying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Selected Financial Information of Obligor Group</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the Partnership (as Parent Guarantor) and EPO (as Subsidiary Issuer) on a combined basis (collectively, the “Obligor Group”), after the elimination of intercompany balances and transactions among the Obligor Group.</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Rule 13.01 of Regulation S-X, the summarized financial information of the Obligor Group excludes the Obligor Group’s equity in income and investments in the consolidated subsidiaries of EPO that are not party to the guarantee obligations (the “Non-Obligor Subsidiaries”). The total carrying value of the Obligor Group’s investments in the Non-Obligor Subsidiaries was $46.8 billion at December 31, 2023. The Obligor Group’s equity in the earnings of the Non-Obligor Subsidiaries for the year ended December 31, 2023 was $6.0 billion. Although the net assets and earnings of the Non-Obligor Subsidiaries are not directly available to the holders of the Guaranteed Debt to satisfy the repayment of such obligations, there are no significant restrictions on the ability of the Non-Obligor Subsidiaries to pay distributions or make loans to EPO or the Partnership. EPO exercises control over the Non-Obligor Subsidiaries. We continue to believe that the consolidated financial statements of the Partnership presented under Item 8 of this annual report provide a more appropriate view of our credit standing. Our investment grade credit ratings are based on the Partnership’s consolidated financial statements and not the Obligor Group’s financial information presented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balance sheet information for the combined Obligor Group at December 31, 2023 (dollars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asset information:</w:t>
            </w:r>
          </w:p>
        </w:tc>
        <w:tc>
          <w:tcPr>
            <w:tcW w:w="2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receivables from Non-Obligor Subsidiaries</w:t>
            </w:r>
          </w:p>
        </w:tc>
        <w:tc>
          <w:tcPr>
            <w:tcW w:w="27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2,569</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5,416</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receivables from Non-Obligor Subsidiaries</w:t>
            </w: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noncurrent assets, excluding investments in Non-Obligor Subsidiaries of $46.8 billion</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9,185</w:t>
            </w:r>
          </w:p>
        </w:tc>
      </w:tr>
      <w:tr>
        <w:trPr>
          <w:trHeight w:val="216"/>
        </w:trPr>
        <w:tc>
          <w:tcPr>
            <w:tcW w:w="77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liability information:</w:t>
            </w: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Guaranteed Debt, including interest of $455 million</w:t>
            </w:r>
          </w:p>
        </w:tc>
        <w:tc>
          <w:tcPr>
            <w:tcW w:w="27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1,755</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payables to Non-Obligor Subsidiaries</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1,567</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4,239</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portion of Guaranteed Debt, principal only</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27,707</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payables to Non-Obligor Subsidiaries</w:t>
            </w: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7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r>
      <w:tr>
        <w:trPr>
          <w:trHeight w:val="216"/>
        </w:trPr>
        <w:tc>
          <w:tcPr>
            <w:tcW w:w="77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Mezzanine equity of Obligor Group:</w:t>
            </w: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units</w:t>
            </w:r>
          </w:p>
        </w:tc>
        <w:tc>
          <w:tcPr>
            <w:tcW w:w="27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summarized income statement information for the combined Obligor Group for the year ended December 31, 2023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from Non-Obligor Subsidiaries</w:t>
            </w:r>
          </w:p>
        </w:tc>
        <w:tc>
          <w:tcPr>
            <w:tcW w:w="25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17,344</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Revenues from other sources</w:t>
            </w:r>
          </w:p>
        </w:tc>
        <w:tc>
          <w:tcPr>
            <w:tcW w:w="25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15,375</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of Obligor Group</w:t>
            </w:r>
          </w:p>
        </w:tc>
        <w:tc>
          <w:tcPr>
            <w:tcW w:w="2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835</w:t>
            </w:r>
          </w:p>
        </w:tc>
      </w:tr>
      <w:tr>
        <w:trPr>
          <w:trHeight w:val="233"/>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Net loss of Obligor Group, excluding equity in earnings of Non-Obligor Subsidiaries of $6.0 billion</w:t>
            </w:r>
          </w:p>
        </w:tc>
        <w:tc>
          <w:tcPr>
            <w:tcW w:w="2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our related party transactions, see Note 15 of the Notes to Consolidated Financial Statements included under Part II, Item 8 of this annual report as well as Part III, Item 13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29, 2021, the Internal Revenue Service (“IRS”) issued a Notice of Selection for Examination to EPO, stating that the IRS has selected its 2019 and 2020 partnership tax returns for examination. On January 6, 2022, the IRS issued a Notice of Selection for Examination to the Partnership stating that the IRS has selected our 2019 and 2020 partnership tax returns for examination. These are routine compliance examinations of various items of income, gain, deductions, losses and credits of EPO and the Partnership, respectively, during the years under examination.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insurance matters, see Note 18 of the Notes to Consolidated Financial Statements included under Part II, Item 8 of this annual report.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and other instruments with similar characteristics. Substantially all of our derivatives are used for non-trading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risk associated with each of our derivative instrument portfolios using a sensitivity analysis model. This approach measures the change in fair value of the derivative instrument portfolio based on a hypothetical 10% change in the underlying interest rates or quoted market prices on a particular day. In addition to these variables, the fair value of each portfolio is influenced by changes in the notional amounts of the instruments outstanding. The sensitivity analysis approach does not reflect the impact that the same hypothetical price movement would have on the hedged exposures to which they relate. Therefore, the impact on the fair value of a derivative instrument resulting from a change in interest rates or quoted market prices (as applicable) would normally be offset by a corresponding gain or loss on the hedged debt instrument, inventory value or forecasted transaction assuming:</w:t>
      </w:r>
    </w:p>
    <w:p>
      <w:pPr>
        <w:spacing w:after="0" w:line="187" w:lineRule="exact"/>
        <w:rPr>
          <w:sz w:val="20"/>
          <w:szCs w:val="20"/>
          <w:color w:val="auto"/>
        </w:rPr>
      </w:pPr>
    </w:p>
    <w:p>
      <w:pPr>
        <w:ind w:left="420" w:hanging="250"/>
        <w:spacing w:after="0"/>
        <w:tabs>
          <w:tab w:leader="none" w:pos="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instrument functions effectively as a hedge of the underlying risk;</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instrument is not closed out in advance of its expected term; and</w:t>
      </w:r>
    </w:p>
    <w:p>
      <w:pPr>
        <w:spacing w:after="0" w:line="22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hedged forecasted transaction occurs within the expected time period.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routinely review the effectiveness of our derivative instrument portfolios in light of current market conditions. Accordingly, the nature and volume of our derivative instruments may change depending on the specific exposure being managed.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14 of the Notes to Consolidated Financial Statements included under Part II, Item 8 of this annual report for additional information regarding our derivative instruments and hedging activities.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of energy commodities such as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 For a summary of our portfolio of commodity derivative instruments outstanding, see Note 14 of the Notes to Consolidated Financial Statements included under Part II, Item 8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effect of hypothetical price movements on the estimated fair values of our principal commodity derivative instrument portfolios at the dates indicated (dollars in millions).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information presented in the sensitivity analysis tables excludes the impact of applying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marketing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0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and refined products marketing, natural gas processing and octane enhancement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3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(29)</w:t>
            </w: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marketing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1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tcPr>
          <w:p>
            <w:pPr>
              <w:spacing w:after="0"/>
              <w:rPr>
                <w:sz w:val="10"/>
                <w:szCs w:val="10"/>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3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193</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energy derivative portfolio</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30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3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28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0"/>
                <w:szCs w:val="10"/>
                <w:color w:val="auto"/>
              </w:rPr>
            </w:pPr>
          </w:p>
        </w:tc>
        <w:tc>
          <w:tcPr>
            <w:tcW w:w="116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102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2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no change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increase in underlying commodity</w:t>
            </w:r>
          </w:p>
        </w:tc>
        <w:tc>
          <w:tcPr>
            <w:tcW w:w="300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tcPr>
          <w:p>
            <w:pPr>
              <w:spacing w:after="0"/>
              <w:rPr>
                <w:sz w:val="10"/>
                <w:szCs w:val="10"/>
                <w:color w:val="auto"/>
              </w:rPr>
            </w:pP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assuming 10% decrease in underlying commodity</w:t>
            </w:r>
          </w:p>
        </w:tc>
        <w:tc>
          <w:tcPr>
            <w:tcW w:w="3000" w:type="dxa"/>
            <w:vAlign w:val="bottom"/>
            <w:vMerge w:val="restart"/>
            <w:shd w:val="clear" w:color="auto" w:fill="CCEEFF"/>
          </w:tcPr>
          <w:p>
            <w:pPr>
              <w:jc w:val="center"/>
              <w:ind w:right="52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2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prices</w:t>
            </w:r>
          </w:p>
        </w:tc>
        <w:tc>
          <w:tcPr>
            <w:tcW w:w="3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filing date of this annual report, we do not have any interest rate hedging derivative instruments outstanding.</w:t>
      </w:r>
    </w:p>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begin on page F-1 of this annual report.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AND FINANCIAL DISCLOSURE.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management carried out an evaluation, with the participation of (i) A. James Teague, Co-Chief Executive Officer of Enterprise GP and (ii) W. Randall Fowler, Co-Chief Executive Officer and Chief Financial Officer of Enterprise GP, of the effectiveness of our disclosure controls and procedures pursuant to Rule 13a-15 of the Securities Exchange Act of 1934. Mr. Teague and Mr. Fowler are our co-principal executive officers and Mr. Fowler is also our principal financial officer. Based on this evaluation, as of the end of the period covered by this annual report, Messrs. Teague and Fowler concluded:</w:t>
      </w:r>
    </w:p>
    <w:p>
      <w:pPr>
        <w:spacing w:after="0" w:line="183" w:lineRule="exact"/>
        <w:rPr>
          <w:sz w:val="20"/>
          <w:szCs w:val="20"/>
          <w:color w:val="auto"/>
        </w:rPr>
      </w:pPr>
    </w:p>
    <w:p>
      <w:pPr>
        <w:jc w:val="both"/>
        <w:ind w:left="340" w:hanging="332"/>
        <w:spacing w:after="0" w:line="261"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disclosure controls and procedures are designed to ensure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financial officers, as appropriate to allow for timely decisions regarding required disclosures; and</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disclosure controls and procedures are effective.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 13a-15(f) under the Securities Exchange Act of 1934) during the fourth quarter of 2023, that have materially affected, or are reasonably likely to materially affect,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and 906 Certifications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required certifications of Messrs. Teague and Fowler under Sections 302 and 906 of the Sarbanes-Oxley Act of 2002 are included as exhibits to this annual report (see Exhibits 31 and 32 under Part IV, Item 15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 FINANCIAL REPORTING AS OF DECEMBER 31, 2023</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management of Enterprise Products Partners L.P. and its consolidated subsidiaries, including its Co-Chief Executive Officer and its Co-Chief Executive Officer and Chief Financial Officer, is responsible for establishing and maintaining adequate internal control over financial reporting, as defined in Rules 13a-15(f) and 15d-15(f) of the Securities Exchange Act of 1934, as amended. Our internal control system was designed to provide reasonable assurance to the management of Enterprise Products Partners L.P. and the Board of Directors of its general partner regarding the preparation and fair presentation of Enterprise Products Partners L.P.’s published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Enterprise Products Partners L.P.’s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This assessment included a review of the design and operating effectiveness of internal controls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well as the safeguarding of assets. Based on our assessment, we believe that, as of December 31, 2023, Enterprise Products Partners L.P.’s internal control over financial reporting is effective based on those criteria.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and Conflicts Committee is comprised of independent directors who are not officers or employees of our general partner. This committee meets regularly with members of management, internal audit staff and representatives of Deloitte &amp; Touche LLP, which is our independent registered public accounting firm, to discuss the adequacy of Enterprise Products Partners L.P.’s internal controls over financial reporting, consolidated financial statements and the nature, extent and results of the audit effort. Management reviews all of Enterprise Products Partners L.P.’s significant accounting policies and assumptions that affect its results of operations with the Audit and Conflicts Committee. Both the independent registered public accounting firm and our internal auditors have direct access to the Audit and Conflicts Committee without the presence of management.</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Deloitte &amp; Touche LLP has issued its attestation report regarding our internal control over financial reporting. See “</w:t>
      </w:r>
      <w:r>
        <w:rPr>
          <w:rFonts w:ascii="Times New Roman" w:cs="Times New Roman" w:eastAsia="Times New Roman" w:hAnsi="Times New Roman"/>
          <w:sz w:val="18"/>
          <w:szCs w:val="18"/>
          <w:i w:val="1"/>
          <w:iCs w:val="1"/>
          <w:color w:val="auto"/>
        </w:rPr>
        <w:t>Report of Independent 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Accounting Firm</w:t>
      </w:r>
      <w:r>
        <w:rPr>
          <w:rFonts w:ascii="Times New Roman" w:cs="Times New Roman" w:eastAsia="Times New Roman" w:hAnsi="Times New Roman"/>
          <w:sz w:val="18"/>
          <w:szCs w:val="18"/>
          <w:color w:val="auto"/>
        </w:rPr>
        <w:t>” included within this Part II, Item 9A.</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Rules 13a-15(f) and 15d-15(f) of the Securities Exchange Act of 1934, as amended, this annual report on Internal Control Over Financial Reporting has been signed below by the following persons on behalf of the registrant and in their respective capacities indicated below on February 28, 2024.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 A. James Teague</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W. Randall Fowler</w:t>
            </w:r>
          </w:p>
        </w:tc>
      </w:tr>
      <w:tr>
        <w:trPr>
          <w:trHeight w:val="198"/>
        </w:trPr>
        <w:tc>
          <w:tcPr>
            <w:tcW w:w="7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240"/>
              <w:spacing w:after="0" w:line="198" w:lineRule="exact"/>
              <w:rPr>
                <w:sz w:val="20"/>
                <w:szCs w:val="20"/>
                <w:color w:val="auto"/>
              </w:rPr>
            </w:pPr>
            <w:r>
              <w:rPr>
                <w:rFonts w:ascii="Times New Roman" w:cs="Times New Roman" w:eastAsia="Times New Roman" w:hAnsi="Times New Roman"/>
                <w:sz w:val="18"/>
                <w:szCs w:val="18"/>
                <w:color w:val="auto"/>
              </w:rPr>
              <w:t>A. James Teague</w:t>
            </w:r>
          </w:p>
        </w:tc>
        <w:tc>
          <w:tcPr>
            <w:tcW w:w="320" w:type="dxa"/>
            <w:vAlign w:val="bottom"/>
          </w:tcPr>
          <w:p>
            <w:pPr>
              <w:spacing w:after="0"/>
              <w:rPr>
                <w:sz w:val="17"/>
                <w:szCs w:val="17"/>
                <w:color w:val="auto"/>
              </w:rPr>
            </w:pPr>
          </w:p>
        </w:tc>
        <w:tc>
          <w:tcPr>
            <w:tcW w:w="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top w:val="single" w:sz="8" w:color="auto"/>
            </w:tcBorders>
          </w:tcPr>
          <w:p>
            <w:pPr>
              <w:ind w:left="220"/>
              <w:spacing w:after="0" w:line="198" w:lineRule="exact"/>
              <w:rPr>
                <w:sz w:val="20"/>
                <w:szCs w:val="20"/>
                <w:color w:val="auto"/>
              </w:rPr>
            </w:pPr>
            <w:r>
              <w:rPr>
                <w:rFonts w:ascii="Times New Roman" w:cs="Times New Roman" w:eastAsia="Times New Roman" w:hAnsi="Times New Roman"/>
                <w:sz w:val="18"/>
                <w:szCs w:val="18"/>
                <w:color w:val="auto"/>
              </w:rPr>
              <w:t>W. Randall Fowler</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6"/>
        </w:trPr>
        <w:tc>
          <w:tcPr>
            <w:tcW w:w="720" w:type="dxa"/>
            <w:vAlign w:val="bottom"/>
          </w:tcPr>
          <w:p>
            <w:pPr>
              <w:spacing w:after="0"/>
              <w:rPr>
                <w:sz w:val="18"/>
                <w:szCs w:val="18"/>
                <w:color w:val="auto"/>
              </w:rPr>
            </w:pPr>
          </w:p>
        </w:tc>
        <w:tc>
          <w:tcPr>
            <w:tcW w:w="5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Enterprise Products Holdings LLC</w:t>
            </w:r>
          </w:p>
        </w:tc>
        <w:tc>
          <w:tcPr>
            <w:tcW w:w="700" w:type="dxa"/>
            <w:vAlign w:val="bottom"/>
          </w:tcPr>
          <w:p>
            <w:pPr>
              <w:spacing w:after="0"/>
              <w:rPr>
                <w:sz w:val="18"/>
                <w:szCs w:val="18"/>
                <w:color w:val="auto"/>
              </w:rPr>
            </w:pPr>
          </w:p>
        </w:tc>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7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Enterprise Products Holdings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Enterprise Products Holdings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Enterprise Products Partners 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Enterprise Products Partners L.P.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189" w:lineRule="exact"/>
        <w:rPr>
          <w:sz w:val="20"/>
          <w:szCs w:val="20"/>
          <w:color w:val="auto"/>
        </w:rPr>
      </w:pPr>
    </w:p>
    <w:p>
      <w:pPr>
        <w:jc w:val="both"/>
        <w:ind w:firstLine="53"/>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as of December 31, 2023.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of the Securities Exchange Act of 1934) of Enterprise GP adopted or terminated a “Rule 10b5-1 trading arrangement” or “non-Rule 10b5-1 trading arrangement,” as each term is defined in Item 408(a) of Regulation S-K.</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PARTNERSHIP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individuals currently serve as members of the Board of Directors of Enterprise GP (the “Board”): Richard H. Bachmann, Carin M. Barth, Murray E. Brasseux, Rebecca G. Followill, W. Randall Fowler, James T. Hackett, William C. Montgomery, John R. Rutherford, A. James Teague, Harry P. Weitzel and Randa Duncan Williams. Ms. Duncan Williams serves as the non-executive Chairman of the Board, and Mr. Bachmann serves as the non-executive Vice Chairman of the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Richard S. Snell serves as an advisory director for Enterprise GP, and O.S. Andras serves as an honorary director. Edwin C. Smith served as an advisory directory for Enterprise GP until his passing during the fourth quarter of 2023. Service as an advisory or honorary director does not confer any of the rights, obligations, liabilities or responsibilities of a director of Enterprise GP (including any power or authority to vote on any matters as a director).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commonly the case with publicly traded limited partnerships, we do not directly employ any of the persons responsible for our management, administrative or operating functions. Pursuant to the administrative services agreement (“ASA”) with EPCO, these roles are performed by employees of EPCO, which are under the direction of the Board and executive officers of Enterprise GP. The executive officers of Enterprise GP are elected for one-year terms and may be removed, with or without cause, only by the Board. Our limited partners do not elect the officers or directors of Enterprise GP. The DD LLC Trustees, through their control of Enterprise GP, have the ability to elect, remove and replace at any time, the officers and directors of Enterprise GP. Each member of the Board of Enterprise GP serves until such member’s death, resignation or removal. The employees of EPCO who served as directors of Enterprise GP during 2023 were Ms. Duncan Williams and Messrs. Bachmann, Fowler, Teague and Weitzel.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contractual limitation on its obligations or duties, Enterprise GP is liable for all debts we incur (to the extent not paid by us), except to the extent that such indebtedness or other obligations are non-recourse to Enterprise GP. Whenever possible, Enterprise GP intends to make any such indebtedness or other obligations non-recourse to itself.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partnership agreement and subject to specified limitations, we will indemnify to the fullest extent permitted by Delaware law, from and against all losses, claims, damages or similar events, any person who is or was serving as a director, officer, employee, agent, fiduciary or trustee of the Partnership, Enterprise GP or any of their respective affiliates.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of the Chairman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Office of the Chairman is a management oversight group comprised of four individuals: Ms. Duncan Williams (as Chairman of the Board), Mr. Bachmann (as Vice Chairman of the Board), Mr. Teague (as Co-Chief Executive Officer (“Co-CEO”)) and Mr. Fowler (also as Co-CEO). The purpose of the Office of the Chairman is for the group to serve collectively as a liaison between the Board and senior management with respect to, and to provide the Chairman, Vice-Chairman and Co-CEOs a venue to discuss, certain matters including:</w:t>
      </w:r>
    </w:p>
    <w:p>
      <w:pPr>
        <w:spacing w:after="0" w:line="80" w:lineRule="exact"/>
        <w:rPr>
          <w:sz w:val="20"/>
          <w:szCs w:val="20"/>
          <w:color w:val="auto"/>
        </w:rPr>
      </w:pPr>
    </w:p>
    <w:p>
      <w:pPr>
        <w:ind w:left="500" w:hanging="330"/>
        <w:spacing w:after="0"/>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strategic direction (including business opportunities through organic growth and acquisitions);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vision, leadership and development of our management team;</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business goals and operational performance; and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strategies to preserve our financial strength.</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Office of the Chairman assists the Board and its Governance Committee in identifying director education opportunities and in determining the size and composition of the Board and recruitment of new members. The Office of the Chairman also oversees policies that (i) reflect our values and business goals and (ii) enhance the effectiveness of our governance structure. The Office of the Chairman also collectively oversees and provides strategic direction for our legal and human resources departments.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her role as Chairman of the Board (a non-executive role), Ms. Duncan Williams is responsible for, among other things: (i) presiding over and setting the agendas for meetings of the Board, with due consideration of our values and business goals and an effective governance structure; (ii) overseeing the appropriate flow of information to the Board; (iii) acting as a liaison between the Board and senior management; and (iv) meeting regularly with the Board to review our strategic direction.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his role as Vice Chairman of the Board (a non-executive role), Mr. Bachmann is responsible for, among other things: (i) assisting the Chairman of the Board in the execution of the Chairman of the Board’s functions and responsibilities, as requested from time to time by the Chairman of the Board; and (ii) meeting regularly with the Board to review our strategic direction.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his role as Co-CEO, Mr. Teague is our co-principal executive officer and is responsible for, among other things: (i) managing our overall business and financial strategy and day-to-day operations; (ii) a principal focus area of overseeing and providing strategic direction for us, subject to Board approval, in the areas of operations, commercial activities, business development, and health and safety; and (iii) providing the required certifications as co-principal executive officer of Enterprise GP (together with Mr. Fowler) in connection with our disclosure controls and procedures and internal control over financial reporting.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his role as Co-CEO and Chief Financial Officer (“CFO”), Mr. Fowler is our co-principal executive officer and our principal financial officer and is responsible for, among other things: (i) managing our overall business and financial strategy; (ii) a principal focus area of overseeing and providing strategic direction for us, subject to Board approval, in the areas of accounting, risk management, finance, treasury and cash management, information technology, investor relations, and public relations and (iii) providing the required certifications as both (a) a co-principal executive officer of Enterprise GP (together with Mr. Teague) and (b) the principal financial officer of Enterprise GP in connection with our disclosure controls and procedures and internal control over financial reporting.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Enterprise GP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the directors, excluding advisory or honorary directors, and executive officers of Enterprise GP at February 28, 2024. Each executive officer holds the same respective office shown below in the managing member of EPO.</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Borders>
              <w:bottom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Age</w:t>
            </w:r>
          </w:p>
        </w:tc>
        <w:tc>
          <w:tcPr>
            <w:tcW w:w="7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 with Enterprise GP</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 Duncan Williams (1,6)</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62</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Chairman of the Board</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Richard H. Bachmann (1,6)</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71</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Vice Chairman of the Board</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 James Teague (1,6,7,8)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78</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Co-CEO</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 Randall Fowler (1,6,7,8)</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67</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Co-CEO and CFO</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Carin M. Barth (2,6)</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61</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9"/>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Murray E. Brasseux (4, 6)</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75</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Rebecca G. Followill (4)</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65</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James T. Hackett (2,3,6)</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70</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William C. Montgomery (4,5)</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62</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John R. Rutherford (2)</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63</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w:t>
            </w:r>
          </w:p>
        </w:tc>
      </w:tr>
      <w:tr>
        <w:trPr>
          <w:trHeight w:val="149"/>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Harry P. Weitzel (6,8)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59</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Director and Executive Vice President, General Counsel and Secretary</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Graham W. Bacon (8)</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60</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 Operating Officer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 Daniel Boss (8)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48</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 Accounting, Risk Control and Information Technology</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Christian M. Nelly (8)</w:t>
            </w:r>
          </w:p>
        </w:tc>
        <w:tc>
          <w:tcPr>
            <w:tcW w:w="13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48</w:t>
            </w:r>
          </w:p>
        </w:tc>
        <w:tc>
          <w:tcPr>
            <w:tcW w:w="7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 Finance and Sustainability and Treasurer</w:t>
            </w: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Brent B. Secrest (8)</w:t>
            </w:r>
          </w:p>
        </w:tc>
        <w:tc>
          <w:tcPr>
            <w:tcW w:w="1320" w:type="dxa"/>
            <w:vAlign w:val="bottom"/>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w w:val="99"/>
              </w:rPr>
              <w:t>51</w:t>
            </w:r>
          </w:p>
        </w:tc>
        <w:tc>
          <w:tcPr>
            <w:tcW w:w="7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and 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Office of the Chairman</w:t>
      </w:r>
    </w:p>
    <w:p>
      <w:pPr>
        <w:spacing w:after="0" w:line="3" w:lineRule="exact"/>
        <w:rPr>
          <w:rFonts w:ascii="Times New Roman" w:cs="Times New Roman" w:eastAsia="Times New Roman" w:hAnsi="Times New Roman"/>
          <w:sz w:val="14"/>
          <w:szCs w:val="14"/>
          <w:color w:val="auto"/>
        </w:rPr>
      </w:pPr>
    </w:p>
    <w:p>
      <w:pPr>
        <w:ind w:left="460" w:hanging="452"/>
        <w:spacing w:after="0" w:line="221" w:lineRule="auto"/>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Governance Committee</w:t>
      </w:r>
    </w:p>
    <w:p>
      <w:pPr>
        <w:ind w:left="460" w:hanging="452"/>
        <w:spacing w:after="0" w:line="221" w:lineRule="auto"/>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Governance Committee</w:t>
      </w:r>
    </w:p>
    <w:p>
      <w:pPr>
        <w:ind w:left="460" w:hanging="452"/>
        <w:spacing w:after="0" w:line="221" w:lineRule="auto"/>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and Conflicts Committee</w:t>
      </w:r>
    </w:p>
    <w:p>
      <w:pPr>
        <w:ind w:left="460" w:hanging="452"/>
        <w:spacing w:after="0" w:line="221" w:lineRule="auto"/>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Audit and Conflicts Committee</w:t>
      </w:r>
    </w:p>
    <w:p>
      <w:pPr>
        <w:ind w:left="460" w:hanging="452"/>
        <w:spacing w:after="0" w:line="221" w:lineRule="auto"/>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Capital Projects Committee</w:t>
      </w:r>
    </w:p>
    <w:p>
      <w:pPr>
        <w:ind w:left="460" w:hanging="452"/>
        <w:spacing w:after="0" w:line="221" w:lineRule="auto"/>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Co-Chairman of the Capital Projects Committee</w:t>
      </w:r>
    </w:p>
    <w:p>
      <w:pPr>
        <w:ind w:left="460" w:hanging="452"/>
        <w:spacing w:after="0"/>
        <w:tabs>
          <w:tab w:leader="none" w:pos="4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presents a brief description of the business experience of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Randa Duncan Williams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Duncan Williams was elected Chairman of the Board of Enterprise GP in February 2013 and a director of Enterprise GP in November 2010. She was elected Chairman of EPCO in May 2010, having previously served as Group Co-Chairman since 1994. Ms. Duncan Williams has served as a member of Enterprise GP’s Capital Projects Committee since November 2016.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Duncan Williams has served as a director of EPCO since February 1991. She also served as a director of the general partner of Enterprise GP Holdings L.P. (“Holdings GP”) from May 2007 to November 2010.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joining EPCO in 1994, Ms. Duncan Williams practiced law with the firms Butler &amp; Binion and Brown, Sims, Wise &amp; White. Ms. Duncan Williams previously served on the board of directors of Encore Bancshares from July 2007 until July 2012. She currently serves on the board of trustees for numerous charitable organizations. Ms. Duncan Williams is the daughter of the late Mr. Dan L Duncan, our founder.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H. Bachmann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Bachmann was elected a director and Vice Chairman of the Board of Enterprise GP in January 2016 and has served as a member of its Capital Projects Committee since November 2016. He previously served as a director of Enterprise GP from November 2010 through April 2014.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Bachmann was elected President and Chief Executive Officer (“CEO”) of EPCO in May 2010 and has served as a director since January 1999. He previously served as Secretary of EPCO from May 1999 to May 2010 and as a Group Vice Chairman of EPCO from December 2007 to May 2010. Mr. Bachmann served as an Executive Vice President of Holdings GP from April 2005 to November 2010 and as a director of Holdings GP from February 2006 to November 2010. He served as Chief Legal Officer and Secretary of Holdings GP from April 2005 to May 2010. Mr. Bachmann served as Executive Vice President and Chief Legal Officer of Enterprise Products GP, LLC (“EPGP,” our former general partner) from February 1999 until November 2010 and as Secretary of EPGP from November 1999 to November 2010. He previously served as a director of EPGP from June 2000 to January 2004 and from February 2006 to May 2010. Mr. Bachmann served as a director of DEP Holdings, LLC (“DEP GP”), the general partner of Duncan Energy Partners L.P., from October 2006 to May 2010 and as President and CEO of DEP GP from October 2006 to April 2010.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James Teague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Teague was elected Co-CEO of Enterprise GP in January 2020 and has been a director of Enterprise GP since November 2010. Mr. Teague previously served as CEO of Enterprise GP from January 2016 to January 2020, as the Chief Operating Officer (“COO”) of Enterprise GP from November 2010 to December 2015 and served as an Executive Vice President of Enterprise GP from November 2010 until February 2013. He has served as Co-Chairman of the Capital Projects Committee of Enterprise GP since November 2016.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Teague served as an Executive Vice President of EPGP from November 1999 to November 2010 and additionally as a director from July 2008 to November 2010 and as COO from September 2010 to November 2010. In addition, he served as Chief Commercial Officer of EPGP from July 2008 until October 2010. He served as Executive Vice President and Chief Commercial Officer of DEP GP from July 2008 until September 2011. He previously served as a director of DEP GP from July 2008 to May 2010 and as a director of Holdings GP from October 2009 to May 2010.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Teague joined us in connection with our purchase of certain midstream energy assets from affiliates of Shell Oil Company in 1999. From 1998 to 1999, Mr. Teague served as President of Tejas Natural Gas Liquids, LLC, then an affiliate of Shell. From 1997 to 1998, he was President of Marketing and Trading for MAPCO, Inc. Mr. Teague also serves on the board of directors of Solaris Oilfield Infrastructure,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Randall Fowler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Fowler was elected a director of Enterprise GP in September 2011 and has served as its Co-CEO since January 2020, having previously served as President from January 2016 to January 2020 and as Chief Administrative Officer from April 2015 to January 2016. Mr. Fowler has served as CFO of Enterprise GP since August 2018, having previously served as Executive Vice President and CFO of Enterprise GP from November 2010 to March 2015 and as Executive Vice President and CFO of EPGP from August 2007 to November 2010. He has served as Co-Chairman of the Capital Projects Committee of Enterprise GP since November 2016.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effectiveness of Mr. Boss’ election to the position of CFO (as described below), Mr. Fowler will continue to serve as one of Enterprise GP’s two Co-CEOs, together with A. James Teague.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Fowler was elected Vice Chairman and CFO of EPCO in May 2010. He previously served as President and CEO of EPCO from December 2007 to May 2010 and as its CFO from April 2005 to December 2007.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Fowler also served as President and CEO of DEP GP from April 2010 until September 2011 and as Executive Vice President and CFO of DEP GP from August 2007 to April 2010. He served as a director of DEP GP from September 2006 until September 2011. Mr. Fowler served as Senior Vice President and Treasurer of EPGP from February 2005 to August 2007 and of DEP GP from October 2006 to August 2007. Mr. Fowler also previously served as a director of EPGP and of Holdings GP from February 2006 to May 2010. Mr. Fowler also served as Senior Vice President and CFO of Holdings GP from August 2005 to August 2007.</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Fowler, a Certified Public Accountant (inactive), joined us as Director of Investor Relations in January 1999. He also serves as Chairman of the Board of the Energy Infrastructure Council (formerly the Master Limited Partnership Association). He also serves on the Advisory Board for the College of Business at Louisiana Tech University and on the Advisory Board of Gear Up for Game Wardens under the Texas Parks and Wildlife Foundation.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Carin M. Barth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Barth was elected a director of Enterprise GP in October 2015. She has served as a member of its Governance Committee since October 2015 and its Capital Projects Committee since November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Barth is co-founder and President of LB Capital Inc., a private equity investment firm established in 1988. She currently serves on the following boards of directors: Black Stone Minerals, L.P., where she is lead director and Chair of the Audit Committee and Group 1 Automotive, Inc., where she is Chair of the Audit Committee. Additionally, Ms. Barth is an Operating Partner at Mountain Capital Management, LLC. She also serves as a trustee of The Welch Foundation, a trustee of Memorial Hermann Foundation and an emeritus board member of the Ronald McDonald House of Houston.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Barth previously served on the Housing Commission at the Bi-Partisan Policy Center in Washington, DC from 2011 to 2014, and was a Commissioner of the Texas Department of Public Safety from 2008 to 2014. She also served as a board member of the following: BBVA USA Bancshares, Inc. from 2020 to May 2021; Halcon Resources Corporation from April 2019 to October 2019; Bill Barrett Corporation from June 2012 to May 2016; Western Refining Inc., where she was Chair of the Audit Committee from March 2006 to January 2016; Methodist Hospital Research Institute from 2007 to 2012; Encore Bancshares, Inc. from 2009 to 2012; Amegy Bancorporation, Inc. from 2006 to 2009; the Texas Public Finance Authority from 2006 to 2008; and the Texas Tech University System Board of Regents from 1999 to 2005. She was appointed by President George W. Bush to serve as CFO of the U.S. Department of Housing and Urban Development from 2004 to 2005.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Murray E. Brasseux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Brasseux was elected a director of Enterprise GP in January 2019 and is a member of its Audit and Conflicts Committee and its Capital Projects Committee.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Brasseux is also a member of the board of directors of Adams Resources &amp; Energy, Inc., a publicly-traded company primarily engaged in the business of crude oil marketing and tank truck transportation of liquid and dry bulk chemicals. Mr. Brasseux retired from BBVA Bank in December 2014 after 20 years of service, having most recently served as Managing Director of Oil &amp; Gas Finance. Mr. Brasseux also served as a consultant to BBVA Bank from January 2015 to June 2015 and as a consultant to Loughlin Management Partners (a restructuring and advisory firm) from June 2015 to December 2017. Mr. Brasseux also serves on the boards of Worldwide Power Products Company, LLC (a private company in the industrial power business) and the Rare Book School (an affiliate of the University of Virginia).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Rebecca G. Followill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Mrs. Followill was elected a director of Enterprise GP and a member of its Audit and Conflicts Committee in January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Mrs. Followill is a petroleum engineer with 38 years of energy industry experience, including over 25 years providing analysis and assessing the valuations and competitiveness of public and private companies as a securities analyst. Mrs. Followill retired from U.S. Capital Advisors in May 2022, most recently serving as a Senior Managing Director. Prior to joining U.S. Capital Advisors in December 2010, Mrs. Followill served in senior roles at Tudor, Pickering, Holt, &amp; Co. from 2007 to 2010, Howard Weil, Inc. from 2000 to 2007 and Merrill Lynch from 1997 to 2000. Mrs. Followill began her career as a reservoir engineer for Tenneco Oil Company. Mrs. Followill serves on the board of the Texas A&amp;M Petroleum Ventures Program and the advisory board of Third Gear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T. Hackett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Hackett was elected a director of Enterprise GP in April 2014. He has served as a member of its Governance Committee since April 2014, including in the role of committee Chairman since November 2016. In addition, Mr. Hackett has served as a member of Enterprise GP’s Capital Projects Committee since November 2016.</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Hackett served as Executive Chairman of Alta Mesa Resources, Inc. (formerly named Silver Run Acquisition Corporation II) (“Alta Mesa”) until March 2020. Mr. Hackett previously served as an Advisor and Partner to private energy investing firm Riverstone Holdings LLC. He served as Executive Chairman and CEO of Anadarko Petroleum Corporation, an independent oil and natural gas exploration and production company, from 2003 to 2013. Mr. Hackett is a board member of Fluor Corporation, Schlumberger Limited and NuScale Power Corp. (including its Audit Committee). He is a former director of Cameron International and NOV, Inc. and the former Chairman of the Board of the Federal Reserve Bank of Dallas. He is a past Chairman (and now Member) of the National Petroleum Council, a member of the Society of Petroleum Engineers, a member of the Baylor College of Medicine Board of Trustees and a member of the Rice University Board of Trustees. Mr. Hackett also serves as a faculty member at Rice University and The University of Texas (Austin).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 C. Montgomery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Montgomery was elected a director of Enterprise GP and appointed a member of its Audit and Conflicts Committee in October 2015. Mr. Montgomery has served as Chairman of the Audit and Conflicts Committee since January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Montgomery has served as a Partner of Quantum Energy Partners since 2011 and is also a member of its Investment Committee. He is responsible for originating and overseeing investments in the oil and gas upstream and oilfield service sectors. Mr. Montgomery previously served on the board of Apache Corporation from July 2011 to May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joining Quantum Energy Partners, Mr. Montgomery was a Partner in the Investment Banking Division of Goldman, Sachs &amp; Co. where he headed the firm’s Americas Natural Resources Group as well as its Houston office. His career as a banker spanned 22 years and was focused on large cap energy companies primarily in the upstream and oil service sectors. Mr. Montgomery has been an active civic leader, chairing the boards of The Houston Museum of Natural Science and The St. Francis Episcopal Day School and currently serves on the Board of Visitors of the MD Anderson Cancer Center and as Chairman of the board of trustees of The Episcopal Health Foundation.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R. Rutherford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Rutherford was elected a director of Enterprise GP in January 2019 and is currently a member of its Governance Committee. Mr. Rutherford served as a member of the Audit and Conflicts Committee from January 2019 to December 2022.</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Rutherford is a private investor and serves as a part-time Senior Advisor to ECP GP, an energy investment firm focused on investing in the power, clean energy and midstream sectors. Mr. Rutherford also serves on the board of directors of T.D. Williamson Holdings, LLC, a privately-owned pipeline field services company, and on the Board of Trustees of the Employees Retirement System of Texas. In addition, Mr. Rutherford serves on the board of directors of the Navy Seal Foundation. Mr. Rutherford previously served as Executive Vice President (Strategic Planning, M&amp;A and Business Development) of the general partner of Plains All American Pipeline, L.P. (“Plains”) and as a member of Plains’ executive committee from October 2010 through July 2015. Mr. Rutherford also served as a financial consultant to Plains from July 2015 through September 2018. His career includes over 20 years of investment banking experience as a mergers and acquisitions and strategic advisor to public and private energy companies, investment firms, management teams and boards of directors. Prior to joining Plains, Mr. Rutherford served as Managing Director of the North American Energy Practice of Lazard Freres &amp; Company from 2007 until 2010. Prior to joining Lazard, he was a partner at Simmons &amp; Company for over ten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Harry P. Weitzel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Weitzel was elected a director of Enterprise GP and appointed a member of its Capital Projects Committee in November 2016 and has served as Executive Vice President, General Counsel and Secretary of Enterprise GP since January 2020. He previously served as Senior Vice President, General Counsel and Secretary of Enterprise GP from April 2016 to January 2020 and as Senior Vice President, Deputy General Counsel and Secretary of Enterprise GP from January 2015 to April 2016. Mr. Weitzel is responsible for all our legal functions, including securities, litigation, employment, mergers and acquisitions, corporate governance and commercial transactions.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Weitzel has extensive experience as an attorney, including over 24 years of practice as a commercial litigator in Texas and California. He has successfully represented individual, corporate and governmental clients as plaintiffs and defendants in a wide variety of business-related matters. Mr. Weitzel has tried cases in state and federal courts, as well as arbitrations under the American Arbitration Association, JAMS and the International Chamber of Commerce. He has handled appeals in state and federal courts. Prior to joining us, Mr. Weitzel was a commercial litigation partner with Pepper Hamilton LLP in Irvine, California from October 2009 to December 2014.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Graham W. Bacon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Bacon was elected Executive Vice President and Chief Operating Officer of Enterprise GP in September 2019. Mr. Bacon most recently served as Executive Vice President (Operations and Engineering) of Enterprise GP from October 2015 to August 2019 and continues to have responsibility for our operations and engineering teams in his new role. He previously served as Group Senior Vice President (Operations and Environmental, Health, Safety &amp; Training) from February 2014 to October 2015; as Senior Vice President (Operations) from January 2012 to February 2014; as Vice President (Operations) from June 2006 to January 2012, and as Vice President (Engineering) from September 2005 to May 2006. He joined EPCO in 1991 and has held a variety of operations and engineering roles. Prior to joining EPCO, Mr. Bacon worked for Vista Chemical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Daniel Boss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Boss, a Certified Public Accountant, has served as Executive Vice President – Accounting, Risk Control and Information Technology of Enterprise GP since January 2020 and previously served as Senior Vice President (Accounting and Risk Control) from August 2016 to January 2020. On February 12, 2024, the Board promoted Mr. Boss to the position of Executive Vice President and CFO of Enterprise GP, with such promotion to become effective as of March 1, 2024. In his new role, Mr. Boss (i) will serve as Enterprise GP’s principal financial officer, (ii) will continue to serve as Enterprise GP’s principal accounting officer and (iii) will continue to report directly to W. Randall Fowler.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Boss is responsible for the overall leadership of our Accounting, Risk Control and Information Technology organizations and (in his new role) will also be responsible for the overall leadership of our Internal Audit organization. Mr. Boss served as a Senior Vice President of Enterprise GP from March 2015 to August 2016 with responsibility over our regulated business. He also served as Vice President (Risk Control) from April 2013 to March 2015 and as Senior Director (Risk Control) from January 2010 to March 2013. While serving in these positions, Mr. Boss was Chairman of the Risk Management Committee and had responsibilities for our marketing risk management policies, transaction controls and derivatives and hedging strategies compliance. Mr. Boss also served as Director (Volume Accounting) from November 2008 until January 2010 where he was responsible for gas marketing and commodity derivatives accounting, hedging and reporting. Prior to joining us, Mr. Boss held leadership positions with Merrill Lynch Commodities and Dynegy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Christian M. Nelly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Nelly was elected Executive Vice President – Finance and Sustainability and Treasurer of Enterprise GP in July 2020. Following the effectiveness of Mr. Boss’ election to the position of CFO (as described above), Mr. Nelly will continue to serve as Enterprise GP’s Executive Vice President – Finance and Sustainability and Treasurer and will report directly to Mr. Fowler. Mr. Nelly previously served as Executive Vice President – Finance and Treasurer from January 2020 to July 2020 and as Senior Vice President (Finance) and Treasurer from March 2019 to January 2020. Mr. Nelly is responsible for managing our financing activities, business planning and analysis, credit, cash management, corporate risk and insurance, investor relations, sustainability and public relations groups. Mr. Nelly served as Vice President and Treasurer from April 2015 to February 2019; Senior Director of Finance from April 2011 until March 2015; and Director of Finance from January 2008 to March 2011. Prior to joining us, Mr. Nelly spent 10 years with various corporate and investment banks where he executed transactions and maintained relationships with midstream and upstream energy companies and gained experience in strategic advisory, valuation, mergers and acquisitions, and capital raising.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Brent B. Secrest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Secrest was elected Executive Vice President and Chief Commercial Officer of Enterprise GP in September 2019. Mr. Secrest most recently served as Senior Vice President (Commercial) of Enterprise GP from July 2018 to August 2019. He previously served as Senior Vice President (Liquid Hydrocarbons Marketing) of Enterprise GP from May 2016 to June 2018, as Vice President (Crude Oil and Refined Products Marketing) from October 2015 to May 2016 and as Vice President (Crude Oil Pipelines and Terminals) from October 2012 to October 2015. He has also served us in various other leadership positions, including in the areas of NGL marketing and supply, commercial development, distribution, and business analysis. Mr. Secrest has over 25 years of experience in the energy industry and began his career at Basis Petroleum Inc. prior to joining EPCO in 1996.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Experience, Qualifications, Attributes and Skills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brief discussion of the experience, qualifications, attributes and skills that led us to the conclusion that each of the following persons should serve as a director of Enterprise GP.</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Five of our directors are current employees of EPCO and officers of Enterprise GP or its affiliates. Each of these directors has significant experience in our industry as executive officers as well as other qualifications, attributes and skills. These include:</w:t>
      </w:r>
    </w:p>
    <w:p>
      <w:pPr>
        <w:spacing w:after="0" w:line="162" w:lineRule="exact"/>
        <w:rPr>
          <w:sz w:val="20"/>
          <w:szCs w:val="20"/>
          <w:color w:val="auto"/>
        </w:rPr>
      </w:pPr>
    </w:p>
    <w:p>
      <w:pPr>
        <w:ind w:left="500" w:hanging="330"/>
        <w:spacing w:after="0" w:line="199" w:lineRule="auto"/>
        <w:tabs>
          <w:tab w:leader="none" w:pos="500"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Ms. Duncan Williams, legal and community involvement with numerous charitable organizations, and active involvement in EPCO’s businesses, including ownership in and management of our businesses;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Teague, over 50 years of commercial management of midstream assets and marketing and trading activities, both for third parties and for us;</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Fowler, over 24 years of experience with our midstream assets, including finance, accounting and investor relations and, for over 18 years, as a member of our executive management team;</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Bachmann, over 40 years of experience with our midstream assets, including legal, regulatory, contracts and mergers and acquisitions and, for over 24 years, as a member of either EPCO’s or our executive management teams;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Weitzel, over 24 years of experience in Texas and California as a commercial litigator, having successfully represented individual, corporate and governmental clients as plaintiffs and defendants in a wide variety of business-related matters.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six outside voting directors also have significant experience in a variety of capacities, as well as other qualifications, attributes and skills. These include:</w:t>
      </w:r>
    </w:p>
    <w:p>
      <w:pPr>
        <w:spacing w:after="0" w:line="62" w:lineRule="exact"/>
        <w:rPr>
          <w:sz w:val="20"/>
          <w:szCs w:val="20"/>
          <w:color w:val="auto"/>
        </w:rPr>
      </w:pPr>
    </w:p>
    <w:p>
      <w:pPr>
        <w:ind w:left="500" w:hanging="330"/>
        <w:spacing w:after="0"/>
        <w:tabs>
          <w:tab w:leader="none" w:pos="50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Ms. Barth, executive management experience in various financial and governance roles;</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Brasseux, executive management experience in banking and finance as well as governance roles;</w:t>
      </w:r>
    </w:p>
    <w:p>
      <w:pPr>
        <w:spacing w:after="0" w:line="198"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Mrs. Followill, executive management experience in the financial services industry (including in the areas of analysis and assessing the valuations and competitiveness of public and private companies in the energy industry);</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Hackett, executive management of a major oil and gas exploration and production company;</w:t>
      </w:r>
    </w:p>
    <w:p>
      <w:pPr>
        <w:spacing w:after="0" w:line="197"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Montgomery, executive management of both an investment banking firm and a private equity investment firm serving the global energy industry; and</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6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Mr. Rutherford, executive management experience in the midstream energy industry (including in the areas of strategic planning, mergers and acquisitions, investment banking and finance).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an advisory director, Mr. Snell has experience involving complex legal and accounting matters. As an honorary director, Mr. Andras has a long history with us and our operations, including being a former CEO.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sound principles of governance. Such principles are critical for us to achieve our performance goals and maintain the trust and confidence of investors, employees, suppliers, business partners and other stakeholders.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element of strong governance is having independent members of the Board. Pursuant to the NYSE listing standards, a director will be considered independent if the Board determines that he or she does not have a material relationship with Enterprise GP or us (either directly or as a partner, unitholder or officer of an organization that has a material relationship with Enterprise GP or us). Based on the foregoing, the Board has affirmatively determined that Ms. Barth, Mrs. Followill and Messrs. Brasseux, Hackett, Montgomery and Rutherford are independent directors under the NYSE rules.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are a limited partnership and meet the definition of a “controlled company” under the listing standards of the NYSE, we are not required to comply with certain NYSE rules. In particular, we are not required to comply with Section 303A.01 of the NYSE Listed Company Manual, which would require that the Board of Enterprise GP be comprised of a majority of independent directors. Currently, six of the eleven Board members of Enterprise GP are independent under NYSE rules; however, this composition may not always be in effect. Also, we have elected to not comply with Sections 303A.04 and 303A.05 of the NYSE Listed Company Manual, which would require that the Board of Enterprise GP maintain a Nominating Committee and a Compensation Committee, each consisting entirely of independent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Ethics and Corporate Governance Guidelines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Enterprise GP has adopted a Code of Conduct that applies to its directors, officers and employees. This code sets forth our requirements for compliance with legal and ethical standards in the conduct of our business, including general business principles, legal and ethical obligations, compliance policies for specific subjects, obtaining guidance on complying with the code, the reporting of compliance issues, and discipline for violations of the code. The Code of Conduct also establishes policies applicable to our Co-CEOs and CFO, and senior financial and other managers to prevent wrongdoing and to promote honest and ethical conduct, including ethical handling of actual and apparent conflicts of interest, compliance with applicable laws, rules and regulations, full, fair, accurate, timely and understandable disclosure in public communications, and prompt internal reporting of violations of the code (and thus accountability for adherence to the code). Employees are required to certify their understanding and compliance with the Code of Conduct on an annual basis. Training on the Code of Conduct is also provided to employees, where applicable.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Governance guidelines, together with applicable committee charters, provide the framework for effective governance of our partnership. The Board has adopted the </w:t>
      </w:r>
      <w:r>
        <w:rPr>
          <w:rFonts w:ascii="Times New Roman" w:cs="Times New Roman" w:eastAsia="Times New Roman" w:hAnsi="Times New Roman"/>
          <w:sz w:val="18"/>
          <w:szCs w:val="18"/>
          <w:i w:val="1"/>
          <w:iCs w:val="1"/>
          <w:color w:val="auto"/>
        </w:rPr>
        <w:t>Governance Guidelines of Enterprise Products Partners</w:t>
      </w:r>
      <w:r>
        <w:rPr>
          <w:rFonts w:ascii="Times New Roman" w:cs="Times New Roman" w:eastAsia="Times New Roman" w:hAnsi="Times New Roman"/>
          <w:sz w:val="18"/>
          <w:szCs w:val="18"/>
          <w:color w:val="auto"/>
        </w:rPr>
        <w:t xml:space="preserve"> (“Governance Guidelines”), which address several matters, including qualifications for directors, responsibilities of directors, limitations on service to other companies, retirement of directors, the composition and responsibilities of Board committees, the conduct and frequency of Board and committee meetings, management succession plans, director access to management and outside advisors, director compensation, director and executive officer equity ownership, director orientation and continuing education, and annual self-evaluation of the Board. The Board recognizes that effective governance is an on-going process, and thus, it will review the Governance Guidelines annually or more often as deemed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Conflicts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purpose of the Board’s Audit and Conflicts Committee is to address audit and conflicts-related matters. In accordance with NYSE rules and the Securities Exchange Act of 1934, the Board has named three of its members to serve on the Audit and Conflicts Committee. Members of the Audit and Conflicts Committee must have a basic understanding of finance and accounting matters and be able to read and understand financial statements, and at least one member of the Audit and Conflicts Committee shall have accounting or related financial management expertise. The current members of the Audit and Conflicts Committee are Mrs. Followill and Messrs. Brasseux and Montgomery, all of whom are independent directors, free from any relationship with us or any of our subsidiaries that would interfere with the exercise of independent judgment. The Board has affirmatively determined that Mr. Montgomery satisfies the definition of “Audit Committee Financial Expert” as that term is defined in Item 407(d)(5) of Regulation S-K promulgated by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responsibilities of the Audit and Conflicts Committee include (i) reviewing potential conflicts of interest, including related party transactions,</w:t>
      </w:r>
    </w:p>
    <w:p>
      <w:pPr>
        <w:spacing w:after="0" w:line="27" w:lineRule="exact"/>
        <w:rPr>
          <w:sz w:val="20"/>
          <w:szCs w:val="20"/>
          <w:color w:val="auto"/>
        </w:rPr>
      </w:pPr>
    </w:p>
    <w:p>
      <w:pPr>
        <w:jc w:val="both"/>
        <w:ind w:firstLine="8"/>
        <w:spacing w:after="0" w:line="253" w:lineRule="auto"/>
        <w:tabs>
          <w:tab w:leader="none" w:pos="2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reporting process and related systems of internal control, (iii) ensuring our legal and regulatory compliance and that of Enterprise GP, (iv) overseeing the independence and performance of our independent public accountant, (v) approving all services performed by our independent public accountant, (vi) providing for an avenue of communication among the independent public accountant, management, internal audit function and the Board, (vii) encouraging adherence to and continuous improvement of our policies, procedures and practices at all levels and (viii) reviewing areas of potential significant financial risk to our businesses.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Board believes that a particular matter presents a conflict of interest and proposes a resolution, the Audit and Conflicts Committee has the authority to review such matter to determine if the proposed resolution is fair and reasonable to us. Any matters approved by the Audit and Conflicts Committee are conclusively deemed to be fair and reasonable to us, approved by all of our partners and not a breach by Enterprise GP or the Board of any duties they may owe us or our unitholders.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its formal written charter, the Audit and Conflicts Committee has the authority to conduct any investigation appropriate to fulfilling its responsibilities, and it has direct access to our independent public accountants as well as any EPCO personnel whom it deems necessary in fulfilling its responsibilities. The Audit and Conflicts Committee has the ability to retain, at our expense, special legal, accounting or other consultants or experts it deems necessary in the performance of its duties.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purpose of the Governance Committee is to develop and recommend to the Board a set of governance guidelines applicable to our partnership, to review such guidelines from time to time and to oversee governance matters related to our business, including Board and Committee composition, qualifications of Board candidates, director independence, succession planning and related matters. The Governance Committee also assists in Board oversight of management’s establishment and administration of our environmental, safety and transportation compliance policies, procedures, programs and initiatives, and related matters. In accordance with its charter, the Governance Committee shall be composed of not less than three members, at least a majority of whom shall be independent directors. Currently, the Governance Committee is comprised of three independent directors (Ms. Barth, Mr. Hackett and Mr. Rutherford).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Like the Audit and Conflicts Committee, the Governance Committee has the authority to conduct any investigation appropriate to fulfilling its responsibilities, and it has direct access to our independent public accountants as well as any EPCO personnel whom it deems necessary in fulfilling its responsibilities. In addition, the Governance Committee has the ability to retain, at our expense, special legal, accounting or other consultants or experts it deems necessary in the performance of its duties.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subcommittee of the Governance Committee, the Incentive Plan Administration Subcommittee, is involved in decision-making regarding employee compensation matters, including grants of equity-based awards. In accordance with the Governance Committee charter, this subcommittee shall be composed of two or more non-employee directors (currently, Ms. Barth, Mr. Hackett and Mr. Rutherford) and shall (i) review and approve all aspects of compensation of our Co-CEOs, (ii) administer the long-term incentive plans of the Partnership and its affiliates and (iii) review and approve all equity grants made to employees, consultants and/or directors as required by such long-term incentive plans. For more information regarding this subcommittee’s role in executive compensation matters, see “</w:t>
      </w:r>
      <w:r>
        <w:rPr>
          <w:rFonts w:ascii="Times New Roman" w:cs="Times New Roman" w:eastAsia="Times New Roman" w:hAnsi="Times New Roman"/>
          <w:sz w:val="18"/>
          <w:szCs w:val="18"/>
          <w:i w:val="1"/>
          <w:iCs w:val="1"/>
          <w:color w:val="auto"/>
        </w:rPr>
        <w:t>Overview of Decision-Making Process regarding Compensation of Named Executive Officers</w:t>
      </w:r>
      <w:r>
        <w:rPr>
          <w:rFonts w:ascii="Times New Roman" w:cs="Times New Roman" w:eastAsia="Times New Roman" w:hAnsi="Times New Roman"/>
          <w:sz w:val="18"/>
          <w:szCs w:val="18"/>
          <w:color w:val="auto"/>
        </w:rPr>
        <w:t>” under Part III, Item 11 of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Projects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purpose of the Capital Projects Committee is to review and approve certain expenditures by Enterprise GP, the Partnership and/or their respective consolidated subsidiaries in connection with proposed capital projects. Currently, the Capital Projects Committee is comprised of Ms. Duncan Williams, Ms. Barth and Messrs. Bachmann, Brasseux, Fowler, Hackett, Teague and Weitzel. Messrs. Teague and Fowler are co-chairmen of the Capital Projects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Access to Partnership Governance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provide investors access to information relating to our governance procedures and principles, including the Code of Conduct, Governance Guidelines, the charters of the Audit and Conflicts Committee, the Governance Committee and the Capital Projects Committee, along with other information, through our website, </w:t>
      </w:r>
      <w:r>
        <w:rPr>
          <w:rFonts w:ascii="Times New Roman" w:cs="Times New Roman" w:eastAsia="Times New Roman" w:hAnsi="Times New Roman"/>
          <w:sz w:val="18"/>
          <w:szCs w:val="18"/>
          <w:u w:val="single" w:color="auto"/>
          <w:color w:val="auto"/>
        </w:rPr>
        <w:t>www.enterpriseproducts.com</w:t>
      </w:r>
      <w:r>
        <w:rPr>
          <w:rFonts w:ascii="Times New Roman" w:cs="Times New Roman" w:eastAsia="Times New Roman" w:hAnsi="Times New Roman"/>
          <w:sz w:val="18"/>
          <w:szCs w:val="18"/>
          <w:color w:val="auto"/>
        </w:rPr>
        <w:t>. You may also contact our Investor Relations department at (866) 230-0745 for printed copies of these documents free of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NYSE Corporate Governance Listing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9, 2023, Mr. Teague certified to the NYSE (as required by Section 303A.12(a) of the NYSE Listed Company Manual) that he was not aware of any violation by us of the NYSE’s Corporate Governance listing standards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 of Non-Management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holds regular executive sessions in which non-management directors meet without any members of management present. The purpose of these executive sessions is to promote open and candid discussion among the non-management directors. During such executive sessions, one director is designated as the presiding director, who is responsible for leading and facilitating such executive sessions. Currently, the presiding director is Mr. Montgomery.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 Telephone Hotline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NYSE rules, we have established a toll-free, confidential telephone hotline (the “Hotline”) so that interested parties may communicate with the presiding director or with all the non-management directors of Enterprise GP as a group. All calls to this Hotline are reported to the chairman of the Audit and Conflicts Committee, who is responsible for communicating any necessary information to the other non-management directors. The number of our confidential Hotline is (844) 693-4318.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federal securities laws, directors and executive officers of Enterprise GP and any persons holding more than 10% of our common units are required to report their beneficial ownership of common units and any changes in their beneficial ownership levels to us and the SEC. Specific due dates for these reports have been established by regulation, and we are required to disclose in this annual report any failure to file this information within the specified timeframes. All such reporting was done in a timely manner in 2023, except that a disposal of common units as a gift by Mr. Bachmann was reported on a Form 4 filed in December 2023, instead of by the reporting deadline in November 2023.</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directly employ any of the persons responsible for managing our business. Instead, we are managed by Enterprise GP, the executive officers of which are employees of EPCO. Our management, administrative and operating functions are primarily performed by employees of EPCO in accordance with the ASA. Pursuant to the ASA, we reimburse EPCO for its compensation costs related to the employment of personnel working on our behalf. For information regarding the ASA, see Note 15 of the Notes to Consolidated Financial Statements included under Part II, Item 8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total compensation amounts paid, accrued or otherwise expensed by us with respect to our (i) co-CEOs, (ii) CFO and (iii) three highest paid officers of our general partner, other than our principal executive and financial officers, who were serving in such capacity at December 31, 2023. Collectively, these five individuals were our “named executive officers” for 2023. To the extent such individuals were also named executive officers for 2022 and 2021, their total compensation for those years is presented as well.</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8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340" w:type="dxa"/>
            <w:vAlign w:val="bottom"/>
          </w:tcPr>
          <w:p>
            <w:pPr>
              <w:spacing w:after="0"/>
              <w:rPr>
                <w:sz w:val="15"/>
                <w:szCs w:val="15"/>
                <w:color w:val="auto"/>
              </w:rPr>
            </w:pPr>
          </w:p>
        </w:tc>
        <w:tc>
          <w:tcPr>
            <w:tcW w:w="142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8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5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80" w:type="dxa"/>
            <w:vAlign w:val="bottom"/>
            <w:vMerge w:val="continue"/>
          </w:tcPr>
          <w:p>
            <w:pPr>
              <w:spacing w:after="0"/>
              <w:rPr>
                <w:sz w:val="12"/>
                <w:szCs w:val="12"/>
                <w:color w:val="auto"/>
              </w:rPr>
            </w:pPr>
          </w:p>
        </w:tc>
        <w:tc>
          <w:tcPr>
            <w:tcW w:w="13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280" w:type="dxa"/>
            <w:vAlign w:val="bottom"/>
            <w:vMerge w:val="continue"/>
          </w:tcPr>
          <w:p>
            <w:pPr>
              <w:spacing w:after="0"/>
              <w:rPr>
                <w:sz w:val="12"/>
                <w:szCs w:val="12"/>
                <w:color w:val="auto"/>
              </w:rPr>
            </w:pPr>
          </w:p>
        </w:tc>
        <w:tc>
          <w:tcPr>
            <w:tcW w:w="12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60" w:type="dxa"/>
            <w:vAlign w:val="bottom"/>
          </w:tcPr>
          <w:p>
            <w:pPr>
              <w:jc w:val="right"/>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34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auto"/>
                <w:w w:val="99"/>
              </w:rPr>
              <w:t>(1)</w:t>
            </w:r>
          </w:p>
        </w:tc>
        <w:tc>
          <w:tcPr>
            <w:tcW w:w="15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w:t>
            </w:r>
          </w:p>
        </w:tc>
        <w:tc>
          <w:tcPr>
            <w:tcW w:w="11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 James Teague,</w:t>
            </w:r>
          </w:p>
        </w:tc>
        <w:tc>
          <w:tcPr>
            <w:tcW w:w="134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  1,149,500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  3,700,000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7,740,000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1,377,039</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13,966,539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Co-CEO</w:t>
            </w:r>
          </w:p>
        </w:tc>
        <w:tc>
          <w:tcPr>
            <w:tcW w:w="13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1,075,000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3,700,000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6,386,500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6,192,313</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17,353,813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2021</w:t>
            </w:r>
          </w:p>
        </w:tc>
        <w:tc>
          <w:tcPr>
            <w:tcW w:w="14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987,500</w:t>
            </w:r>
          </w:p>
        </w:tc>
        <w:tc>
          <w:tcPr>
            <w:tcW w:w="1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3,200,000</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5,197,500</w:t>
            </w:r>
          </w:p>
        </w:tc>
        <w:tc>
          <w:tcPr>
            <w:tcW w:w="15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1,031,514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 Randall Fowler,</w:t>
            </w:r>
          </w:p>
        </w:tc>
        <w:tc>
          <w:tcPr>
            <w:tcW w:w="134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862,125</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2,775,000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5,805,000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4,773,863</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14,215,988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Co-CEO and CFO</w:t>
            </w:r>
          </w:p>
        </w:tc>
        <w:tc>
          <w:tcPr>
            <w:tcW w:w="13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806,250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2,775,000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4,789,875</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872,614</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9,243,739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2021</w:t>
            </w:r>
          </w:p>
        </w:tc>
        <w:tc>
          <w:tcPr>
            <w:tcW w:w="14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731,250</w:t>
            </w:r>
          </w:p>
        </w:tc>
        <w:tc>
          <w:tcPr>
            <w:tcW w:w="1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2,400,000</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3,898,125</w:t>
            </w:r>
          </w:p>
        </w:tc>
        <w:tc>
          <w:tcPr>
            <w:tcW w:w="15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753,389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7,782,764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Graham W. Bacon,</w:t>
            </w:r>
          </w:p>
        </w:tc>
        <w:tc>
          <w:tcPr>
            <w:tcW w:w="134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593,750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825,000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3,336,500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1,617,939</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6,373,189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13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563,000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825,000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2,289,500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532,326</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4,209,826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Chief Operating Officer</w:t>
            </w:r>
          </w:p>
        </w:tc>
        <w:tc>
          <w:tcPr>
            <w:tcW w:w="134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524,000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1,975,050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457,633</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3,706,683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Brent B. Secrest,</w:t>
            </w:r>
          </w:p>
        </w:tc>
        <w:tc>
          <w:tcPr>
            <w:tcW w:w="134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563,750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3,185,200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1,588,794</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6,037,744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13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519,250</w:t>
            </w:r>
          </w:p>
        </w:tc>
        <w:tc>
          <w:tcPr>
            <w:tcW w:w="1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775,000</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2,289,500</w:t>
            </w:r>
          </w:p>
        </w:tc>
        <w:tc>
          <w:tcPr>
            <w:tcW w:w="15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490,539</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4,074,289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Chief Commercial Officer</w:t>
            </w:r>
          </w:p>
        </w:tc>
        <w:tc>
          <w:tcPr>
            <w:tcW w:w="134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484,000</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1,975,050</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397,510</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 Daniel Boss,</w:t>
            </w:r>
          </w:p>
        </w:tc>
        <w:tc>
          <w:tcPr>
            <w:tcW w:w="1340" w:type="dxa"/>
            <w:vAlign w:val="bottom"/>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454,812</w:t>
            </w:r>
          </w:p>
        </w:tc>
        <w:tc>
          <w:tcPr>
            <w:tcW w:w="1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2,842,115</w:t>
            </w:r>
          </w:p>
        </w:tc>
        <w:tc>
          <w:tcPr>
            <w:tcW w:w="156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1,437,564</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5,233,241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Executive Vice President – Accounting,</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Risk Control and Information Technology</w:t>
            </w:r>
          </w:p>
        </w:tc>
        <w:tc>
          <w:tcPr>
            <w:tcW w:w="1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8" w:lineRule="exact"/>
        <w:rPr>
          <w:sz w:val="20"/>
          <w:szCs w:val="20"/>
          <w:color w:val="auto"/>
        </w:rPr>
      </w:pPr>
    </w:p>
    <w:p>
      <w:pPr>
        <w:ind w:left="440" w:hanging="432"/>
        <w:spacing w:after="0" w:line="234" w:lineRule="auto"/>
        <w:tabs>
          <w:tab w:leader="none" w:pos="4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our estimated share of the aggregate grant date fair value of equity-based awards granted during each year presented. See “</w:t>
      </w:r>
      <w:r>
        <w:rPr>
          <w:rFonts w:ascii="Times New Roman" w:cs="Times New Roman" w:eastAsia="Times New Roman" w:hAnsi="Times New Roman"/>
          <w:sz w:val="14"/>
          <w:szCs w:val="14"/>
          <w:i w:val="1"/>
          <w:iCs w:val="1"/>
          <w:color w:val="auto"/>
        </w:rPr>
        <w:t>Grants of Equity-Based Awards in Fiscal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Year 2023</w:t>
      </w:r>
      <w:r>
        <w:rPr>
          <w:rFonts w:ascii="Times New Roman" w:cs="Times New Roman" w:eastAsia="Times New Roman" w:hAnsi="Times New Roman"/>
          <w:sz w:val="14"/>
          <w:szCs w:val="14"/>
          <w:color w:val="auto"/>
        </w:rPr>
        <w:t>” within this Item 11 for information regarding awards granted in the year ended December 31, 2023.</w:t>
      </w:r>
    </w:p>
    <w:p>
      <w:pPr>
        <w:spacing w:after="0" w:line="1" w:lineRule="exact"/>
        <w:rPr>
          <w:rFonts w:ascii="Times New Roman" w:cs="Times New Roman" w:eastAsia="Times New Roman" w:hAnsi="Times New Roman"/>
          <w:sz w:val="14"/>
          <w:szCs w:val="14"/>
          <w:color w:val="auto"/>
        </w:rPr>
      </w:pPr>
    </w:p>
    <w:p>
      <w:pPr>
        <w:ind w:left="440" w:right="20" w:hanging="432"/>
        <w:spacing w:after="0" w:line="239" w:lineRule="auto"/>
        <w:tabs>
          <w:tab w:leader="none" w:pos="4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(i) contributions in connection with funded, qualified, defined contribution retirement plans, (ii) quarterly distributions paid on equity-based awards, (iii) the imputed value of life insurance premiums paid on behalf of the officer, (iv) employee retention payments and (v) other amounts.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Bonus amounts shown in the preceding table represent discretionary annual awards earned by each named executive officer with respect to the year presented. Bonus amounts are paid in cash in February of the following year (e.g., the bonus amount for 2023 was paid in February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“All Other Compensation” for each named executive officer for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220" w:type="dxa"/>
            <w:vAlign w:val="bottom"/>
          </w:tcPr>
          <w:p>
            <w:pPr>
              <w:spacing w:after="0"/>
              <w:rPr>
                <w:sz w:val="12"/>
                <w:szCs w:val="12"/>
                <w:color w:val="auto"/>
              </w:rPr>
            </w:pPr>
          </w:p>
        </w:tc>
        <w:tc>
          <w:tcPr>
            <w:tcW w:w="11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220" w:type="dxa"/>
            <w:vAlign w:val="bottom"/>
          </w:tcPr>
          <w:p>
            <w:pPr>
              <w:spacing w:after="0"/>
              <w:rPr>
                <w:sz w:val="12"/>
                <w:szCs w:val="12"/>
                <w:color w:val="auto"/>
              </w:rPr>
            </w:pPr>
          </w:p>
        </w:tc>
        <w:tc>
          <w:tcPr>
            <w:tcW w:w="11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300" w:type="dxa"/>
            <w:vAlign w:val="bottom"/>
          </w:tcPr>
          <w:p>
            <w:pPr>
              <w:spacing w:after="0"/>
              <w:rPr>
                <w:sz w:val="12"/>
                <w:szCs w:val="12"/>
                <w:color w:val="auto"/>
              </w:rPr>
            </w:pPr>
          </w:p>
        </w:tc>
        <w:tc>
          <w:tcPr>
            <w:tcW w:w="10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220" w:type="dxa"/>
            <w:vAlign w:val="bottom"/>
          </w:tcPr>
          <w:p>
            <w:pPr>
              <w:spacing w:after="0"/>
              <w:rPr>
                <w:sz w:val="12"/>
                <w:szCs w:val="12"/>
                <w:color w:val="auto"/>
              </w:rPr>
            </w:pPr>
          </w:p>
        </w:tc>
        <w:tc>
          <w:tcPr>
            <w:tcW w:w="11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Equity-Based</w:t>
            </w: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Retention</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60" w:type="dxa"/>
            <w:vAlign w:val="bottom"/>
          </w:tcPr>
          <w:p>
            <w:pPr>
              <w:spacing w:after="0"/>
              <w:rPr>
                <w:sz w:val="12"/>
                <w:szCs w:val="12"/>
                <w:color w:val="auto"/>
              </w:rPr>
            </w:pPr>
          </w:p>
        </w:tc>
        <w:tc>
          <w:tcPr>
            <w:tcW w:w="11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1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300" w:type="dxa"/>
            <w:vAlign w:val="bottom"/>
          </w:tcPr>
          <w:p>
            <w:pPr>
              <w:spacing w:after="0"/>
              <w:rPr>
                <w:sz w:val="12"/>
                <w:szCs w:val="12"/>
                <w:color w:val="auto"/>
              </w:rPr>
            </w:pPr>
          </w:p>
        </w:tc>
        <w:tc>
          <w:tcPr>
            <w:tcW w:w="108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2"/>
                <w:szCs w:val="12"/>
                <w:color w:val="auto"/>
              </w:rPr>
            </w:pPr>
          </w:p>
        </w:tc>
        <w:tc>
          <w:tcPr>
            <w:tcW w:w="138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1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80"/>
        </w:trPr>
        <w:tc>
          <w:tcPr>
            <w:tcW w:w="282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7"/>
              </w:rPr>
              <w:t>(1)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James Teague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39,600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1,315,775</w:t>
            </w:r>
          </w:p>
        </w:tc>
        <w:tc>
          <w:tcPr>
            <w:tcW w:w="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13,596</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1,377,039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W. Randall Fowler</w:t>
            </w:r>
          </w:p>
        </w:tc>
        <w:tc>
          <w:tcPr>
            <w:tcW w:w="5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29,700</w:t>
            </w:r>
          </w:p>
        </w:tc>
        <w:tc>
          <w:tcPr>
            <w:tcW w:w="2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983,708</w:t>
            </w:r>
          </w:p>
        </w:tc>
        <w:tc>
          <w:tcPr>
            <w:tcW w:w="3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6,286</w:t>
            </w:r>
          </w:p>
        </w:tc>
        <w:tc>
          <w:tcPr>
            <w:tcW w:w="260" w:type="dxa"/>
            <w:vAlign w:val="bottom"/>
          </w:tcPr>
          <w:p>
            <w:pPr>
              <w:spacing w:after="0"/>
              <w:rPr>
                <w:sz w:val="18"/>
                <w:szCs w:val="18"/>
                <w:color w:val="auto"/>
              </w:rPr>
            </w:pP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3,750,000</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4,169</w:t>
            </w:r>
          </w:p>
        </w:tc>
        <w:tc>
          <w:tcPr>
            <w:tcW w:w="2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4,773,863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Graham W. Bacon</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39,600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565,873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4,356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1,000,000</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8,110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1,617,939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Brent B. Secrest</w:t>
            </w:r>
          </w:p>
        </w:tc>
        <w:tc>
          <w:tcPr>
            <w:tcW w:w="5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39,600</w:t>
            </w:r>
          </w:p>
        </w:tc>
        <w:tc>
          <w:tcPr>
            <w:tcW w:w="22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542,476</w:t>
            </w:r>
          </w:p>
        </w:tc>
        <w:tc>
          <w:tcPr>
            <w:tcW w:w="3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1,518</w:t>
            </w:r>
          </w:p>
        </w:tc>
        <w:tc>
          <w:tcPr>
            <w:tcW w:w="260" w:type="dxa"/>
            <w:vAlign w:val="bottom"/>
          </w:tcPr>
          <w:p>
            <w:pPr>
              <w:spacing w:after="0"/>
              <w:rPr>
                <w:sz w:val="18"/>
                <w:szCs w:val="18"/>
                <w:color w:val="auto"/>
              </w:rPr>
            </w:pPr>
          </w:p>
        </w:tc>
        <w:tc>
          <w:tcPr>
            <w:tcW w:w="13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1,000,000</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5,200</w:t>
            </w:r>
          </w:p>
        </w:tc>
        <w:tc>
          <w:tcPr>
            <w:tcW w:w="20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1,588,794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 Daniel Boss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34,485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447,339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950,000</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4,799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1,437,564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jc w:val="both"/>
        <w:ind w:left="440" w:hanging="432"/>
        <w:spacing w:after="0" w:line="229" w:lineRule="auto"/>
        <w:tabs>
          <w:tab w:leader="none" w:pos="4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cash payments made to the named executive officer in connection with (i) distribution equivalent rights (“DERs”) issued in tandem with phantom unit awards and (ii) distributions paid in connection with profits interest awards. With respect to DER amounts allocated to us, the following cash payments were made to the named executive officers during the year ended December 31, 2023: Mr. Teague, $1,315,775; Mr. Fowler, $983,708; Mr. Bacon, $473,388; Mr. Secrest, $468,488; and Mr. Boss, $377,050.</w:t>
      </w:r>
    </w:p>
    <w:p>
      <w:pPr>
        <w:jc w:val="both"/>
        <w:ind w:left="440" w:hanging="432"/>
        <w:spacing w:after="0" w:line="233" w:lineRule="auto"/>
        <w:tabs>
          <w:tab w:leader="none" w:pos="4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for each of Messrs. Fowler, Bacon, Secrest and Boss relate to a four-year employee retention agreement that was settled in June 2023 and reflects the amount charged to us based on the percentage of time that each applicable named executive officer spent on our business and affairs since the retention agreement was originally executed. For more information regarding employee retention agreements involving our named executive officers see “Compensation Discussion and Analysis”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Elements of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respect to our named executive officers, compensation paid or awarded by us reflects only that portion of compensation paid by EPCO and allocated to us pursuant to the ASA, including an allocation of a portion of the cost of long-term incentive plans of EPCO. The elements of EPCO’s compensation program, along with EPCO’s other incentives (e.g., benefits, work environment and career development), are intended to provide a total rewards package to employees. The objective of EPCO’s compensation program is to provide competitive compensation opportunities that will align and drive employee performance toward the creation of sustained long-term unitholder value. We believe that our compensation program allows us to attract, motivate and retain high quality talent with the skills and competencies that we require. Our compensation packages are designed to reward contributions by employees in support of the business strategies of EPCO and its affiliates at both our partnership and individual levels and to avoid risks that are likely to conflict with our risk management policies.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years ended December 31, 2023, the primary elements of compensation for the named executive officers consisted of annual cash base salary, a discretionary annual bonus, equity awards under long-term incentive arrangements and other compensation, including very limited perquisites. With respect to the annual periods presented in the Summary Compensation Table, EPCO’s compensation package for the named executive officers did not include any compensation elements based on targeted performance-based criteria other than as described with respect to the Employee Partnerships under the heading “Profits Interest Awards” in Note 13 of the Notes to Consolidated Financial Statements included under Part II, Item 8 of this annual report. We believe that minimizing targeted performance-based criteria has the effect of discouraging excessive risk taking by our named executive officers.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base salaries of our named executive officers during the three years ended December 31, 2023 were largely budget-driven and made consistent relative to increases in the base salaries of our other executive officers.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bonus awards are discretionary and, in combination with annual base salaries, are intended to yield competitive total compensation levels for the named executive officers and drive performance in support of our business strategies. A subjective judgment of each named executive officer’s performance and individual contributions to our business for those periods is taken into account and reflected in the annual bonus amounts. The bonus amounts are also based on the level and position of such named executive officers and the relative compensation paid to our other executive officers, and subjective judgment with respect to overall performance measures may differ based on the position of each named executive officer. The annual bonus amount presented for each named executive officer also reflects a general consideration of our overall financial and certain operating results for those periods. This general consideration takes into account the following specific financial measures: adjusted cash flow from operating activities per unit, distributable cash flow per unit, gross operating margin, return on invested capital, and our related performance trends relative to peers. The general consideration also takes into account certain of our non-financial, operating performance measures relative to peers (including safety performance). No specific weight or formula is given to any particular financial or operating performance measure.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named executive officers has been granted equity-based compensation. The amount of equity-based compensation granted to our named executive officers reflects a subjective judgment of each named executive officer’s performance and individual contributions to our business. The values of equity-based awards granted to the named executive officers are also based on the level and position of such named executive officers and the relative compensation paid to our other executive officers. Such values also reflect a general consideration of our overall financial and certain operating results (as described in the preceding paragraph), without any specific weight or formula given to any particular financial or operating performance measure. Each of the named executive officers received grants of phantom unit awards for the periods presented in the summary compensation table. Each phantom unit award vests upon completion of a specified employment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each of our named executive officers has been granted a “profits interest” award (in the form of Class B limited partner interests) in one or more Employee Partnerships, which function as long-term incentive arrangements for key employees of EPCO. If certain conditions are met, the employee participants in each Employee Partnership will be entitled to (i) a residual profits interest in the assets of the Employee Partnership at liquidation, along with (ii) quarterly cash distributions. The residual assets to be distributed, if any, consist of common units of Enterprise Products Partners L.P. owned by the Employee Partnership.</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last remaining Employee Partnership in which one or more of our named executive officers currently participate is EPD 2018 Unit IV L.P. (“EPD IV”). Messrs. Bacon, Secrest and Boss participate in EPD IV as Class B limited partners therein. In November 2023, the partners of EPD IV amended their limited partnership agreement to provide for the vesting of their Class B limited partner interests on the earliest of (i) December 3, 2027, (ii) the first date on or after November 6, 2023 for which the closing sale price of the Partnership’s common units on the NYSE is equal to or greater than $29.02 per unit (subject to certain adjustments), (iii) a change of control, or (iv) dissolution of such Employee Partnership. As a result of these modifications, the compensation for Messrs. Bacon, Secrest and Boss attributable to equity-based awards for 2023 increased.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EPCO expects to continue its policy of paying for limited perquisites attributable to our named executive officers. EPCO also makes matching contributions under its defined contribution plans for the benefit of our named executive officers in the same manner as it does for other EPCO employees.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EPCO does not offer our named executive officers a defined benefit pension plan. Also, none of our named executive officers had nonqualified deferred compensation during the three years ended December 31, 2023.</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2019, each of our named executive officers entered into a separate retention bonus agreement with EPCO. Pursuant to the retention bonus agreements, each such person was entitled to a cash retention payment of $5 million (in the case of each of Messrs. Teague and Fowler) and $1 million (in the case of each of Messrs. Bacon, Secrest and Boss), less all applicable withholding taxes and other required deductions on such payment (in each case, the applicable “Retention Payment”), in a lump sum within seven business days following his completion of continuous active fulltime employment with EPCO from April 15, 2019 through (i) May 31, 2022 (in the case of Mr. Teague) or (ii) May 31, 2023 (in the case of each of Messrs. Fowler, Bacon, Secrest and Boss) (in each case, the applicable “Retention Period”), and provided that such person continues to perform his duties during the applicable Retention Period in a highly effective manner, as determined in the good faith discretion of EPCO’s key executives (the “Performance Requirement”). Any Retention Payment is in addition to any discretionary incentive compensation that EPCO or any of its affiliates may grant or have in place from time to time.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Retention Period and Performance Requirement under Mr. Teague’s retention bonus agreement were satisfied on May 31, 2022, and the full amount of Mr. Teague’s applicable Retention Payment was paid to him in June 2022. The applicable Retention Period and Performance Requirement under each of Messrs. Fowler’s, Bacon’s, Secrest’s and Boss’s retention bonus agreements were satisfied on May 31, 2023, and the full amount of the applicable Retention Payments were paid in June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 of Decision-Making Process Regarding Compensation of Named Executive Officers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subcommittee of the Governance Committee of our general partner, the Incentive Plan Administration Subcommittee (the “IPA Subcommittee”), has final and ultimate decision-making authority with respect to all aspects of compensation of our Co-CEOs. The IPA Subcommittee, at its sole option and in its sole discretion, consider input and recommendations from the EPCO Trustees and EPCO’s Human Resources department in making its compensation decisions for our Co-CEOs. The current members of the IPA Subcommittee are Ms. Barth, Mr. Hackett and Mr. Rutherford, all of whom are “Non-Employee Directors” (as defined in SEC Rule 16b-3).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of our other named executive officers (other than equity-based awards granted under EPCO’s long-term incentive plans) is determined by our Co-CEOs. Neither EPCO nor Enterprise GP has a separate compensation committee; however, grants of equity-based compensation under EPCO’s long-term incentive plans (e.g., phantom unit awards) to our named executive officers, including our Co-CEOs, have been approved by the IPA Subcommittee.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profits interest awards was approved by EPCO’s board of directors.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overall compensation for each named executive officer is not based on any formula or specific performance criteria; rather, the IPA Subcommittee, our Co-CEOs, and EPCO (as applicable) determine an appropriate level and mix of compensation for each officer on a case-by-case basis. Further, there is no established policy or target for the allocation between either cash and non-cash or short-term and long-term incentive compensation. However, some considerations that may be taken into account in making the case-by-case compensation determinations include the total value of all elements of compensation, the appropriate balance of internal pay equity among our executive officers, individual performance and potential, levels of responsibility and value to the organization. All compensation determinations are subjective and discretionary.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making compensation decisions, EPCO considers market data for determining relevant compensation levels and compensation program elements through the review of and, in certain cases, participation in, relevant compensation surveys and reports. These surveys and reports are conducted and prepared by third party compensation consultants. In 2023, EPCO engaged Meridian Compensation Partners, LLC (the “Consultant”) to complete a detailed review of executive compensation relative to our industry. In connection with this review, the Consultant provided comparative market data on compensation practices and programs for executive level positions based on an analysis of industry participants. The market data for industry participants included information from Dominion Energy, Inc.; Enbridge Inc.; Energy Transfer LP; Kinder Morgan Inc.; Magellan Midstream Partners, L.P.; ONEOK, Inc.; Plains All American Pipeline, L.P.; Targa Resources Corporation; The Williams Companies, Inc.; and TC Energy Corporation.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EPCO, which engaged the Consultant, are aware of the specific data of the companies included in the Consultant’s proprietary database for specific positions. EPCO uses the information provided in the Consultant’s analysis to gauge whether compensation levels reported by the Consultant and the general ranges of compensation for EPCO employees in similar positions are comparable. However, that comparison is only a factor taken into consideration and may or may not impact compensation of our named executive officers. EPCO does not otherwise engage in benchmarking for the named executive officers’ positions.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Allocation of Compensation Between Us and EPCO and its Other Affiliates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ASA, the compensation costs of our named executive officers, including those costs related to equity-based awards, are allocated between us and other affiliates of EPCO based on the estimated amount of time that each officer spends on our consolidated businesses in any fiscal year. These percentages are reassessed at least quarterly.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Messrs. Fowler and Boss, each of our named executive officers devoted all of their time to our consolidated businesses during the years ended December 31, 2023, 2022 and 2021. Mr. Fowler devoted approximately 75% of his time to our consolidated businesses during this three year period, with the remainder of his time allocated to EPCO and its privately held affiliates. On average, Mr. Boss devoted approximately 95% of his time to our consolidated businesses during 2023, with the remainder of his time allocated to EPCO and its privately held affiliates.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Equity-Based Awards in Fiscal Year 2023</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grant of an equity-based award in 2023 to a named executive officer for which we will be allocated our pro rata share of the related cost under the ASA.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960" w:type="dxa"/>
            <w:vAlign w:val="bottom"/>
            <w:tcBorders>
              <w:bottom w:val="single" w:sz="8" w:color="auto"/>
            </w:tcBorders>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178"/>
        </w:trPr>
        <w:tc>
          <w:tcPr>
            <w:tcW w:w="43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Award Type/Named Executive Officer</w:t>
            </w:r>
          </w:p>
        </w:tc>
        <w:tc>
          <w:tcPr>
            <w:tcW w:w="168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Phantom unit awards: </w:t>
            </w:r>
            <w:r>
              <w:rPr>
                <w:rFonts w:ascii="Times New Roman" w:cs="Times New Roman" w:eastAsia="Times New Roman" w:hAnsi="Times New Roman"/>
                <w:sz w:val="14"/>
                <w:szCs w:val="14"/>
                <w:color w:val="auto"/>
              </w:rPr>
              <w:t>(2)</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 James Teague</w:t>
            </w:r>
          </w:p>
        </w:tc>
        <w:tc>
          <w:tcPr>
            <w:tcW w:w="1680" w:type="dxa"/>
            <w:vAlign w:val="bottom"/>
            <w:shd w:val="clear" w:color="auto" w:fill="CCEEFF"/>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2/09/23</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center"/>
              <w:ind w:left="5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7,740,000</w:t>
            </w:r>
          </w:p>
        </w:tc>
        <w:tc>
          <w:tcPr>
            <w:tcW w:w="0" w:type="dxa"/>
            <w:vAlign w:val="bottom"/>
          </w:tcPr>
          <w:p>
            <w:pPr>
              <w:spacing w:after="0"/>
              <w:rPr>
                <w:sz w:val="1"/>
                <w:szCs w:val="1"/>
                <w:color w:val="auto"/>
              </w:rPr>
            </w:pPr>
          </w:p>
        </w:tc>
      </w:tr>
      <w:tr>
        <w:trPr>
          <w:trHeight w:val="148"/>
        </w:trPr>
        <w:tc>
          <w:tcPr>
            <w:tcW w:w="4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 Randall Fowler</w:t>
            </w:r>
          </w:p>
        </w:tc>
        <w:tc>
          <w:tcPr>
            <w:tcW w:w="168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2/09/23</w:t>
            </w:r>
          </w:p>
        </w:tc>
        <w:tc>
          <w:tcPr>
            <w:tcW w:w="9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96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5,805,000</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Graham W. Bacon</w:t>
            </w:r>
          </w:p>
        </w:tc>
        <w:tc>
          <w:tcPr>
            <w:tcW w:w="1680" w:type="dxa"/>
            <w:vAlign w:val="bottom"/>
            <w:shd w:val="clear" w:color="auto" w:fill="CCEEFF"/>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2/09/23</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2,580,000</w:t>
            </w:r>
          </w:p>
        </w:tc>
        <w:tc>
          <w:tcPr>
            <w:tcW w:w="0" w:type="dxa"/>
            <w:vAlign w:val="bottom"/>
          </w:tcPr>
          <w:p>
            <w:pPr>
              <w:spacing w:after="0"/>
              <w:rPr>
                <w:sz w:val="1"/>
                <w:szCs w:val="1"/>
                <w:color w:val="auto"/>
              </w:rPr>
            </w:pPr>
          </w:p>
        </w:tc>
      </w:tr>
      <w:tr>
        <w:trPr>
          <w:trHeight w:val="148"/>
        </w:trPr>
        <w:tc>
          <w:tcPr>
            <w:tcW w:w="4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Brent B. Secrest</w:t>
            </w:r>
          </w:p>
        </w:tc>
        <w:tc>
          <w:tcPr>
            <w:tcW w:w="168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2/09/23</w:t>
            </w:r>
          </w:p>
        </w:tc>
        <w:tc>
          <w:tcPr>
            <w:tcW w:w="9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96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2,580,000</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 Daniel Boss</w:t>
            </w:r>
          </w:p>
        </w:tc>
        <w:tc>
          <w:tcPr>
            <w:tcW w:w="1680" w:type="dxa"/>
            <w:vAlign w:val="bottom"/>
            <w:shd w:val="clear" w:color="auto" w:fill="CCEEFF"/>
          </w:tcPr>
          <w:p>
            <w:pPr>
              <w:jc w:val="center"/>
              <w:ind w:left="328"/>
              <w:spacing w:after="0" w:line="149" w:lineRule="exact"/>
              <w:rPr>
                <w:sz w:val="20"/>
                <w:szCs w:val="20"/>
                <w:color w:val="auto"/>
              </w:rPr>
            </w:pPr>
            <w:r>
              <w:rPr>
                <w:rFonts w:ascii="Times New Roman" w:cs="Times New Roman" w:eastAsia="Times New Roman" w:hAnsi="Times New Roman"/>
                <w:sz w:val="14"/>
                <w:szCs w:val="14"/>
                <w:color w:val="auto"/>
              </w:rPr>
              <w:t>2/09/23</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92,500</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2,267,175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Profits interest awards: </w:t>
            </w:r>
            <w:r>
              <w:rPr>
                <w:rFonts w:ascii="Times New Roman" w:cs="Times New Roman" w:eastAsia="Times New Roman" w:hAnsi="Times New Roman"/>
                <w:sz w:val="14"/>
                <w:szCs w:val="14"/>
                <w:color w:val="auto"/>
              </w:rPr>
              <w:t>(3)</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Graham W. Bacon</w:t>
            </w:r>
          </w:p>
        </w:tc>
        <w:tc>
          <w:tcPr>
            <w:tcW w:w="1680" w:type="dxa"/>
            <w:vAlign w:val="bottom"/>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11/06/23</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756,500</w:t>
            </w:r>
          </w:p>
        </w:tc>
        <w:tc>
          <w:tcPr>
            <w:tcW w:w="0" w:type="dxa"/>
            <w:vAlign w:val="bottom"/>
          </w:tcPr>
          <w:p>
            <w:pPr>
              <w:spacing w:after="0"/>
              <w:rPr>
                <w:sz w:val="1"/>
                <w:szCs w:val="1"/>
                <w:color w:val="auto"/>
              </w:rPr>
            </w:pPr>
          </w:p>
        </w:tc>
      </w:tr>
      <w:tr>
        <w:trPr>
          <w:trHeight w:val="148"/>
        </w:trPr>
        <w:tc>
          <w:tcPr>
            <w:tcW w:w="4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Brent B. Secrest</w:t>
            </w:r>
          </w:p>
        </w:tc>
        <w:tc>
          <w:tcPr>
            <w:tcW w:w="168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11/06/23</w:t>
            </w:r>
          </w:p>
        </w:tc>
        <w:tc>
          <w:tcPr>
            <w:tcW w:w="9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605,200</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 Daniel Boss</w:t>
            </w:r>
          </w:p>
        </w:tc>
        <w:tc>
          <w:tcPr>
            <w:tcW w:w="1680" w:type="dxa"/>
            <w:vAlign w:val="bottom"/>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11/06/23</w:t>
            </w:r>
          </w:p>
        </w:tc>
        <w:tc>
          <w:tcPr>
            <w:tcW w:w="940" w:type="dxa"/>
            <w:vAlign w:val="bottom"/>
            <w:shd w:val="clear" w:color="auto" w:fill="CCEEFF"/>
          </w:tcPr>
          <w:p>
            <w:pPr>
              <w:jc w:val="center"/>
              <w:ind w:lef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jc w:val="both"/>
        <w:ind w:left="500" w:right="20" w:hanging="492"/>
        <w:spacing w:after="0" w:line="229" w:lineRule="auto"/>
        <w:tabs>
          <w:tab w:leader="none" w:pos="5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reflect that portion of grant date fair value allocable to us based on the estimated percentage of time each named executive officer spent on our consolidated business activities during 2023. Based on current allocations, we estimate that the compensation expense we record for each named executive officer with respect to these awards will equal these amounts over time.</w:t>
      </w:r>
    </w:p>
    <w:p>
      <w:pPr>
        <w:ind w:left="500" w:hanging="492"/>
        <w:spacing w:after="0" w:line="221" w:lineRule="auto"/>
        <w:tabs>
          <w:tab w:leader="none" w:pos="5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presented for the phantom unit awards is based, in part, on the closing price of our common units on February 9, 2023 of $25.80 per unit.</w:t>
      </w:r>
    </w:p>
    <w:p>
      <w:pPr>
        <w:ind w:left="500" w:right="20" w:hanging="492"/>
        <w:spacing w:after="0" w:line="239" w:lineRule="auto"/>
        <w:tabs>
          <w:tab w:leader="none" w:pos="5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incremental fair value of the modifications of Mr. Bacon’s, Mr. Secrest’s and Mr. Boss’s respective profits interest awards in EPD IV, computed as of the amendment date of November 6, 2023.</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amounts presented in the preceding table are based on certain assumptions and considerations made by management. For information regarding these assumptions and considerations, see Note 13 of the Notes to Consolidated Financial Statements included under Part II, Item 8 of this annual report.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2008 Enterprise Products Long-Term Incentive Plan (Fourth Amendment and Restatement) (the “2008 Plan”) provides for incentive awards to EPCO’s key employees and non-employee directors and consultants who perform management, administrative or operational functions for us or our affiliates. Awards granted under the 2008 Plan may be in the form of phantom units, DERs, restricted common units, unit options, unit appreciation rights and other unit-based awards or substitute awards. For information regarding the number of common units authorized for issuance under the 2008 Plan, see “</w:t>
      </w:r>
      <w:r>
        <w:rPr>
          <w:rFonts w:ascii="Times New Roman" w:cs="Times New Roman" w:eastAsia="Times New Roman" w:hAnsi="Times New Roman"/>
          <w:sz w:val="18"/>
          <w:szCs w:val="18"/>
          <w:i w:val="1"/>
          <w:iCs w:val="1"/>
          <w:color w:val="auto"/>
        </w:rPr>
        <w:t>Securities Authorized for Issuance Under Equity Compensation Plans</w:t>
      </w:r>
      <w:r>
        <w:rPr>
          <w:rFonts w:ascii="Times New Roman" w:cs="Times New Roman" w:eastAsia="Times New Roman" w:hAnsi="Times New Roman"/>
          <w:sz w:val="18"/>
          <w:szCs w:val="18"/>
          <w:color w:val="auto"/>
        </w:rPr>
        <w:t>” under Part III, Item 12 of this annual report.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Phantom unit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Phantom unit awards allow recipients to acquire our common units (at no cost to the recipient apart from fulfilling service and other conditions) once a defined vesting period expires, subject to customary forfeiture provisions. Phantom unit awards generally vest at a rate of 25% per year beginning one year after the grant date. Each phantom unit award includes a tandem DER, which entitles the holder to nonforfeitable cash payments equal to the product of the number of phantom unit awards outstanding for the participant and the cash distribution per common unit paid to our common unitholders.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of Equity-Based Awards in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vesting of phantom unit awards and profits interest awards to our named executive officers during the year ended December 31, 2023. These amounts are presented on a gross basis and do not reflect any allocation of compensation to affiliates under the ASA.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144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80" w:type="dxa"/>
            <w:vAlign w:val="bottom"/>
            <w:vMerge w:val="restart"/>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7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4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78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4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78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4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w:t>
            </w:r>
          </w:p>
        </w:tc>
        <w:tc>
          <w:tcPr>
            <w:tcW w:w="1780" w:type="dxa"/>
            <w:vAlign w:val="bottom"/>
            <w:tcBorders>
              <w:bottom w:val="single" w:sz="8" w:color="auto"/>
            </w:tcBorders>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A. James Teague:</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237,500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6,360,250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W. Randall Fowler:</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229,000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6,132,620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Graham W. Bacon:</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91,250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2,443,675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Brent B. Secrest:</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81,250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2,175,875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R. Daniel Boss:</w:t>
            </w: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Vesting of phantom unit awards (2)</w:t>
            </w:r>
          </w:p>
        </w:tc>
        <w:tc>
          <w:tcPr>
            <w:tcW w:w="144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w w:val="98"/>
              </w:rPr>
              <w:t>62,000</w:t>
            </w:r>
          </w:p>
        </w:tc>
        <w:tc>
          <w:tcPr>
            <w:tcW w:w="1780" w:type="dxa"/>
            <w:vAlign w:val="bottom"/>
            <w:shd w:val="clear" w:color="auto" w:fill="CCEEFF"/>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1,660,360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gross number of Partnership common units acquired upon vesting of phantom unit and profits interest awards, before adjustments for associated tax withholdings.</w:t>
      </w:r>
    </w:p>
    <w:p>
      <w:pPr>
        <w:spacing w:after="0" w:line="3" w:lineRule="exact"/>
        <w:rPr>
          <w:rFonts w:ascii="Times New Roman" w:cs="Times New Roman" w:eastAsia="Times New Roman" w:hAnsi="Times New Roman"/>
          <w:sz w:val="14"/>
          <w:szCs w:val="14"/>
          <w:color w:val="auto"/>
        </w:rPr>
      </w:pPr>
    </w:p>
    <w:p>
      <w:pPr>
        <w:ind w:left="520" w:right="20" w:hanging="512"/>
        <w:spacing w:after="0" w:line="239" w:lineRule="auto"/>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realized on vesting of the phantom unit awards determined by multiplying the gross number of Partnership common units received by the closing price of our common units on the date of vesting.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 Outstanding at December 31,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summarizes each named executive officer’s long-term incentive awards outstanding at December 31, 2023. These amounts are presented on a gross basis and do not reflect any allocation of compensation to affiliates under the ASA.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Unit Awards</w:t>
            </w:r>
          </w:p>
        </w:tc>
        <w:tc>
          <w:tcPr>
            <w:tcW w:w="240" w:type="dxa"/>
            <w:vAlign w:val="bottom"/>
            <w:tcBorders>
              <w:bottom w:val="single" w:sz="8" w:color="auto"/>
            </w:tcBorders>
          </w:tcPr>
          <w:p>
            <w:pPr>
              <w:spacing w:after="0"/>
              <w:rPr>
                <w:sz w:val="15"/>
                <w:szCs w:val="15"/>
                <w:color w:val="auto"/>
              </w:rPr>
            </w:pPr>
          </w:p>
        </w:tc>
      </w:tr>
      <w:tr>
        <w:trPr>
          <w:trHeight w:val="233"/>
        </w:trPr>
        <w:tc>
          <w:tcPr>
            <w:tcW w:w="8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2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20"/>
                <w:szCs w:val="20"/>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2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72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240" w:type="dxa"/>
            <w:vAlign w:val="bottom"/>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72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240" w:type="dxa"/>
            <w:vAlign w:val="bottom"/>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72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240" w:type="dxa"/>
            <w:vAlign w:val="bottom"/>
          </w:tcPr>
          <w:p>
            <w:pPr>
              <w:spacing w:after="0"/>
              <w:rPr>
                <w:sz w:val="18"/>
                <w:szCs w:val="18"/>
                <w:color w:val="auto"/>
              </w:rPr>
            </w:pPr>
          </w:p>
        </w:tc>
      </w:tr>
      <w:tr>
        <w:trPr>
          <w:trHeight w:val="206"/>
        </w:trPr>
        <w:tc>
          <w:tcPr>
            <w:tcW w:w="81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Award Type/Named Executive Officer</w:t>
            </w:r>
          </w:p>
        </w:tc>
        <w:tc>
          <w:tcPr>
            <w:tcW w:w="118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w:t>
            </w:r>
          </w:p>
        </w:tc>
        <w:tc>
          <w:tcPr>
            <w:tcW w:w="1720" w:type="dxa"/>
            <w:vAlign w:val="bottom"/>
            <w:tcBorders>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(2,3)</w:t>
            </w:r>
          </w:p>
        </w:tc>
        <w:tc>
          <w:tcPr>
            <w:tcW w:w="240" w:type="dxa"/>
            <w:vAlign w:val="bottom"/>
            <w:tcBorders>
              <w:bottom w:val="single" w:sz="8" w:color="auto"/>
            </w:tcBorders>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Phantom unit awards: </w:t>
            </w:r>
            <w:r>
              <w:rPr>
                <w:rFonts w:ascii="Times New Roman" w:cs="Times New Roman" w:eastAsia="Times New Roman" w:hAnsi="Times New Roman"/>
                <w:sz w:val="14"/>
                <w:szCs w:val="14"/>
                <w:color w:val="auto"/>
              </w:rPr>
              <w:t>(4)</w:t>
            </w: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James Teague</w:t>
            </w:r>
          </w:p>
        </w:tc>
        <w:tc>
          <w:tcPr>
            <w:tcW w:w="118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680,000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$ 17,918,000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W. Randall Fowler</w:t>
            </w: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680,000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17,918,000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Graham W. Bacon</w:t>
            </w:r>
          </w:p>
        </w:tc>
        <w:tc>
          <w:tcPr>
            <w:tcW w:w="118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241,250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6,356,938</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Brent B. Secrest</w:t>
            </w:r>
          </w:p>
        </w:tc>
        <w:tc>
          <w:tcPr>
            <w:tcW w:w="11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241,250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6,356,938</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 Daniel Boss</w:t>
            </w:r>
          </w:p>
        </w:tc>
        <w:tc>
          <w:tcPr>
            <w:tcW w:w="118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rPr>
              <w:t>208,000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5,480,800</w:t>
            </w:r>
          </w:p>
        </w:tc>
      </w:tr>
      <w:tr>
        <w:trPr>
          <w:trHeight w:val="216"/>
        </w:trPr>
        <w:tc>
          <w:tcPr>
            <w:tcW w:w="8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Profits interest awards:</w:t>
            </w:r>
          </w:p>
        </w:tc>
        <w:tc>
          <w:tcPr>
            <w:tcW w:w="1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Graham W. Bacon:</w:t>
            </w: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EPD IV (5)</w:t>
            </w:r>
          </w:p>
        </w:tc>
        <w:tc>
          <w:tcPr>
            <w:tcW w:w="118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Brent B. Secrest:</w:t>
            </w: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EPD IV (5)</w:t>
            </w:r>
          </w:p>
        </w:tc>
        <w:tc>
          <w:tcPr>
            <w:tcW w:w="118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R. Daniel Boss:</w:t>
            </w: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EPD IV (5)</w:t>
            </w:r>
          </w:p>
        </w:tc>
        <w:tc>
          <w:tcPr>
            <w:tcW w:w="1180" w:type="dxa"/>
            <w:vAlign w:val="bottom"/>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80" w:hanging="472"/>
        <w:spacing w:after="0"/>
        <w:tabs>
          <w:tab w:leader="none" w:pos="4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number of phantom unit awards outstanding for each named executive officer.</w:t>
      </w:r>
    </w:p>
    <w:p>
      <w:pPr>
        <w:spacing w:after="0" w:line="3" w:lineRule="exact"/>
        <w:rPr>
          <w:rFonts w:ascii="Times New Roman" w:cs="Times New Roman" w:eastAsia="Times New Roman" w:hAnsi="Times New Roman"/>
          <w:sz w:val="14"/>
          <w:szCs w:val="14"/>
          <w:color w:val="auto"/>
        </w:rPr>
      </w:pPr>
    </w:p>
    <w:p>
      <w:pPr>
        <w:ind w:left="480" w:hanging="472"/>
        <w:spacing w:after="0" w:line="221" w:lineRule="auto"/>
        <w:tabs>
          <w:tab w:leader="none" w:pos="4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amounts presented for phantom unit awards, the market values were derived by multiplying the total number of awards outstanding for the named executive officer by the closing price of Partnership common units on December 29, 2023 (the last trading day of 2023) of $26.35 per unit.</w:t>
      </w:r>
    </w:p>
    <w:p>
      <w:pPr>
        <w:jc w:val="both"/>
        <w:ind w:left="480" w:hanging="472"/>
        <w:spacing w:after="0" w:line="221" w:lineRule="auto"/>
        <w:tabs>
          <w:tab w:leader="none" w:pos="4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amounts presented for the profits interest awards, amount represents the estimated liquidation value to be received by the named executive officer based on the closing price of Partnership common units on December 29, 2023 and the terms of liquidation outlined in the applicable Employee Partnership agreement. There was no residual profits interest in any of the Employee Partnerships due to a decrease in the market value of the Partnership common units they own since the formation date of each respective Employee Partnership.</w:t>
      </w:r>
    </w:p>
    <w:p>
      <w:pPr>
        <w:ind w:left="480" w:hanging="472"/>
        <w:spacing w:after="0" w:line="221" w:lineRule="auto"/>
        <w:tabs>
          <w:tab w:leader="none" w:pos="4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2,050,500 phantom unit awards presented in the table, the vesting schedule is as follows: 785,625 in 2024; 617,375 in 2025; 424,375 in 2026 and 223,125 in 2027.</w:t>
      </w:r>
    </w:p>
    <w:p>
      <w:pPr>
        <w:jc w:val="both"/>
        <w:ind w:left="480" w:hanging="472"/>
        <w:spacing w:after="0" w:line="233" w:lineRule="auto"/>
        <w:tabs>
          <w:tab w:leader="none" w:pos="4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EPD IV, the profits interest share held by Messrs. Bacon, Secrest and Boss at December 31, 2023 was approximately 5.78%, 4.62% and 4.62%, respectively. The vesting date of the profits interests awards for EPD IV is the earliest of (i) December 3, 2027, (ii) the first date on or after November 6, 2023 for which the closing sale price of the Partnership’s common units on the NYSE is equal to or greater than $29.02 per unit (subject to certain adjustments), (iii) a change of control, or (iv) dissolution of such Employee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Phantom unit awards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phantom unit awards, see “</w:t>
      </w:r>
      <w:r>
        <w:rPr>
          <w:rFonts w:ascii="Times New Roman" w:cs="Times New Roman" w:eastAsia="Times New Roman" w:hAnsi="Times New Roman"/>
          <w:sz w:val="18"/>
          <w:szCs w:val="18"/>
          <w:i w:val="1"/>
          <w:iCs w:val="1"/>
          <w:color w:val="auto"/>
        </w:rPr>
        <w:t>Grants of Equity-Based Awards in Fiscal Year 2023</w:t>
      </w:r>
      <w:r>
        <w:rPr>
          <w:rFonts w:ascii="Times New Roman" w:cs="Times New Roman" w:eastAsia="Times New Roman" w:hAnsi="Times New Roman"/>
          <w:sz w:val="18"/>
          <w:szCs w:val="18"/>
          <w:color w:val="auto"/>
        </w:rPr>
        <w:t>” within this Item 11.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Profits interest awards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a description of the profits interest awards, see Note 13 of the Notes to Consolidated Financial Statements included under Part II, Item 8 of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named executive officers have any employment agreements that call for the payment of termination or severance benefits or provide for any payments in the event of a change in control of Enterprise GP.</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vesting of profits interest awards under the Employee Partnerships is subject to acceleration upon a change of control. In addition, the vesting of equity-based awards under EPCO’s long-term incentive plans is subject to acceleration upon a qualifying termination, including termination after a change of control of Enterprise GP. A qualifying termination under such awards generally means a termination as an employee of EPCO or an affiliated group member (i) upon death, (ii) a qualifying long-term disability, (iii) a qualifying retirement, or (iv) within one year after a change of control, other than a termination for cause or termination by such person that is not a qualifying termination for good reason (as such terms are defined in the underlying plan documents).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of control” under these awards is generally defined to mean that the descendants, heirs and/or legatees of Dan L Duncan, and/or trusts (including, without limitation, one or more voting trusts) established for their benefit, collectively, cease, directly or indirectly, to control our general partner. Mr. Duncan passed away in March 2010.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 separate compensation committee. In addition, we do not directly employ or compensate our named executive officers. Rather, under the ASA, we reimburse EPCO for the compensation of our executive officers. As described in Compensation Discussion and Analysis, decisions regarding the compensation of our named executive officers with respect to 2023 were made, as applicable, by EPCO and Enterprise GP’s Co-CEOs and the IPA Subcommittee.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light of the foregoing, the Board has reviewed and discussed with management the Compensation Discussion and Analysis set forth above and determined that it be included in this annual report for the year ended December 31, 2023.</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Submitted by:</w:t>
      </w:r>
      <w:r>
        <w:rPr>
          <w:sz w:val="20"/>
          <w:szCs w:val="20"/>
          <w:color w:val="auto"/>
        </w:rPr>
        <w:tab/>
      </w:r>
      <w:r>
        <w:rPr>
          <w:rFonts w:ascii="Times New Roman" w:cs="Times New Roman" w:eastAsia="Times New Roman" w:hAnsi="Times New Roman"/>
          <w:sz w:val="17"/>
          <w:szCs w:val="17"/>
          <w:color w:val="auto"/>
        </w:rPr>
        <w:t>Randa Duncan Williams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Richard H. Bachmann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James Teague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Randall Fowler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Carin M. Barth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Murray E. Brasseux</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Rebecca G. Followill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James T. Hackett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William C. Montgomery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John R. Rutherford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Harry P. Weitzel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any previous filings under the Securities Act, as amended, or the Securities Exchange Act, as amended, that incorporate future filings, including this annual report, in whole or in part, the foregoing Compensation Committee Report shall not be incorporated by reference into any such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directors or executive officers of Enterprise GP served as members of the compensation committee of another entity that has or had an executive officer who served as a member of our Board during the year ended December 31, 2023. As previously noted, we do not have a separate compensation committee. As described in Compensation Discussion and Analysis, decisions regarding the compensation of our named executive officers with respect to 2023 were made, as applicable, by EPCO and Enterprise GP’s Co-CEOs and the IPA Subcommittee.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2023, the Board adopted a Policy on Recoupment of Incentive Compensation (the “Clawback Policy”) in compliance with SEC rules and NYSE listing standards. Under the Clawback Policy, we are required in certain situations to recoup incentive compensation paid or payable to certain current or former executive officers, including the named executive officers, in the event of an accounting restatement.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median of the total annual compensation of all employees of EPCO, other than our Co-CEOs, was $131,668 for the year ended December 31, 2023 (the “fiscal 2023 median total annual compensation”). Mr. Teague and Mr. Fowler served as Co-CEOs of Enterprise GP during the year ended December 31, 2023. Mr. Teague’s fiscal 2023 annual total compensation was $13,966,539 and Mr. Fowler’s fiscal 2023 annual total compensation allocated to us was $14,215,988. The ratio of the fiscal 2023 median total annual compensation to Mr. Teague’s fiscal 2023 annual total compensation was 106:1. The ratio of the fiscal 2023 median total annual compensation to Mr. Fowler’s fiscal 2023 annual total compensation was 108:1.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2023 median total annual compensation was determined as follows:</w:t>
      </w:r>
    </w:p>
    <w:p>
      <w:pPr>
        <w:spacing w:after="0" w:line="225" w:lineRule="exact"/>
        <w:rPr>
          <w:sz w:val="20"/>
          <w:szCs w:val="20"/>
          <w:color w:val="auto"/>
        </w:rPr>
      </w:pPr>
    </w:p>
    <w:p>
      <w:pPr>
        <w:jc w:val="both"/>
        <w:ind w:left="500" w:hanging="330"/>
        <w:spacing w:after="0" w:line="213" w:lineRule="auto"/>
        <w:tabs>
          <w:tab w:leader="none" w:pos="536" w:val="left"/>
        </w:tabs>
        <w:numPr>
          <w:ilvl w:val="0"/>
          <w:numId w:val="7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First, a list was prepared of all active EPCO employees, excluding Mr. Teague, Mr. Fowler and those on long-term disability, that devote all or a substantial portion of their time to our consolidated businesses and affairs. This list was based on employee information as of December 31, 2023. There are approximately 7,447 EPCO personnel who spend all or a substantial portion of their time engaged in our business.</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7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Second, basic wage data for each active EPCO employee, excluding Mr. Teague, Mr. Fowler and those on long-term disability, was extracted from Form W-2 information provided to the Internal Revenue Service for fiscal 2023. This information was then sorted and the employee who earned the median compensation (the “median employee”) was selected from the list.</w:t>
      </w:r>
    </w:p>
    <w:p>
      <w:pPr>
        <w:spacing w:after="0" w:line="200"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7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Third, once the median employee was selected, his or her respective total annual compensation for 2023 was determined using the same method used to determine Mr. Teague’s and Mr. Fowler’s total annual compensation for 2023 as presented in the Summary Compensation Table within this Part III, Item 11.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each of the independent voting directors of Enterprise GP received the following compensation:</w:t>
      </w:r>
    </w:p>
    <w:p>
      <w:pPr>
        <w:spacing w:after="0" w:line="225" w:lineRule="exact"/>
        <w:rPr>
          <w:sz w:val="20"/>
          <w:szCs w:val="20"/>
          <w:color w:val="auto"/>
        </w:rPr>
      </w:pPr>
    </w:p>
    <w:p>
      <w:pPr>
        <w:ind w:left="500" w:right="20" w:hanging="330"/>
        <w:spacing w:after="0" w:line="199" w:lineRule="auto"/>
        <w:tabs>
          <w:tab w:leader="none" w:pos="500" w:val="left"/>
        </w:tabs>
        <w:numPr>
          <w:ilvl w:val="0"/>
          <w:numId w:val="7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$90,000 annual cash retainer and an annual grant of the Partnership’s common units having a fair market value of $90,000, based on the closing price of such common units on the trading day immediately preceding grant date;</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7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$2,500 per meeting cash fee for attendance at each meeting of the Board (other than a quarterly Board meeting);</w:t>
      </w:r>
    </w:p>
    <w:p>
      <w:pPr>
        <w:spacing w:after="0" w:line="197" w:lineRule="exact"/>
        <w:rPr>
          <w:rFonts w:ascii="Times New Roman" w:cs="Times New Roman" w:eastAsia="Times New Roman" w:hAnsi="Times New Roman"/>
          <w:sz w:val="29"/>
          <w:szCs w:val="29"/>
          <w:color w:val="auto"/>
          <w:vertAlign w:val="superscript"/>
        </w:rPr>
      </w:pPr>
    </w:p>
    <w:p>
      <w:pPr>
        <w:jc w:val="both"/>
        <w:ind w:left="500" w:hanging="330"/>
        <w:spacing w:after="0" w:line="213" w:lineRule="auto"/>
        <w:tabs>
          <w:tab w:leader="none" w:pos="500" w:val="left"/>
        </w:tabs>
        <w:numPr>
          <w:ilvl w:val="0"/>
          <w:numId w:val="7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$2,500 per meeting cash fee for attendance at each meeting of a committee or subcommittee of which such director is a member (other than any committee or subcommittee meeting that occurs on the same day as (i) a Board meeting and/or (ii) a previous meeting of a committee or subcommittee of which such director is a member);</w:t>
      </w:r>
    </w:p>
    <w:p>
      <w:pPr>
        <w:spacing w:after="0" w:line="101"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7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individual served as a chairman of the Audit and Conflicts Committee, an additional $25,000 annual cash retainer; and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7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the individual served as a chairman of the Governance Committee, an additional $20,000 annual cash retainer.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program for independent voting directors for 2024 is expected to be the same as 2023.</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bear all costs attributable to the compensation of independent voting directors of Enterprise GP. The following table summarizes compensation paid to these directors in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2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or Paid</w:t>
            </w:r>
          </w:p>
        </w:tc>
        <w:tc>
          <w:tcPr>
            <w:tcW w:w="220" w:type="dxa"/>
            <w:vAlign w:val="bottom"/>
          </w:tcPr>
          <w:p>
            <w:pPr>
              <w:spacing w:after="0"/>
              <w:rPr>
                <w:sz w:val="18"/>
                <w:szCs w:val="18"/>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Equity-Based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220" w:type="dxa"/>
            <w:vAlign w:val="bottom"/>
          </w:tcPr>
          <w:p>
            <w:pPr>
              <w:spacing w:after="0"/>
              <w:rPr>
                <w:sz w:val="18"/>
                <w:szCs w:val="18"/>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8"/>
                <w:szCs w:val="18"/>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59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Independent Voting Director</w:t>
            </w:r>
          </w:p>
        </w:tc>
        <w:tc>
          <w:tcPr>
            <w:tcW w:w="1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Carin M. Barth</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90,000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185,000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Murray E. Brasseux</w:t>
            </w:r>
          </w:p>
        </w:tc>
        <w:tc>
          <w:tcPr>
            <w:tcW w:w="15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2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90,000</w:t>
            </w:r>
          </w:p>
        </w:tc>
        <w:tc>
          <w:tcPr>
            <w:tcW w:w="34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200,000</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Rebecca G. Followill</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90,000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James T. Hackett (1)</w:t>
            </w:r>
          </w:p>
        </w:tc>
        <w:tc>
          <w:tcPr>
            <w:tcW w:w="15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115,000</w:t>
            </w:r>
          </w:p>
        </w:tc>
        <w:tc>
          <w:tcPr>
            <w:tcW w:w="2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90,000</w:t>
            </w:r>
          </w:p>
        </w:tc>
        <w:tc>
          <w:tcPr>
            <w:tcW w:w="34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205,000</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C. Montgomery (2)</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90,000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225,000</w:t>
            </w:r>
          </w:p>
        </w:tc>
      </w:tr>
      <w:tr>
        <w:trPr>
          <w:trHeight w:val="233"/>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John R. Rutherford</w:t>
            </w:r>
          </w:p>
        </w:tc>
        <w:tc>
          <w:tcPr>
            <w:tcW w:w="156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92,500</w:t>
            </w:r>
          </w:p>
        </w:tc>
        <w:tc>
          <w:tcPr>
            <w:tcW w:w="22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90,000</w:t>
            </w:r>
          </w:p>
        </w:tc>
        <w:tc>
          <w:tcPr>
            <w:tcW w:w="340" w:type="dxa"/>
            <w:vAlign w:val="bottom"/>
          </w:tcPr>
          <w:p>
            <w:pPr>
              <w:spacing w:after="0"/>
              <w:rPr>
                <w:sz w:val="20"/>
                <w:szCs w:val="20"/>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580" w:hanging="572"/>
        <w:spacing w:after="0"/>
        <w:tabs>
          <w:tab w:leader="none" w:pos="5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Hackett serves as chairman of the Governance Committee.</w:t>
      </w:r>
    </w:p>
    <w:p>
      <w:pPr>
        <w:spacing w:after="0" w:line="3" w:lineRule="exact"/>
        <w:rPr>
          <w:rFonts w:ascii="Times New Roman" w:cs="Times New Roman" w:eastAsia="Times New Roman" w:hAnsi="Times New Roman"/>
          <w:sz w:val="14"/>
          <w:szCs w:val="14"/>
          <w:color w:val="auto"/>
        </w:rPr>
      </w:pPr>
    </w:p>
    <w:p>
      <w:pPr>
        <w:ind w:left="580" w:hanging="572"/>
        <w:spacing w:after="0"/>
        <w:tabs>
          <w:tab w:leader="none" w:pos="5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Montgomery serves as chairman of the Audit and Conflicts Committee.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Mr. Smith and Mr. Snell received $150,000 in cash for his services as an advisory director in 2023. Mr. Smith passed away during the fourth quarter of 2023. Mr. Andras received $20,000 in cash for his services as an honorary director in 2023. Neither we nor Enterprise GP provide additional compensation to employees of EPCO for their services as voting directors of Enterprise GP. The employees of EPCO who served as voting directors of Enterprise GP in 2023 were Ms. Duncan Williams and Messrs. Bachmann, Teague, Fowler and Weitzel.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RELATED UNITHOLDER MATTERS.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16, 2024, regarding each person known by Enterprise GP to beneficially own more than 5% of our limited partner units: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8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6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68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3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of Beneficial Owner</w:t>
            </w:r>
          </w:p>
        </w:tc>
        <w:tc>
          <w:tcPr>
            <w:tcW w:w="3640" w:type="dxa"/>
            <w:vAlign w:val="bottom"/>
            <w:tcBorders>
              <w:bottom w:val="single" w:sz="8" w:color="auto"/>
            </w:tcBorders>
            <w:vMerge w:val="continue"/>
          </w:tcPr>
          <w:p>
            <w:pPr>
              <w:spacing w:after="0"/>
              <w:rPr>
                <w:sz w:val="15"/>
                <w:szCs w:val="15"/>
                <w:color w:val="auto"/>
              </w:rPr>
            </w:pPr>
          </w:p>
        </w:tc>
        <w:tc>
          <w:tcPr>
            <w:tcW w:w="268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3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 Duncan Williams (1)</w:t>
            </w:r>
          </w:p>
        </w:tc>
        <w:tc>
          <w:tcPr>
            <w:tcW w:w="3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Units</w:t>
            </w:r>
          </w:p>
        </w:tc>
        <w:tc>
          <w:tcPr>
            <w:tcW w:w="2680" w:type="dxa"/>
            <w:vAlign w:val="bottom"/>
            <w:shd w:val="clear" w:color="auto" w:fill="CCEEFF"/>
          </w:tcPr>
          <w:p>
            <w:pPr>
              <w:jc w:val="center"/>
              <w:ind w:left="688"/>
              <w:spacing w:after="0" w:line="149" w:lineRule="exact"/>
              <w:rPr>
                <w:sz w:val="20"/>
                <w:szCs w:val="20"/>
                <w:color w:val="auto"/>
              </w:rPr>
            </w:pPr>
            <w:r>
              <w:rPr>
                <w:rFonts w:ascii="Times New Roman" w:cs="Times New Roman" w:eastAsia="Times New Roman" w:hAnsi="Times New Roman"/>
                <w:sz w:val="14"/>
                <w:szCs w:val="14"/>
                <w:color w:val="auto"/>
              </w:rPr>
              <w:t>702,452,294</w:t>
            </w:r>
          </w:p>
        </w:tc>
        <w:tc>
          <w:tcPr>
            <w:tcW w:w="1360" w:type="dxa"/>
            <w:vAlign w:val="bottom"/>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16"/>
        </w:trPr>
        <w:tc>
          <w:tcPr>
            <w:tcW w:w="3560" w:type="dxa"/>
            <w:vAlign w:val="bottom"/>
          </w:tcPr>
          <w:p>
            <w:pPr>
              <w:spacing w:after="0" w:line="216" w:lineRule="exact"/>
              <w:rPr>
                <w:sz w:val="20"/>
                <w:szCs w:val="20"/>
                <w:color w:val="auto"/>
              </w:rPr>
            </w:pPr>
            <w:r>
              <w:rPr>
                <w:rFonts w:ascii="Times New Roman" w:cs="Times New Roman" w:eastAsia="Times New Roman" w:hAnsi="Times New Roman"/>
                <w:sz w:val="14"/>
                <w:szCs w:val="14"/>
                <w:color w:val="auto"/>
              </w:rPr>
              <w:t>1100 Louisiana Street,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w:t>
            </w: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Houston, Texas 77002</w:t>
            </w:r>
          </w:p>
        </w:tc>
        <w:tc>
          <w:tcPr>
            <w:tcW w:w="36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line="261" w:lineRule="auto"/>
        <w:tabs>
          <w:tab w:leader="none" w:pos="4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detailed listing of the ownership amounts that comprise Ms. Duncan Williams’ total beneficial ownership of the Partnership’s common units, see the table presented in the following section, “</w:t>
      </w:r>
      <w:r>
        <w:rPr>
          <w:rFonts w:ascii="Times New Roman" w:cs="Times New Roman" w:eastAsia="Times New Roman" w:hAnsi="Times New Roman"/>
          <w:sz w:val="14"/>
          <w:szCs w:val="14"/>
          <w:i w:val="1"/>
          <w:iCs w:val="1"/>
          <w:color w:val="auto"/>
        </w:rPr>
        <w:t>Security Ownership of Management</w:t>
      </w:r>
      <w:r>
        <w:rPr>
          <w:rFonts w:ascii="Times New Roman" w:cs="Times New Roman" w:eastAsia="Times New Roman" w:hAnsi="Times New Roman"/>
          <w:sz w:val="14"/>
          <w:szCs w:val="14"/>
          <w:color w:val="auto"/>
        </w:rPr>
        <w:t>,” within this Part III, Item 12.</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Duncan Williams is a DD LLC Trustee and an EPCO Trustee. Ms. Duncan Williams is also currently Chairman and a director of EPCO and Chairman of the Board and a director of Enterprise GP. Ms. Duncan Williams disclaims beneficial ownership of the limited partner units beneficially owned by the EPCO Trustees, except to the extent of her voting and dispositive interests in such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the beneficial ownership of the Partnership’s common units, as of February 16, 2024 by (i) the current directors of Enterprise GP; (ii) our named executive officers for 2023; and (iii) the current directors and executive officers (including named executive officers) of Enterprise GP as a group. All beneficial ownership information has been furnished by the respective directors and executive officers. Each person has sole voting and dispositive power over the securities shown unless indicated otherwise.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400" w:type="dxa"/>
            <w:vAlign w:val="bottom"/>
          </w:tcPr>
          <w:p>
            <w:pPr>
              <w:spacing w:after="0"/>
              <w:rPr>
                <w:sz w:val="16"/>
                <w:szCs w:val="16"/>
                <w:color w:val="auto"/>
              </w:rPr>
            </w:pPr>
          </w:p>
        </w:tc>
      </w:tr>
      <w:tr>
        <w:trPr>
          <w:trHeight w:val="216"/>
        </w:trPr>
        <w:tc>
          <w:tcPr>
            <w:tcW w:w="7640" w:type="dxa"/>
            <w:vAlign w:val="bottom"/>
          </w:tcPr>
          <w:p>
            <w:pPr>
              <w:jc w:val="center"/>
              <w:ind w:left="4468"/>
              <w:spacing w:after="0"/>
              <w:rPr>
                <w:sz w:val="20"/>
                <w:szCs w:val="20"/>
                <w:color w:val="auto"/>
              </w:rPr>
            </w:pPr>
            <w:r>
              <w:rPr>
                <w:rFonts w:ascii="Times New Roman" w:cs="Times New Roman" w:eastAsia="Times New Roman" w:hAnsi="Times New Roman"/>
                <w:sz w:val="14"/>
                <w:szCs w:val="14"/>
                <w:b w:val="1"/>
                <w:bCs w:val="1"/>
                <w:color w:val="auto"/>
              </w:rPr>
              <w:t>Positions with</w:t>
            </w:r>
          </w:p>
        </w:tc>
        <w:tc>
          <w:tcPr>
            <w:tcW w:w="22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400" w:type="dxa"/>
            <w:vAlign w:val="bottom"/>
          </w:tcPr>
          <w:p>
            <w:pPr>
              <w:spacing w:after="0"/>
              <w:rPr>
                <w:sz w:val="18"/>
                <w:szCs w:val="18"/>
                <w:color w:val="auto"/>
              </w:rPr>
            </w:pPr>
          </w:p>
        </w:tc>
      </w:tr>
      <w:tr>
        <w:trPr>
          <w:trHeight w:val="216"/>
        </w:trPr>
        <w:tc>
          <w:tcPr>
            <w:tcW w:w="7640" w:type="dxa"/>
            <w:vAlign w:val="bottom"/>
          </w:tcPr>
          <w:p>
            <w:pPr>
              <w:jc w:val="center"/>
              <w:ind w:left="4448"/>
              <w:spacing w:after="0"/>
              <w:rPr>
                <w:sz w:val="20"/>
                <w:szCs w:val="20"/>
                <w:color w:val="auto"/>
              </w:rPr>
            </w:pPr>
            <w:r>
              <w:rPr>
                <w:rFonts w:ascii="Times New Roman" w:cs="Times New Roman" w:eastAsia="Times New Roman" w:hAnsi="Times New Roman"/>
                <w:sz w:val="14"/>
                <w:szCs w:val="14"/>
                <w:b w:val="1"/>
                <w:bCs w:val="1"/>
                <w:color w:val="auto"/>
              </w:rPr>
              <w:t>Enterprise GP</w:t>
            </w:r>
          </w:p>
        </w:tc>
        <w:tc>
          <w:tcPr>
            <w:tcW w:w="22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4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206"/>
        </w:trPr>
        <w:tc>
          <w:tcPr>
            <w:tcW w:w="7640" w:type="dxa"/>
            <w:vAlign w:val="bottom"/>
            <w:tcBorders>
              <w:bottom w:val="single" w:sz="8" w:color="auto"/>
            </w:tcBorders>
          </w:tcPr>
          <w:p>
            <w:pPr>
              <w:jc w:val="center"/>
              <w:ind w:left="4448"/>
              <w:spacing w:after="0"/>
              <w:rPr>
                <w:sz w:val="20"/>
                <w:szCs w:val="20"/>
                <w:color w:val="auto"/>
              </w:rPr>
            </w:pPr>
            <w:r>
              <w:rPr>
                <w:rFonts w:ascii="Times New Roman" w:cs="Times New Roman" w:eastAsia="Times New Roman" w:hAnsi="Times New Roman"/>
                <w:sz w:val="14"/>
                <w:szCs w:val="14"/>
                <w:b w:val="1"/>
                <w:bCs w:val="1"/>
                <w:color w:val="auto"/>
              </w:rPr>
              <w:t>at February 16, 2024</w:t>
            </w:r>
          </w:p>
        </w:tc>
        <w:tc>
          <w:tcPr>
            <w:tcW w:w="220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0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Class</w:t>
            </w:r>
          </w:p>
        </w:tc>
      </w:tr>
    </w:tbl>
    <w:p>
      <w:pPr>
        <w:spacing w:after="0" w:line="4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120" w:right="1220" w:hanging="107"/>
        <w:spacing w:after="0" w:line="301" w:lineRule="auto"/>
        <w:rPr>
          <w:sz w:val="20"/>
          <w:szCs w:val="20"/>
          <w:color w:val="auto"/>
        </w:rPr>
      </w:pPr>
      <w:r>
        <w:rPr>
          <w:rFonts w:ascii="Times New Roman" w:cs="Times New Roman" w:eastAsia="Times New Roman" w:hAnsi="Times New Roman"/>
          <w:sz w:val="14"/>
          <w:szCs w:val="14"/>
          <w:color w:val="auto"/>
        </w:rPr>
        <w:t>Randa Duncan Williams:</w:t>
      </w:r>
      <w:r>
        <w:rPr>
          <w:sz w:val="20"/>
          <w:szCs w:val="20"/>
          <w:color w:val="auto"/>
        </w:rPr>
        <w:t xml:space="preserve"> </w:t>
      </w:r>
      <w:r>
        <w:rPr>
          <w:rFonts w:ascii="Times New Roman" w:cs="Times New Roman" w:eastAsia="Times New Roman" w:hAnsi="Times New Roman"/>
          <w:sz w:val="14"/>
          <w:szCs w:val="14"/>
          <w:color w:val="auto"/>
        </w:rPr>
        <w:t>Director and Chairman of the Board Units controlled by EPCO Voting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Through EPCO</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Through EPCO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Through Employee Partnerships</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Units controlled by Alkek and Williams,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Units controlled by Chaswil, Ltd.</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Units controlled by family trusts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Units owned personally (2)</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Total for Randa Duncan Williams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4"/>
          <w:szCs w:val="14"/>
          <w:color w:val="auto"/>
        </w:rPr>
        <w:t>74,754,703</w:t>
      </w:r>
      <w:r>
        <w:rPr>
          <w:sz w:val="20"/>
          <w:szCs w:val="20"/>
          <w:color w:val="auto"/>
        </w:rPr>
        <w:tab/>
      </w:r>
      <w:r>
        <w:rPr>
          <w:rFonts w:ascii="Times New Roman" w:cs="Times New Roman" w:eastAsia="Times New Roman" w:hAnsi="Times New Roman"/>
          <w:sz w:val="14"/>
          <w:szCs w:val="14"/>
          <w:color w:val="auto"/>
        </w:rPr>
        <w:t>3.4%</w:t>
      </w:r>
    </w:p>
    <w:p>
      <w:pPr>
        <w:spacing w:after="0" w:line="5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4"/>
          <w:szCs w:val="14"/>
          <w:color w:val="auto"/>
        </w:rPr>
        <w:t>597,110,600</w:t>
      </w:r>
      <w:r>
        <w:rPr>
          <w:sz w:val="20"/>
          <w:szCs w:val="20"/>
          <w:color w:val="auto"/>
        </w:rPr>
        <w:tab/>
      </w:r>
      <w:r>
        <w:rPr>
          <w:rFonts w:ascii="Times New Roman" w:cs="Times New Roman" w:eastAsia="Times New Roman" w:hAnsi="Times New Roman"/>
          <w:sz w:val="14"/>
          <w:szCs w:val="14"/>
          <w:color w:val="auto"/>
        </w:rPr>
        <w:t>27.5%</w:t>
      </w:r>
    </w:p>
    <w:p>
      <w:pPr>
        <w:spacing w:after="0" w:line="55" w:lineRule="exact"/>
        <w:rPr>
          <w:sz w:val="20"/>
          <w:szCs w:val="20"/>
          <w:color w:val="auto"/>
        </w:rPr>
      </w:pPr>
    </w:p>
    <w:p>
      <w:pPr>
        <w:ind w:left="140"/>
        <w:spacing w:after="0"/>
        <w:tabs>
          <w:tab w:leader="none" w:pos="2080" w:val="left"/>
        </w:tabs>
        <w:rPr>
          <w:sz w:val="20"/>
          <w:szCs w:val="20"/>
          <w:color w:val="auto"/>
        </w:rPr>
      </w:pPr>
      <w:r>
        <w:rPr>
          <w:rFonts w:ascii="Times New Roman" w:cs="Times New Roman" w:eastAsia="Times New Roman" w:hAnsi="Times New Roman"/>
          <w:sz w:val="14"/>
          <w:szCs w:val="14"/>
          <w:color w:val="auto"/>
        </w:rPr>
        <w:t>8,000,000</w:t>
      </w:r>
      <w:r>
        <w:rPr>
          <w:sz w:val="20"/>
          <w:szCs w:val="20"/>
          <w:color w:val="auto"/>
        </w:rPr>
        <w:tab/>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260"/>
        <w:spacing w:after="0"/>
        <w:tabs>
          <w:tab w:leader="none" w:pos="2080" w:val="left"/>
        </w:tabs>
        <w:rPr>
          <w:sz w:val="20"/>
          <w:szCs w:val="20"/>
          <w:color w:val="auto"/>
        </w:rPr>
      </w:pPr>
      <w:r>
        <w:rPr>
          <w:rFonts w:ascii="Times New Roman" w:cs="Times New Roman" w:eastAsia="Times New Roman" w:hAnsi="Times New Roman"/>
          <w:sz w:val="14"/>
          <w:szCs w:val="14"/>
          <w:color w:val="auto"/>
        </w:rPr>
        <w:t>558,315</w:t>
      </w:r>
      <w:r>
        <w:rPr>
          <w:sz w:val="20"/>
          <w:szCs w:val="20"/>
          <w:color w:val="auto"/>
        </w:rPr>
        <w:tab/>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320"/>
        <w:spacing w:after="0"/>
        <w:tabs>
          <w:tab w:leader="none" w:pos="2080" w:val="left"/>
        </w:tabs>
        <w:rPr>
          <w:sz w:val="20"/>
          <w:szCs w:val="20"/>
          <w:color w:val="auto"/>
        </w:rPr>
      </w:pPr>
      <w:r>
        <w:rPr>
          <w:rFonts w:ascii="Times New Roman" w:cs="Times New Roman" w:eastAsia="Times New Roman" w:hAnsi="Times New Roman"/>
          <w:sz w:val="14"/>
          <w:szCs w:val="14"/>
          <w:color w:val="auto"/>
        </w:rPr>
        <w:t>92,913</w:t>
      </w:r>
      <w:r>
        <w:rPr>
          <w:sz w:val="20"/>
          <w:szCs w:val="20"/>
          <w:color w:val="auto"/>
        </w:rPr>
        <w:tab/>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80"/>
        <w:spacing w:after="0"/>
        <w:tabs>
          <w:tab w:leader="none" w:pos="2080" w:val="left"/>
        </w:tabs>
        <w:rPr>
          <w:sz w:val="20"/>
          <w:szCs w:val="20"/>
          <w:color w:val="auto"/>
        </w:rPr>
      </w:pPr>
      <w:r>
        <w:rPr>
          <w:rFonts w:ascii="Times New Roman" w:cs="Times New Roman" w:eastAsia="Times New Roman" w:hAnsi="Times New Roman"/>
          <w:sz w:val="14"/>
          <w:szCs w:val="14"/>
          <w:color w:val="auto"/>
        </w:rPr>
        <w:t>21,070,501</w:t>
      </w:r>
      <w:r>
        <w:rPr>
          <w:sz w:val="20"/>
          <w:szCs w:val="20"/>
          <w:color w:val="auto"/>
        </w:rPr>
        <w:tab/>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260"/>
        <w:spacing w:after="0"/>
        <w:tabs>
          <w:tab w:leader="none" w:pos="2080" w:val="left"/>
        </w:tabs>
        <w:rPr>
          <w:sz w:val="20"/>
          <w:szCs w:val="20"/>
          <w:color w:val="auto"/>
        </w:rPr>
      </w:pPr>
      <w:r>
        <w:rPr>
          <w:rFonts w:ascii="Times New Roman" w:cs="Times New Roman" w:eastAsia="Times New Roman" w:hAnsi="Times New Roman"/>
          <w:sz w:val="14"/>
          <w:szCs w:val="14"/>
          <w:color w:val="auto"/>
        </w:rPr>
        <w:t>865,262</w:t>
      </w:r>
      <w:r>
        <w:rPr>
          <w:sz w:val="20"/>
          <w:szCs w:val="20"/>
          <w:color w:val="auto"/>
        </w:rPr>
        <w:tab/>
      </w:r>
      <w:r>
        <w:rPr>
          <w:rFonts w:ascii="Times New Roman" w:cs="Times New Roman" w:eastAsia="Times New Roman" w:hAnsi="Times New Roman"/>
          <w:sz w:val="14"/>
          <w:szCs w:val="14"/>
          <w:color w:val="auto"/>
        </w:rPr>
        <w:t>*</w:t>
      </w:r>
    </w:p>
    <w:p>
      <w:pPr>
        <w:spacing w:after="0" w:line="8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4"/>
          <w:szCs w:val="14"/>
          <w:color w:val="auto"/>
        </w:rPr>
        <w:t>702,452,294</w:t>
      </w:r>
      <w:r>
        <w:rPr>
          <w:sz w:val="20"/>
          <w:szCs w:val="20"/>
          <w:color w:val="auto"/>
        </w:rPr>
        <w:tab/>
      </w:r>
      <w:r>
        <w:rPr>
          <w:rFonts w:ascii="Times New Roman" w:cs="Times New Roman" w:eastAsia="Times New Roman" w:hAnsi="Times New Roman"/>
          <w:sz w:val="14"/>
          <w:szCs w:val="14"/>
          <w:color w:val="auto"/>
        </w:rPr>
        <w:t>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49530</wp:posOffset>
            </wp:positionV>
            <wp:extent cx="19716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74930</wp:posOffset>
            </wp:positionV>
            <wp:extent cx="19716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8340" w:space="720"/>
            <w:col w:w="2180"/>
          </w:cols>
          <w:pgMar w:left="320" w:top="11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Represents a beneficial ownership of less than 1%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340" w:hanging="332"/>
        <w:spacing w:after="0" w:line="243" w:lineRule="auto"/>
        <w:tabs>
          <w:tab w:leader="none" w:pos="3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Ms. Duncan Williams includes common units held by family trusts for which she serves as a director of an entity trustee but has disclaimed beneficial ownership (except to the extent of her pecuniary interest therein).</w:t>
      </w:r>
    </w:p>
    <w:p>
      <w:pPr>
        <w:spacing w:after="0" w:line="2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Ms. Duncan Williams includes 9,090 common units held by her spouse and 4,040 common units held jointly with her spouse.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EPCO and its privately held affiliates have pledged 62,976,464 of our common units that they own as security under their credit facilities. These credit facilities include customary provisions regarding potential events of default. As a result, a change in ownership of these units could result if an event of default ultimately occurred.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with</w:t>
            </w:r>
          </w:p>
        </w:tc>
        <w:tc>
          <w:tcPr>
            <w:tcW w:w="20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Enterprise GP</w:t>
            </w:r>
          </w:p>
        </w:tc>
        <w:tc>
          <w:tcPr>
            <w:tcW w:w="206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206"/>
        </w:trPr>
        <w:tc>
          <w:tcPr>
            <w:tcW w:w="41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February 16, 2024</w:t>
            </w:r>
          </w:p>
        </w:tc>
        <w:tc>
          <w:tcPr>
            <w:tcW w:w="206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H. Bachmann</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 and Vice Chairman of the Board</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2,013,767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A. James Teague (1,2)</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and Co-CEO</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2,798,764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 Randall Fowler (1,3)</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 Co-CEO and CFO</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2,147,320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Carin M. Barth (4)</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101,737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Murray E. Brasseux (5)</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39,034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Rebecca G. Followill (6)</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8,244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T. Hackett (7)</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305,974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William C. Montgomery</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118,187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R. Rutherford</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150,853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Harry P. Weitzel</w:t>
            </w:r>
          </w:p>
        </w:tc>
        <w:tc>
          <w:tcPr>
            <w:tcW w:w="40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Director and Executive Vice President, General Counsel and</w:t>
            </w:r>
          </w:p>
        </w:tc>
        <w:tc>
          <w:tcPr>
            <w:tcW w:w="2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239,761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Secretary</w:t>
            </w:r>
          </w:p>
        </w:tc>
        <w:tc>
          <w:tcPr>
            <w:tcW w:w="2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Graham W. Bacon (1)</w:t>
            </w:r>
          </w:p>
        </w:tc>
        <w:tc>
          <w:tcPr>
            <w:tcW w:w="40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2060" w:type="dxa"/>
            <w:vAlign w:val="bottom"/>
            <w:vMerge w:val="restart"/>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538,307</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shd w:val="clear" w:color="auto" w:fill="CCEEFF"/>
          </w:tcPr>
          <w:p>
            <w:pPr>
              <w:spacing w:after="0"/>
              <w:rPr>
                <w:sz w:val="14"/>
                <w:szCs w:val="14"/>
                <w:color w:val="auto"/>
              </w:rPr>
            </w:pP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Chief Operating Officer</w:t>
            </w:r>
          </w:p>
        </w:tc>
        <w:tc>
          <w:tcPr>
            <w:tcW w:w="206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Brent B. Secrest (1)</w:t>
            </w:r>
          </w:p>
        </w:tc>
        <w:tc>
          <w:tcPr>
            <w:tcW w:w="40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2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304,882</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Commercial Officer</w:t>
            </w:r>
          </w:p>
        </w:tc>
        <w:tc>
          <w:tcPr>
            <w:tcW w:w="20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 Daniel Boss (1)</w:t>
            </w:r>
          </w:p>
        </w:tc>
        <w:tc>
          <w:tcPr>
            <w:tcW w:w="40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Executive Vice President – Accounting,   Risk Control and</w:t>
            </w:r>
          </w:p>
        </w:tc>
        <w:tc>
          <w:tcPr>
            <w:tcW w:w="2060" w:type="dxa"/>
            <w:vAlign w:val="bottom"/>
            <w:vMerge w:val="restart"/>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217,956</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vMerge w:val="continue"/>
            <w:shd w:val="clear" w:color="auto" w:fill="CCEEFF"/>
          </w:tcPr>
          <w:p>
            <w:pPr>
              <w:spacing w:after="0"/>
              <w:rPr>
                <w:sz w:val="14"/>
                <w:szCs w:val="14"/>
                <w:color w:val="auto"/>
              </w:rPr>
            </w:pP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Information Technology</w:t>
            </w:r>
          </w:p>
        </w:tc>
        <w:tc>
          <w:tcPr>
            <w:tcW w:w="206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All directors and executive officers (including all named executive</w:t>
            </w:r>
          </w:p>
        </w:tc>
        <w:tc>
          <w:tcPr>
            <w:tcW w:w="4040" w:type="dxa"/>
            <w:vAlign w:val="bottom"/>
          </w:tcPr>
          <w:p>
            <w:pPr>
              <w:spacing w:after="0"/>
              <w:rPr>
                <w:sz w:val="10"/>
                <w:szCs w:val="10"/>
                <w:color w:val="auto"/>
              </w:rPr>
            </w:pPr>
          </w:p>
        </w:tc>
        <w:tc>
          <w:tcPr>
            <w:tcW w:w="2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711,638,754</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officers) of Enterprise GP, as a group (15 individuals in total)</w:t>
            </w:r>
          </w:p>
        </w:tc>
        <w:tc>
          <w:tcPr>
            <w:tcW w:w="404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Represents a beneficial ownership of less than 1%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40" w:hanging="332"/>
        <w:spacing w:after="0"/>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individuals are named executive officers for the year ended December 31, 2023.</w:t>
      </w:r>
    </w:p>
    <w:p>
      <w:pPr>
        <w:ind w:left="340" w:hanging="332"/>
        <w:spacing w:after="0" w:line="221" w:lineRule="auto"/>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Teague includes (i) 70,731 common units held by a trust, (ii) 41,155 common units held by his spouse and (iii) 6,060 common units held by minor children.</w:t>
      </w:r>
    </w:p>
    <w:p>
      <w:pPr>
        <w:ind w:left="340" w:hanging="332"/>
        <w:spacing w:after="0" w:line="221" w:lineRule="auto"/>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Fowler includes (i) 708,419 common units held by a family limited partnership (for which he has disclaimed beneficial ownership except to the extent of his pecuniary interest) and (ii) 2,339 common units held by his spouse.</w:t>
      </w:r>
    </w:p>
    <w:p>
      <w:pPr>
        <w:ind w:left="340" w:right="20" w:hanging="332"/>
        <w:spacing w:after="0" w:line="221" w:lineRule="auto"/>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Ms. Barth includes 19,050 common units held for the benefit of her parents (for which she has disclaimed beneficial ownership except to the extent of her pecuniary interest).</w:t>
      </w:r>
    </w:p>
    <w:p>
      <w:pPr>
        <w:ind w:left="340" w:hanging="332"/>
        <w:spacing w:after="0" w:line="221" w:lineRule="auto"/>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Brasseux includes 2,882 common units held by his spouse.</w:t>
      </w:r>
    </w:p>
    <w:p>
      <w:pPr>
        <w:ind w:left="340" w:hanging="332"/>
        <w:spacing w:after="0" w:line="221" w:lineRule="auto"/>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Mrs. Followill includes 1,200 common units held for the benefit of her mother-in-law (for which she has disclaimed beneficial ownership except to the extent of her pecuniary interest).</w:t>
      </w:r>
    </w:p>
    <w:p>
      <w:pPr>
        <w:ind w:left="340" w:hanging="332"/>
        <w:spacing w:after="0"/>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units presented for Mr. Hackett includes (i) 10,215 common units held by family trusts and (ii) 34,897 common units held by a family limited partnership.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Ownership Guidelines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further align the interests and actions of Enterprise GP’s directors and executive officers with our long-term interests and those of Enterprise GP and other unitholders, the Board has adopted and approved certain equity ownership guidelines for Enterprise GP’s directors and executive officers. Under these guidelines:</w:t>
      </w:r>
    </w:p>
    <w:p>
      <w:pPr>
        <w:spacing w:after="0" w:line="176" w:lineRule="exact"/>
        <w:rPr>
          <w:sz w:val="20"/>
          <w:szCs w:val="20"/>
          <w:color w:val="auto"/>
        </w:rPr>
      </w:pPr>
    </w:p>
    <w:p>
      <w:pPr>
        <w:jc w:val="both"/>
        <w:ind w:left="500" w:hanging="330"/>
        <w:spacing w:after="0" w:line="213" w:lineRule="auto"/>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each non-management director of Enterprise GP is required to own our common units having an aggregate value (as defined in the guidelines) of three times the dollar amount of such non-management director’s aggregate annual cash retainer for service on the Board for the most recently completed calendar year; and</w:t>
      </w:r>
    </w:p>
    <w:p>
      <w:pPr>
        <w:spacing w:after="0" w:line="200"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8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each executive officer of Enterprise GP is required to own our common units having an aggregate value (as defined in the guidelines) of three times the dollar amount of such executive officer’s aggregate annual base salary for the most recently completed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2008 Enterprise Products Long-Term Incentive Plan (as amended and restated to date, the “2008 Plan”) is EPCO’s only long-term incentive plan under which our common units have been authorized for issuance. The 2008 Plan provides for awards of our common units and other rights to our non-management directors and to consultants and employees of EPCO and its affiliates providing services to us. Awards under the 2008 Plan may be granted in the form of phantom units, DERs, unit options, restricted common units, UARs, unit awards and other unit-based awards or substitute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2008 Plan as of January 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Units to</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Be Issued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Upon Exercise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74"/>
        </w:trPr>
        <w:tc>
          <w:tcPr>
            <w:tcW w:w="480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0"/>
        </w:trPr>
        <w:tc>
          <w:tcPr>
            <w:tcW w:w="4800" w:type="dxa"/>
            <w:vAlign w:val="bottom"/>
            <w:tcBorders>
              <w:bottom w:val="single" w:sz="8" w:color="auto"/>
            </w:tcBorders>
            <w:vMerge w:val="continue"/>
          </w:tcPr>
          <w:p>
            <w:pPr>
              <w:spacing w:after="0"/>
              <w:rPr>
                <w:sz w:val="15"/>
                <w:szCs w:val="15"/>
                <w:color w:val="auto"/>
              </w:rPr>
            </w:pPr>
          </w:p>
        </w:tc>
        <w:tc>
          <w:tcPr>
            <w:tcW w:w="2820" w:type="dxa"/>
            <w:vAlign w:val="bottom"/>
            <w:tcBorders>
              <w:bottom w:val="single" w:sz="8" w:color="auto"/>
            </w:tcBorders>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33"/>
        </w:trPr>
        <w:tc>
          <w:tcPr>
            <w:tcW w:w="4800" w:type="dxa"/>
            <w:vAlign w:val="bottom"/>
          </w:tcPr>
          <w:p>
            <w:pPr>
              <w:spacing w:after="0"/>
              <w:rPr>
                <w:sz w:val="20"/>
                <w:szCs w:val="20"/>
                <w:color w:val="auto"/>
              </w:rPr>
            </w:pPr>
          </w:p>
        </w:tc>
        <w:tc>
          <w:tcPr>
            <w:tcW w:w="28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bl>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approved by unitholders:</w:t>
            </w: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48"/>
        </w:trPr>
        <w:tc>
          <w:tcPr>
            <w:tcW w:w="5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2008 Plan (1)</w:t>
            </w:r>
          </w:p>
        </w:tc>
        <w:tc>
          <w:tcPr>
            <w:tcW w:w="1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109,102,487</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unitholders:</w:t>
            </w: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69"/>
        </w:trPr>
        <w:tc>
          <w:tcPr>
            <w:tcW w:w="582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None</w:t>
            </w:r>
          </w:p>
        </w:tc>
        <w:tc>
          <w:tcPr>
            <w:tcW w:w="1800" w:type="dxa"/>
            <w:vAlign w:val="bottom"/>
            <w:tcBorders>
              <w:bottom w:val="single" w:sz="8" w:color="auto"/>
            </w:tcBorders>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35"/>
        </w:trPr>
        <w:tc>
          <w:tcPr>
            <w:tcW w:w="58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Total for equity compensation plans</w:t>
            </w:r>
          </w:p>
        </w:tc>
        <w:tc>
          <w:tcPr>
            <w:tcW w:w="1800" w:type="dxa"/>
            <w:vAlign w:val="bottom"/>
            <w:tcBorders>
              <w:bottom w:val="single" w:sz="8" w:color="auto"/>
            </w:tcBorders>
          </w:tcPr>
          <w:p>
            <w:pPr>
              <w:ind w:left="8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tcPr>
          <w:p>
            <w:pPr>
              <w:ind w:left="8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109,102,487</w:t>
            </w:r>
          </w:p>
        </w:tc>
      </w:tr>
      <w:tr>
        <w:trPr>
          <w:trHeight w:val="21"/>
        </w:trPr>
        <w:tc>
          <w:tcPr>
            <w:tcW w:w="5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the total number of common units authorized for issuance under the 2008 Plan was 165,000,000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DIRECTOR INDEPENDENCE.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terms and provisions of our related party agreements are fair to us; however, such agreements and transactions may not be as favorable to us as we could have obtained from unaffiliated third parties.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related party transactions is set forth in Note 15 of the Notes to Consolidated Financial Statements included under Part II, Item 8 of this annual report and is incorporated by reference into this Part III, Item 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Transactions with Related Parties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transactions between us and our subsidiaries and unconsolidated affiliates, on the one hand, and our executive officers and directors (or their immediate family members), Enterprise GP or its affiliates (including other companies owned or controlled by the DD LLC Trustees or the EPCO Trustees), on the other hand, to be related party transactions. As further described below, our partnership agreement sets forth general procedures by which related party transactions and conflicts of interest may be approved or resolved by Enterprise GP or its Audit and Conflicts Committee. In addition, the Audit and Conflicts Committee charter, Enterprise GP’s written internal review and approval policies and procedures (referred to as its “management authorization policy”) and the amended and restated ASA with EPCO address specific types of related party transactions, as further described below.</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and Conflicts Committee is comprised of three independent directors: Mrs. Followill and Messrs. Brasseux and Montgomery. In accordance with its charter, the Audit and Conflicts Committee reviews and approves related party transactions:</w:t>
      </w:r>
    </w:p>
    <w:p>
      <w:pPr>
        <w:spacing w:after="0" w:line="162" w:lineRule="exact"/>
        <w:rPr>
          <w:sz w:val="20"/>
          <w:szCs w:val="20"/>
          <w:color w:val="auto"/>
        </w:rPr>
      </w:pPr>
    </w:p>
    <w:p>
      <w:pPr>
        <w:ind w:left="500" w:hanging="330"/>
        <w:spacing w:after="0" w:line="199"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pursuant to our partnership agreement or the limited liability company agreement of Enterprise GP, as such agreements may be amended from time to time, including without limitation for the purpose of obtaining “Special Approval” (as described below);</w:t>
      </w:r>
    </w:p>
    <w:p>
      <w:pPr>
        <w:spacing w:after="0" w:line="199" w:lineRule="exact"/>
        <w:rPr>
          <w:rFonts w:ascii="Times New Roman" w:cs="Times New Roman" w:eastAsia="Times New Roman" w:hAnsi="Times New Roman"/>
          <w:sz w:val="29"/>
          <w:szCs w:val="29"/>
          <w:color w:val="auto"/>
          <w:vertAlign w:val="superscript"/>
        </w:rPr>
      </w:pPr>
    </w:p>
    <w:p>
      <w:pPr>
        <w:ind w:left="500" w:hanging="330"/>
        <w:spacing w:after="0" w:line="199"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which an officer or director of Enterprise GP or any of our subsidiaries, or an immediate family member of such an officer or director, has an interest that is financially material to such officer, director or immediate family member (as applicable) or is otherwise a named party;</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when requested to do so by management or the Board;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accordance with and to the extent required under Rule 314.00 of the Listed Company Manual of the NYSE;</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with a value of $5 million or more (unless such transaction is equivalent to an arm’s length transaction with a third party); or</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that it may otherwise deem appropriate from time to time.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Enterprise GP’s management authorization policy generally requires Board approval for asset purchase or sales transactions to the extent such transactions have a value in excess of $1.0 billion and capital investments to the extent such transactions have a value in excess of $500 million. Any such transaction would typically also require Audit and Conflicts Committee review under its charter if such transaction is also a related party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previously, all of our management, administrative and operating functions are performed by employees of EPCO (pursuant to an administrative services agreement, or ASA) or by other service providers. The ASA governs numerous day-to-day transactions between us, Enterprise GP and EPCO and its affiliates, including the provision by EPCO of administrative and other services to us and our reimbursement to EPCO of costs, without markup or discount, for those services. The ASA was reviewed, approved and recommended to the Board by our Audit and Conflicts Committee, and the Board also approved it upon receiving such recommendation.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party transactions that are outside the scope of the ASA and not reviewed by the Audit and Conflicts Committee are subject to Enterprise GP’s management authorization policy. This policy, which applies to related party transactions as well as transactions with third parties, specifies thresholds for our general partner’s officers and Board to authorize various categories of transactions, including purchases and sales of assets, commercial and financial transactions and legal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Agreement Standards for Audit and Conflicts Committee Review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partnership agreement, whenever a potential conflict of interest exists or arises between Enterprise GP or any of its affiliates, on the one hand, and us, any of our subsidiaries or any partner, on the other hand, any resolution or course of action by Enterprise GP or its affiliates in respect of such conflict of interest is permitted and deemed approved by our limited partners, and will not constitute a breach of our partnership agreement or any agreement contemplated by such agreement, or of any duty stated or implied by law or equity, if the resolution or course of action is or, by operation of the partnership agreement is deemed to be, fair and reasonable to us; provided that, any conflict of interest and any resolution of such conflict of interest will be conclusively deemed fair and reasonable to us if such conflict of interest or resolution is (i) approved by a majority of the members of the Audit and Conflicts Committee (i.e., a “Special Approval” is granted) or (ii) on terms objectively demonstrable to be no less favorable to us than those generally being provided to or available from third 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and Conflicts Committee (in connection with its Special Approval process) may consider the following when resolving conflicts of interest:</w:t>
      </w:r>
    </w:p>
    <w:p>
      <w:pPr>
        <w:spacing w:after="0" w:line="126" w:lineRule="exact"/>
        <w:rPr>
          <w:sz w:val="20"/>
          <w:szCs w:val="20"/>
          <w:color w:val="auto"/>
        </w:rPr>
      </w:pPr>
    </w:p>
    <w:p>
      <w:pPr>
        <w:ind w:left="500" w:hanging="330"/>
        <w:spacing w:after="0"/>
        <w:tabs>
          <w:tab w:leader="none" w:pos="500" w:val="left"/>
        </w:tabs>
        <w:numPr>
          <w:ilvl w:val="0"/>
          <w:numId w:val="8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relative interests of any party to such conflict, agreement, transaction or situation and the benefits and burdens relating to such interest;</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totality of the relationships between the parties involved (including other transactions that may be particularly favorable or advantageous to us);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customary or accepted industry practices and any customary or historical dealings with a particular party;</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any applicable generally accepted accounting or engineering practices or principles;</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relative cost of capital of the parties involved and the consequent rates of return to the equity holders of such parties; and</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8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such additional factors as the Audit and Conflicts Committee determines in its sole discretion to be relevant, reasonable or appropriate under the circumstances.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level of review and work performed by the Audit and Conflicts Committee with respect to a given transaction varies depending upon the nature of the transaction and the scope of the Audit and Conflicts Committee’s obligation. Examples of functions the Audit and Conflicts Committee may, as it deems appropriate, perform in the course of reviewing a transaction include, but are not limited to:</w:t>
      </w:r>
    </w:p>
    <w:p>
      <w:pPr>
        <w:spacing w:after="0" w:line="77" w:lineRule="exact"/>
        <w:rPr>
          <w:sz w:val="20"/>
          <w:szCs w:val="20"/>
          <w:color w:val="auto"/>
        </w:rPr>
      </w:pPr>
    </w:p>
    <w:p>
      <w:pPr>
        <w:ind w:left="500" w:hanging="330"/>
        <w:spacing w:after="0"/>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assessing the business rationale for the transaction;</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reviewing the terms and conditions of the proposed transaction, including consideration and financing requirements, if any;</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assessing the effect of the transaction on our results of operations, financial condition, cash available for distribution, properties or prospects;</w:t>
      </w:r>
    </w:p>
    <w:p>
      <w:pPr>
        <w:spacing w:after="0" w:line="198" w:lineRule="exact"/>
        <w:rPr>
          <w:rFonts w:ascii="Times New Roman" w:cs="Times New Roman" w:eastAsia="Times New Roman" w:hAnsi="Times New Roman"/>
          <w:sz w:val="29"/>
          <w:szCs w:val="29"/>
          <w:color w:val="auto"/>
          <w:vertAlign w:val="superscript"/>
        </w:rPr>
      </w:pPr>
    </w:p>
    <w:p>
      <w:pPr>
        <w:ind w:left="500" w:right="20" w:hanging="330"/>
        <w:spacing w:after="0" w:line="199" w:lineRule="auto"/>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conducting due diligence, including interviews and discussions with management and other representatives and reviewing transaction materials and findings of management and other representatives;</w:t>
      </w:r>
    </w:p>
    <w:p>
      <w:pPr>
        <w:spacing w:after="0" w:line="100" w:lineRule="exact"/>
        <w:rPr>
          <w:rFonts w:ascii="Times New Roman" w:cs="Times New Roman" w:eastAsia="Times New Roman" w:hAnsi="Times New Roman"/>
          <w:sz w:val="29"/>
          <w:szCs w:val="29"/>
          <w:color w:val="auto"/>
          <w:vertAlign w:val="superscript"/>
        </w:rPr>
      </w:pPr>
    </w:p>
    <w:p>
      <w:pPr>
        <w:ind w:left="500" w:hanging="330"/>
        <w:spacing w:after="0"/>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considering the relative advantages and disadvantages of the transactions to the parties involved;</w:t>
      </w:r>
    </w:p>
    <w:p>
      <w:pPr>
        <w:spacing w:after="0" w:line="141"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engaging third party financial advisors to provide financial advice and assistance, including fairness opinions if requested;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engaging legal advisors; and</w:t>
      </w:r>
    </w:p>
    <w:p>
      <w:pPr>
        <w:spacing w:after="0" w:line="142" w:lineRule="exact"/>
        <w:rPr>
          <w:rFonts w:ascii="Times New Roman" w:cs="Times New Roman" w:eastAsia="Times New Roman" w:hAnsi="Times New Roman"/>
          <w:sz w:val="29"/>
          <w:szCs w:val="29"/>
          <w:color w:val="auto"/>
          <w:vertAlign w:val="superscript"/>
        </w:rPr>
      </w:pPr>
    </w:p>
    <w:p>
      <w:pPr>
        <w:ind w:left="500" w:hanging="330"/>
        <w:spacing w:after="0" w:line="208" w:lineRule="auto"/>
        <w:tabs>
          <w:tab w:leader="none" w:pos="500" w:val="left"/>
        </w:tabs>
        <w:numPr>
          <w:ilvl w:val="0"/>
          <w:numId w:val="8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evaluating and negotiating the transaction and recommending for approval or approving the transaction, as the case may be.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Nothing contained in our partnership agreement requires the Audit and Conflicts Committee to consider the interests of any party other than us. In the absence of the Audit and Conflicts Committee or our general partner acting in bad faith, the resolution, action or terms so made, taken or provided (including granting Special Approval) by the Audit and Conflicts Committee or our general partner with respect to such matter are deemed conclusive and binding on all persons (including all of our limited partners) and do not constitute a breach of our partnership agreement, or any other agreement contemplated thereby, or a breach of any standard of care or duty imposed in our partnership agreement or under the Delaware Revised Uniform Limited Partnership Act or any other law, rule or regulation. Our partnership agreement provides that it is presumed that the resolution, action or terms made, taken or provided by the Audit and Conflicts Committee or our general partner were not made, taken or provided in bad faith, and in any proceeding brought by any limited partner or by or on behalf of such limited partner or any other limited partner or us challenging such resolution, action or terms, the person bringing or prosecuting such proceeding will have the burden of overcoming such presumption.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current members of the Audit and Conflicts Committee, namely Mrs. Followill and Messrs. Brasseux and Montgomery, and each of the current members of the Governance Committee, namely Ms. Barth and Messrs. Hackett and Rutherford, have been determined to be independent under the applicable NYSE listing standards and rules of the SEC. For a discussion of independence standards applicable to our Board and factors considered by our Board in making its independence determinations, please refer to “</w:t>
      </w:r>
      <w:r>
        <w:rPr>
          <w:rFonts w:ascii="Times New Roman" w:cs="Times New Roman" w:eastAsia="Times New Roman" w:hAnsi="Times New Roman"/>
          <w:sz w:val="18"/>
          <w:szCs w:val="18"/>
          <w:i w:val="1"/>
          <w:iCs w:val="1"/>
          <w:color w:val="auto"/>
        </w:rPr>
        <w:t>Partnership Governance</w:t>
      </w:r>
      <w:r>
        <w:rPr>
          <w:rFonts w:ascii="Times New Roman" w:cs="Times New Roman" w:eastAsia="Times New Roman" w:hAnsi="Times New Roman"/>
          <w:sz w:val="18"/>
          <w:szCs w:val="18"/>
          <w:color w:val="auto"/>
        </w:rPr>
        <w:t>” included under Part III, Item 10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immediate family member of Mr. Teague is an employee of EPCO that performs services on our behalf. This individual does not serve as an executive officer of Enterprise GP, EPCO or any of their respective affiliates, and such individual’s compensation and other terms of employment are determined on a basis consistent with EPCO’s human resources policies. For 2023, this individual earned total compensation from EPCO of $965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approval of the Audit and Conflicts Committee of Enterprise GP, we have engaged Deloitte &amp; Touche LLP, the member firms of Deloitte Touche Tohmatsu, and their respective affiliates (collectively, “Deloitte &amp; Touche”) as our independent registered public accounting firm and principal accountants. The following table summarizes amounts billed to us by Deloitte &amp; Touche for each of the years presented, as applicable:</w:t>
      </w:r>
    </w:p>
    <w:p>
      <w:pPr>
        <w:spacing w:after="0" w:line="23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7620</wp:posOffset>
            </wp:positionV>
            <wp:extent cx="156019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62" w:lineRule="exact"/>
        <w:rPr>
          <w:sz w:val="20"/>
          <w:szCs w:val="20"/>
          <w:color w:val="auto"/>
        </w:rPr>
      </w:pPr>
    </w:p>
    <w:p>
      <w:pPr>
        <w:ind w:left="91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4" w:lineRule="exact"/>
        <w:rPr>
          <w:sz w:val="20"/>
          <w:szCs w:val="20"/>
          <w:color w:val="auto"/>
        </w:rPr>
      </w:pPr>
    </w:p>
    <w:p>
      <w:pPr>
        <w:spacing w:after="0"/>
        <w:tabs>
          <w:tab w:leader="none" w:pos="8660" w:val="left"/>
          <w:tab w:leader="none" w:pos="9220" w:val="left"/>
          <w:tab w:leader="none" w:pos="10000" w:val="left"/>
          <w:tab w:leader="none" w:pos="10540" w:val="left"/>
        </w:tabs>
        <w:rPr>
          <w:sz w:val="20"/>
          <w:szCs w:val="20"/>
          <w:color w:val="auto"/>
        </w:rPr>
      </w:pPr>
      <w:r>
        <w:rPr>
          <w:rFonts w:ascii="Times New Roman" w:cs="Times New Roman" w:eastAsia="Times New Roman" w:hAnsi="Times New Roman"/>
          <w:sz w:val="14"/>
          <w:szCs w:val="14"/>
          <w:color w:val="auto"/>
        </w:rPr>
        <w:t>Audit fees (1)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5,386,633</w:t>
        <w:tab/>
        <w:t>$</w:t>
      </w:r>
      <w:r>
        <w:rPr>
          <w:sz w:val="20"/>
          <w:szCs w:val="20"/>
          <w:color w:val="auto"/>
        </w:rPr>
        <w:tab/>
      </w:r>
      <w:r>
        <w:rPr>
          <w:rFonts w:ascii="Times New Roman" w:cs="Times New Roman" w:eastAsia="Times New Roman" w:hAnsi="Times New Roman"/>
          <w:sz w:val="14"/>
          <w:szCs w:val="14"/>
          <w:color w:val="auto"/>
        </w:rPr>
        <w:t>5,398,000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for 2023 and 2022 include $67,500 and $40,000, respectively, of charges for audit-related projects that were reimbursed by business partners.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presented in the preceding table, “Audit Fees” represent amounts billed for each year in connection with (i) the annual audit of our consolidated financial statements filed on Form 10-K and related internal controls over financial reporting, (ii) the quarterly review of our consolidated financial statements filed on Form 10-Q, (iii) standalone annual audits of our consolidated subsidiaries and (iv) those services normally provided by Deloitte &amp; Touche in connection with our statutory and regulatory filings or engagements, including comfort letters, consents and other services related to SEC matters. We did not engage Deloitte &amp; Touche to perform any other services for us during the last two years. We are prohibited from using Deloitte &amp; Touche to perform general bookkeeping, human resources or management functions for us, and any other service not permitted by the PCAOB.</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its oversight responsibilities, the Audit and Conflicts Committee has adopted a pre-approval policy regarding any services to be performed by Deloitte &amp; Touche. The pre-approval policy includes four primary service categories: Audit, Audit-related, Tax and Other. When Deloitte &amp; Touche’s services are required, management and Deloitte &amp; Touche discuss the proposed work with the Audit and Conflicts Committee. These discussions typically address the reasons for the project, the scope of the work to be performed and an estimate of the fee to be charged by Deloitte &amp; Touche for such work. The Audit and Conflicts Committee discusses the request with management and Deloitte &amp; Touche and, if the work is deemed necessary and appropriate for Deloitte &amp; Touche to perform, approves the request subject to the fee estimate (the initial “pre-approved” fee amount). If at a later date, it appears that the initial pre-approved fee amount is insufficient to complete the work, management and Deloitte &amp; Touche must present a supplemental request to the Audit and Conflicts Committee to increase the approved amount along with reasons for the increase. Under the pre-approval policy, management cannot act upon its own to authorize an expenditure for Deloitte &amp; Touche services outside of the pre-approved amounts. On a quarterly basis, the Audit and Conflicts Committee is provided a schedule that compares the pre-approved amounts for each primary service category with the actual fees billed for each type of service. We believe the Audit and Conflicts Committee’s pre-approval process maintains the independence of Deloitte &amp; Touche from management.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223" w:lineRule="exact"/>
        <w:rPr>
          <w:sz w:val="20"/>
          <w:szCs w:val="20"/>
          <w:color w:val="auto"/>
        </w:rPr>
      </w:pPr>
    </w:p>
    <w:p>
      <w:pPr>
        <w:ind w:left="660" w:hanging="328"/>
        <w:spacing w:after="0" w:line="284"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w:t>
      </w:r>
      <w:r>
        <w:rPr>
          <w:rFonts w:ascii="Times New Roman" w:cs="Times New Roman" w:eastAsia="Times New Roman" w:hAnsi="Times New Roman"/>
          <w:sz w:val="18"/>
          <w:szCs w:val="18"/>
          <w:i w:val="1"/>
          <w:iCs w:val="1"/>
          <w:color w:val="auto"/>
        </w:rPr>
        <w:t>Index to Consolidated Financial Statements</w:t>
      </w:r>
      <w:r>
        <w:rPr>
          <w:rFonts w:ascii="Times New Roman" w:cs="Times New Roman" w:eastAsia="Times New Roman" w:hAnsi="Times New Roman"/>
          <w:sz w:val="18"/>
          <w:szCs w:val="18"/>
          <w:color w:val="auto"/>
        </w:rPr>
        <w:t>” beginning on page F-1 of this annual report for the financial statements included herein.</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separate filing of financial statement schedules has been omitted because such schedules are either not applicable or the information called for therein appears in the footnotes of our Consolidated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340" w:type="dxa"/>
            <w:vAlign w:val="bottom"/>
            <w:gridSpan w:val="7"/>
          </w:tcPr>
          <w:p>
            <w:pPr>
              <w:ind w:left="110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76"/>
        </w:trPr>
        <w:tc>
          <w:tcPr>
            <w:tcW w:w="1460" w:type="dxa"/>
            <w:vAlign w:val="bottom"/>
            <w:tcBorders>
              <w:top w:val="single" w:sz="8" w:color="auto"/>
            </w:tcBorders>
          </w:tcPr>
          <w:p>
            <w:pPr>
              <w:jc w:val="right"/>
              <w:ind w:right="1130"/>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9780" w:type="dxa"/>
            <w:vAlign w:val="bottom"/>
            <w:tcBorders>
              <w:top w:val="single" w:sz="8" w:color="auto"/>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Merger Agreement, dated as of December 15, 2003, by and among Enterprise Products Partners L.P., Enterprise Products GP, LLC,</w:t>
              </w:r>
            </w:hyperlink>
          </w:p>
        </w:tc>
        <w:tc>
          <w:tcPr>
            <w:tcW w:w="20" w:type="dxa"/>
            <w:vAlign w:val="bottom"/>
            <w:tcBorders>
              <w:bottom w:val="single" w:sz="8" w:color="0000EE"/>
            </w:tcBorders>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Enterprise Products Management LLC, GulfTerra Energy Partners, L.P. and GulfTerra Energy Company, L.L.C. (incorporated by</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reference to Exhibit 2.1 to Form 8-K filed December 15, 2003).</w:t>
              </w:r>
            </w:hyperlink>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Amendment No. 1 to Merger Agreement, dated as of August 31, 2004, by and among Enterprise Products Partners L.P., Enterprise</w:t>
              </w:r>
            </w:hyperlink>
          </w:p>
        </w:tc>
      </w:tr>
      <w:tr>
        <w:trPr>
          <w:trHeight w:val="196"/>
        </w:trPr>
        <w:tc>
          <w:tcPr>
            <w:tcW w:w="146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Products GP, LLC, Enterprise Products Management LLC, GulfTerra Energy Partners, L.P. and GulfTerra Energy Company, L.L.C.</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(incorporated by reference to Exhibit 2.1 to Form 8-K filed September 7, 2004).</w:t>
              </w:r>
            </w:hyperlink>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Parent Company Agreement, dated as of December 15, 2003, by and among Enterprise Products Partners L.P., Enterprise Products GP,</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LLC, Enterprise Products GTM, LLC, El Paso Corporation, Sabine River Investors I, L.L.C., Sabine River Investors II, L.L.C., El Paso</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EPN Investments, L.L.C. and GulfTerra GP Holding Company (incorporated by reference to Exhibit 2.2 to Form 8-K filed December</w:t>
              </w:r>
            </w:hyperlink>
          </w:p>
        </w:tc>
      </w:tr>
      <w:tr>
        <w:trPr>
          <w:trHeight w:val="196"/>
        </w:trPr>
        <w:tc>
          <w:tcPr>
            <w:tcW w:w="14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86">
              <w:r>
                <w:rPr>
                  <w:rFonts w:ascii="Times New Roman" w:cs="Times New Roman" w:eastAsia="Times New Roman" w:hAnsi="Times New Roman"/>
                  <w:sz w:val="18"/>
                  <w:szCs w:val="18"/>
                  <w:color w:val="0000EE"/>
                  <w:w w:val="97"/>
                </w:rPr>
                <w:t>15, 2003).</w:t>
              </w:r>
            </w:hyperlink>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2.4</w:t>
            </w: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Amendment No. 1 to Parent Company Agreement, dated as of April 19, 2004, by and among Enterprise Products Partners L.P.,</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Enterprise Products GP, LLC, Enterprise Products GTM, LLC, El Paso Corporation, Sabine River Investors I, L.L.C., Sabine River</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Investors II, L.L.C., El Paso EPN Investments, L.L.C. and GulfTerra GP Holding Company (incorporated by reference to Exhibit 2.1 to</w:t>
              </w:r>
            </w:hyperlink>
          </w:p>
        </w:tc>
      </w:tr>
      <w:tr>
        <w:trPr>
          <w:trHeight w:val="196"/>
        </w:trPr>
        <w:tc>
          <w:tcPr>
            <w:tcW w:w="146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Form 8-K filed April 21, 2004).</w:t>
              </w:r>
            </w:hyperlink>
          </w:p>
        </w:tc>
        <w:tc>
          <w:tcPr>
            <w:tcW w:w="7500" w:type="dxa"/>
            <w:vAlign w:val="bottom"/>
            <w:gridSpan w:val="9"/>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2.5</w:t>
            </w: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Purchase and Sale Agreement (Gas Plants), dated as of December 15, 2003, by and between El Paso Corporation, El Paso Field</w:t>
              </w:r>
            </w:hyperlink>
          </w:p>
        </w:tc>
        <w:tc>
          <w:tcPr>
            <w:tcW w:w="2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Services Management, Inc., El Paso Transmission, L.L.C., El Paso Field Services Holding Company and Enterprise Products</w:t>
              </w:r>
            </w:hyperlink>
          </w:p>
        </w:tc>
      </w:tr>
      <w:tr>
        <w:trPr>
          <w:trHeight w:val="196"/>
        </w:trPr>
        <w:tc>
          <w:tcPr>
            <w:tcW w:w="1460" w:type="dxa"/>
            <w:vAlign w:val="bottom"/>
          </w:tcPr>
          <w:p>
            <w:pPr>
              <w:spacing w:after="0"/>
              <w:rPr>
                <w:sz w:val="17"/>
                <w:szCs w:val="17"/>
                <w:color w:val="auto"/>
              </w:rPr>
            </w:pPr>
          </w:p>
        </w:tc>
        <w:tc>
          <w:tcPr>
            <w:tcW w:w="6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Operating L.P. (incorporated by reference to Exhibit 2.4 to Form 8-K filed December 15, 2003).</w:t>
              </w:r>
            </w:hyperlink>
          </w:p>
        </w:tc>
        <w:tc>
          <w:tcPr>
            <w:tcW w:w="2840" w:type="dxa"/>
            <w:vAlign w:val="bottom"/>
            <w:gridSpan w:val="4"/>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2.6</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Agreement and Plan of Merger, dated as of June 28, 2009, by and among Enterprise Products Partners L.P., Enterprise Products GP,</w:t>
              </w:r>
            </w:hyperlink>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LLC, Enterprise Sub B LLC, TEPPCO Partners, L.P. and Texas Eastern Products Pipeline Company, LLC (incorporated by reference to</w:t>
              </w:r>
            </w:hyperlink>
          </w:p>
        </w:tc>
      </w:tr>
      <w:tr>
        <w:trPr>
          <w:trHeight w:val="196"/>
        </w:trPr>
        <w:tc>
          <w:tcPr>
            <w:tcW w:w="146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Exhibit 2.1 to Form 8-K filed June 29, 2009).</w:t>
              </w:r>
            </w:hyperlink>
          </w:p>
        </w:tc>
        <w:tc>
          <w:tcPr>
            <w:tcW w:w="6520" w:type="dxa"/>
            <w:vAlign w:val="bottom"/>
            <w:gridSpan w:val="8"/>
          </w:tcPr>
          <w:p>
            <w:pPr>
              <w:spacing w:after="0"/>
              <w:rPr>
                <w:sz w:val="17"/>
                <w:szCs w:val="17"/>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2.7</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Agreement and Plan of Merger, dated as of June 28, 2009, by and among Enterprise Products Partners L.P., Enterprise Products GP,</w:t>
              </w:r>
            </w:hyperlink>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LLC, Enterprise Sub A LLC, TEPPCO Partners, L.P. and Texas Eastern Products Pipeline Company, LLC (incorporated by reference</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to Exhibit 2.2 to Form 8-K filed June 29, 2009).</w:t>
              </w:r>
            </w:hyperlink>
          </w:p>
        </w:tc>
      </w:tr>
      <w:tr>
        <w:trPr>
          <w:trHeight w:val="20"/>
        </w:trPr>
        <w:tc>
          <w:tcPr>
            <w:tcW w:w="14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2.8</w:t>
            </w: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Agreement and Plan of Merger, dated as of September 3, 2010, by and among Enterprise Products Partners L.P., Enterprise Products</w:t>
              </w:r>
            </w:hyperlink>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GP, LLC, Enterprise ETE LLC, Enterprise GP Holdings L.P. and EPE Holdings, LLC (incorporated by reference to Exhibit 2.1 to Form</w:t>
              </w:r>
            </w:hyperlink>
          </w:p>
        </w:tc>
      </w:tr>
      <w:tr>
        <w:trPr>
          <w:trHeight w:val="196"/>
        </w:trPr>
        <w:tc>
          <w:tcPr>
            <w:tcW w:w="1460" w:type="dxa"/>
            <w:vAlign w:val="bottom"/>
          </w:tcPr>
          <w:p>
            <w:pPr>
              <w:spacing w:after="0"/>
              <w:rPr>
                <w:sz w:val="17"/>
                <w:szCs w:val="17"/>
                <w:color w:val="auto"/>
              </w:rPr>
            </w:pP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8-K filed September 7, 2010).</w:t>
              </w:r>
            </w:hyperlink>
          </w:p>
        </w:tc>
      </w:tr>
      <w:tr>
        <w:trPr>
          <w:trHeight w:val="20"/>
        </w:trPr>
        <w:tc>
          <w:tcPr>
            <w:tcW w:w="14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6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w w:val="97"/>
              </w:rPr>
              <w:t>2.9</w:t>
            </w:r>
          </w:p>
        </w:tc>
        <w:tc>
          <w:tcPr>
            <w:tcW w:w="9800" w:type="dxa"/>
            <w:vAlign w:val="bottom"/>
            <w:gridSpan w:val="12"/>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Agreement and Plan of Merger, dated as of September 3, 2010, by and among Enterprise Products GP, LLC, Enterprise GP Holdings</w:t>
              </w:r>
            </w:hyperlink>
          </w:p>
        </w:tc>
      </w:tr>
      <w:tr>
        <w:trPr>
          <w:trHeight w:val="196"/>
        </w:trPr>
        <w:tc>
          <w:tcPr>
            <w:tcW w:w="1460" w:type="dxa"/>
            <w:vAlign w:val="bottom"/>
          </w:tcPr>
          <w:p>
            <w:pPr>
              <w:spacing w:after="0"/>
              <w:rPr>
                <w:sz w:val="17"/>
                <w:szCs w:val="17"/>
                <w:color w:val="auto"/>
              </w:rPr>
            </w:pPr>
          </w:p>
        </w:tc>
        <w:tc>
          <w:tcPr>
            <w:tcW w:w="9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L.P. and EPE Holdings, LLC (incorporated by reference to Exhibit 2.2 to Form 8-K filed September 7, 2010).</w:t>
              </w:r>
            </w:hyperlink>
          </w:p>
        </w:tc>
        <w:tc>
          <w:tcPr>
            <w:tcW w:w="40" w:type="dxa"/>
            <w:vAlign w:val="bottom"/>
            <w:gridSpan w:val="2"/>
          </w:tcPr>
          <w:p>
            <w:pPr>
              <w:spacing w:after="0"/>
              <w:rPr>
                <w:sz w:val="17"/>
                <w:szCs w:val="17"/>
                <w:color w:val="auto"/>
              </w:rPr>
            </w:pPr>
          </w:p>
        </w:tc>
      </w:tr>
      <w:tr>
        <w:trPr>
          <w:trHeight w:val="642"/>
        </w:trPr>
        <w:tc>
          <w:tcPr>
            <w:tcW w:w="1460" w:type="dxa"/>
            <w:vAlign w:val="bottom"/>
          </w:tcPr>
          <w:p>
            <w:pPr>
              <w:spacing w:after="0"/>
              <w:rPr>
                <w:sz w:val="24"/>
                <w:szCs w:val="24"/>
                <w:color w:val="auto"/>
              </w:rPr>
            </w:pPr>
          </w:p>
        </w:tc>
        <w:tc>
          <w:tcPr>
            <w:tcW w:w="4580" w:type="dxa"/>
            <w:vAlign w:val="bottom"/>
            <w:tcBorders>
              <w:top w:val="single" w:sz="8" w:color="0000EE"/>
            </w:tcBorders>
            <w:gridSpan w:val="6"/>
          </w:tcPr>
          <w:p>
            <w:pPr>
              <w:ind w:left="4020"/>
              <w:spacing w:after="0"/>
              <w:rPr>
                <w:sz w:val="20"/>
                <w:szCs w:val="20"/>
                <w:color w:val="auto"/>
              </w:rPr>
            </w:pPr>
            <w:r>
              <w:rPr>
                <w:rFonts w:ascii="Times New Roman" w:cs="Times New Roman" w:eastAsia="Times New Roman" w:hAnsi="Times New Roman"/>
                <w:sz w:val="18"/>
                <w:szCs w:val="18"/>
                <w:color w:val="auto"/>
              </w:rPr>
              <w:t>121</w:t>
            </w:r>
          </w:p>
        </w:tc>
        <w:tc>
          <w:tcPr>
            <w:tcW w:w="11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tcPr>
          <w:p>
            <w:pPr>
              <w:spacing w:after="0"/>
              <w:rPr>
                <w:sz w:val="24"/>
                <w:szCs w:val="24"/>
                <w:color w:val="auto"/>
              </w:rPr>
            </w:pPr>
          </w:p>
        </w:tc>
        <w:tc>
          <w:tcPr>
            <w:tcW w:w="97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Contribution Agreement, dated as of September 30, 2010, by and between Enterprise Products Company and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Partners L.P. (incorporated by reference to Exhibit 2.1 to Form 8-K filed October 1, 2010).</w:t>
              </w:r>
            </w:hyperlink>
          </w:p>
        </w:tc>
        <w:tc>
          <w:tcPr>
            <w:tcW w:w="324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Agreement and Plan of Merger, dated as of April 28, 2011, by and among Enterprise Products Partners L.P.,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Holdings LLC, EPD MergerCo LLC, Duncan Energy Partners L.P. and DEP Holdings, LLC (incorporated by reference to Exhibit 2.1</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to Form 8-K filed April 29, 2011).</w:t>
              </w:r>
            </w:hyperlink>
          </w:p>
        </w:tc>
        <w:tc>
          <w:tcPr>
            <w:tcW w:w="7300" w:type="dxa"/>
            <w:vAlign w:val="bottom"/>
            <w:gridSpan w:val="1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Contribution and Purchase Agreement, dated as of October 1, 2014, by and among Enterprise Products Partners L.P., Oiltanking</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Holding Americas, Inc. and OTB Holdco, LLC (incorporated by reference to Exhibit 2.1 to Form 8-K filed October 1, 2014).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Agreement and Plan of Merger, dated as of November 11, 2014, by and among Enterprise Products Partners L.P.,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Holdings LLC, EPOT MergerCo LLC, Oiltanking Partners, L.P. and OTLP GP, LLC (incorporated by reference to Exhibit 2.1 to Form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8-K filed November 12, 2014).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Amendment No. 1 dated as of June 6, 2018 to Contribution and Purchase Agreement, by and among Enterprise Products Partners L.P.,</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Oiltanking Holding Americas, Inc., Enterprise Products Holdings LLC and Marquard &amp; Bahls, AG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Exhibit 2.2 to Form 8-K filed June 12, 2018).</w:t>
              </w:r>
            </w:hyperlink>
          </w:p>
        </w:tc>
        <w:tc>
          <w:tcPr>
            <w:tcW w:w="650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Certificate of Limited Partnership of Enterprise Products Partners L.P. (incorporated by reference to Exhibit 3.6 to Form 10-Q filed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November 9, 2007).</w:t>
              </w:r>
            </w:hyperlink>
          </w:p>
        </w:tc>
        <w:tc>
          <w:tcPr>
            <w:tcW w:w="8320" w:type="dxa"/>
            <w:vAlign w:val="bottom"/>
            <w:gridSpan w:val="1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Certificate of Amendment to Certificate of Limited Partnership of Enterprise Products Partners L.P., filed on November 22, 2010 with</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the Delaware Secretary of State (incorporated by reference to Exhibit 3.6 to Form 8-K filed November 23, 2010).</w:t>
              </w:r>
            </w:hyperlink>
          </w:p>
        </w:tc>
        <w:tc>
          <w:tcPr>
            <w:tcW w:w="16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Seventh Amended and Restated Agreement of Limited Partnership of Enterprise Products Partners L.P., dated as of September 30,</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2020 (incorporated by reference to Exhibit 3.1 to Form 8-K filed October 1,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Certificate of Formation of Enterprise Products Holdings LLC (formerly named EPE Holdings, LLC)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Exhibit 3.3 to Form S-1/A Registration Statement, Reg. No. 333-124320, filed by Enterprise GP Holdings L.P. on July 22, 2005).</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Certificate of Amendment to Certificate of Formation of Enterprise Products Holdings LLC (formerly named EPE Holdings, LLC),</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filed on November 22, 2010 with the Delaware Secretary of State (incorporated by reference to Exhibit 3.5 to Form 8-K filed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November 23, 2010).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Sixth Amended and Restated Limited Liability Company Agreement of Enterprise Products Holdings LLC dated effective as of August</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9, 2022 (incorporated by reference to Exhibit 3.9 to Form 10-Q filed August 9, 2022).</w:t>
              </w:r>
            </w:hyperlink>
          </w:p>
        </w:tc>
        <w:tc>
          <w:tcPr>
            <w:tcW w:w="358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Company Agreement of Enterprise Products Operating LLC dated June 30, 2007 (incorporated by reference to Exhibit 3.3 to Form 10-</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Q filed August 8, 2007).</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Certificate of Incorporation of Enterprise Products OLPGP, Inc., dated December 3, 2003 (incorporated by reference to Exhibit 3.5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Form S-4 Registration Statement, Reg. No. 333-121665, filed December 27, 2004).</w:t>
              </w:r>
            </w:hyperlink>
          </w:p>
        </w:tc>
        <w:tc>
          <w:tcPr>
            <w:tcW w:w="376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Bylaws of Enterprise Products OLPGP, Inc., dated December 8, 2003 (incorporated by reference to Exhibit 3.6 to Form S-4</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Registration Statement, Reg. No. 333-121665, filed December 27, 2004).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Form of Common Unit certificate (incorporated by reference to Exhibit A to Exhibit 3.1 to Form 8-K filed October 1,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400" w:type="dxa"/>
            <w:vAlign w:val="bottom"/>
            <w:gridSpan w:val="7"/>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Description of the Registrant’s Securities Registered Pursuant to Section 12 of the Securities Exchange Act of 1934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reference to Exhibit 4.2 to Form 10-K filed February 28,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Indenture, dated as of March 15, 2000, among Enterprise Products Operating L.P., as Issuer, Enterprise Products Partners L.P., as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Guarantor, and First Union National Bank, as Trustee (incorporated by reference to Exhibit 4.1 to Form 8-K filed March 14, 2000).</w:t>
              </w:r>
            </w:hyperlink>
          </w:p>
        </w:tc>
        <w:tc>
          <w:tcPr>
            <w:tcW w:w="32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Second Supplemental Indenture, dated as of February 14, 2003, among Enterprise Products Operating L.P.,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Products Partners L.P., as Guarantor, and Wachovia Bank, National Association, as Trustee (incorporated by reference to Exhibit 4.3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Form 10-K filed March 31, 2003).</w:t>
              </w:r>
            </w:hyperlink>
          </w:p>
        </w:tc>
        <w:tc>
          <w:tcPr>
            <w:tcW w:w="72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80" w:type="dxa"/>
            <w:vAlign w:val="bottom"/>
            <w:gridSpan w:val="7"/>
          </w:tcPr>
          <w:p>
            <w:pPr>
              <w:ind w:left="4020"/>
              <w:spacing w:after="0"/>
              <w:rPr>
                <w:sz w:val="20"/>
                <w:szCs w:val="20"/>
                <w:color w:val="auto"/>
              </w:rPr>
            </w:pPr>
            <w:r>
              <w:rPr>
                <w:rFonts w:ascii="Times New Roman" w:cs="Times New Roman" w:eastAsia="Times New Roman" w:hAnsi="Times New Roman"/>
                <w:sz w:val="18"/>
                <w:szCs w:val="18"/>
                <w:color w:val="auto"/>
              </w:rPr>
              <w:t>122</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Third Supplemental Indenture, dated as of June 30, 2007, among Enterprise Products Operating L.P., as Original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Products Partners L.P., as Parent Guarantor, Enterprise Products Operating LLC, as New Issuer, and U.S. Bank National Association,</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as successor Trustee (incorporated by reference to Exhibit 4.55 to Form 10-Q filed August 8, 2007).</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Indenture, dated as of October 4, 2004, among Enterprise Products Operating L.P., as Issuer, Enterprise Products Partners L.P., as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Parent Guarantor, and Wells Fargo Bank, National Association, as Trustee (incorporated by reference to Exhibit 4.1 to Form 8-K filed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October 6, 2004).</w:t>
              </w:r>
            </w:hyperlink>
          </w:p>
        </w:tc>
        <w:tc>
          <w:tcPr>
            <w:tcW w:w="850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Fourth Supplemental Indenture, dated as of October 4, 2004, among Enterprise Products Operating L.P., as Issuer,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Partners L.P., as Parent Guarantor, and Wells Fargo Bank, National Association, as Trustee (incorporated by reference to Exhibit 4.5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Form 8-K filed October 6, 2004).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Sixth Supplemental Indenture, dated as of March 2, 2005, among Enterprise Products Operating L.P., as Issuer,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Partners L.P., as Parent Guarantor, and Wells Fargo Bank, National Association, as Trustee (incorporated by reference to Exhibit 4.3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Form 8-K filed March 3, 2005).</w:t>
              </w:r>
            </w:hyperlink>
          </w:p>
        </w:tc>
        <w:tc>
          <w:tcPr>
            <w:tcW w:w="748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Tenth Supplemental Indenture, dated as of June 30, 2007, among Enterprise Products Operating L.P., as Original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Products Partners L.P., as Parent Guarantor, Enterprise Products Operating LLC, as New Issuer, and Wells Fargo Bank, National</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Association, as Trustee (incorporated by reference to Exhibit 4.54 to Form 10-Q filed August 8, 2007).</w:t>
              </w:r>
            </w:hyperlink>
          </w:p>
        </w:tc>
        <w:tc>
          <w:tcPr>
            <w:tcW w:w="236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Sixteenth Supplemental Indenture, dated as of October 5, 2009,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Exhibit 4.3 to Form 8-K filed October 5, 2009).</w:t>
              </w:r>
            </w:hyperlink>
          </w:p>
        </w:tc>
        <w:tc>
          <w:tcPr>
            <w:tcW w:w="634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Seventeenth Supplemental Indenture, dated as of October 27, 2009,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Exhibit 4.1 to Form 8-K filed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Eighteenth Supplemental Indenture, dated as of October 27, 2009,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Exhibit 4.2 to Form 8-K filed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Nineteenth Supplemental Indenture, dated as of May 20, 2010,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Exhibit 4.3 to Form 8-K filed May 20, 2010).</w:t>
              </w:r>
            </w:hyperlink>
          </w:p>
        </w:tc>
        <w:tc>
          <w:tcPr>
            <w:tcW w:w="650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Twentieth Supplemental Indenture, dated as of January 13, 2011,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Exhibit 4.3 to Form 8-K filed January 13,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Twenty-First Supplemental Indenture, dated as of August 24, 2011,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Exhibit 4.3 to Form 8-K filed August 24,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Twenty-Second Supplemental Indenture, dated as of February 15, 2012, among Enterprise Products Operating LLC, as Issuer,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Enterprise Products Partners L.P., as Parent Guarantor, and Wells Fargo Bank, National Association, as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reference to Exhibit 4.25 to Form 10-Q filed May 10, 2012).</w:t>
              </w:r>
            </w:hyperlink>
          </w:p>
        </w:tc>
        <w:tc>
          <w:tcPr>
            <w:tcW w:w="542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Twenty-Third Supplemental Indenture, dated as of August 13, 2012,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630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Exhibit 4.3 to Form 8-K filed August 13, 2012).</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60" w:type="dxa"/>
            <w:vAlign w:val="bottom"/>
            <w:tcBorders>
              <w:top w:val="single" w:sz="8" w:color="0000EE"/>
            </w:tcBorders>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4.18</w:t>
            </w:r>
          </w:p>
        </w:tc>
        <w:tc>
          <w:tcPr>
            <w:tcW w:w="440" w:type="dxa"/>
            <w:vAlign w:val="bottom"/>
          </w:tcPr>
          <w:p>
            <w:pPr>
              <w:spacing w:after="0"/>
              <w:rPr>
                <w:sz w:val="24"/>
                <w:szCs w:val="24"/>
                <w:color w:val="auto"/>
              </w:rPr>
            </w:pPr>
          </w:p>
        </w:tc>
        <w:tc>
          <w:tcPr>
            <w:tcW w:w="9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Twenty-Fourth Supplemental Indenture, dated as of March 18, 2013,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Exhibit 4.3 to Form 8-K filed March 18, 2013).</w:t>
              </w:r>
            </w:hyperlink>
          </w:p>
        </w:tc>
        <w:tc>
          <w:tcPr>
            <w:tcW w:w="636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Twenty-Fifth Supplemental Indenture, dated as of February 12, 2014,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Exhibit 4.3 to Form 8-K filed February 12, 2014).</w:t>
              </w:r>
            </w:hyperlink>
          </w:p>
        </w:tc>
        <w:tc>
          <w:tcPr>
            <w:tcW w:w="616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Twenty-Sixth Supplemental Indenture, dated as of October 14, 2014,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Exhibit 4.4 to Form 8-K filed October 14, 2014).</w:t>
              </w:r>
            </w:hyperlink>
          </w:p>
        </w:tc>
        <w:tc>
          <w:tcPr>
            <w:tcW w:w="624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Twenty-Seventh Supplemental Indenture, dated as of May 7, 2015,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Exhibit 4.3 to Form 8-K filed May 7, 2015).</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Twenty-Eighth Supplemental Indenture, dated as of April 13, 2016,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Exhibit 4.4 to Form 8-K filed April 13, 2016).</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Twenty-Ninth Supplemental Indenture, dated as of August 16, 2017,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Exhibit 4.3 to Form 8-K filed August 16, 2017).</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Thirtieth Supplemental Indenture, dated as of February 15, 2018,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Exhibit 4.4 to Form 8-K filed February 15, 2018).</w:t>
              </w:r>
            </w:hyperlink>
          </w:p>
        </w:tc>
        <w:tc>
          <w:tcPr>
            <w:tcW w:w="61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Thirty-First Supplemental Indenture, dated as of February 15, 2018,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560" w:type="dxa"/>
            <w:vAlign w:val="bottom"/>
            <w:tcBorders>
              <w:left w:val="single" w:sz="8" w:color="0000EE"/>
            </w:tcBorders>
            <w:gridSpan w:val="4"/>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Exhibit 4.3 to Form 8-K filed February 15, 2018).</w:t>
              </w:r>
            </w:hyperlink>
          </w:p>
        </w:tc>
        <w:tc>
          <w:tcPr>
            <w:tcW w:w="616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4.26</w:t>
            </w: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Thirty-Second Supplemental Indenture, dated as of October 11, 2018,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560" w:type="dxa"/>
            <w:vAlign w:val="bottom"/>
            <w:tcBorders>
              <w:left w:val="single" w:sz="8" w:color="0000EE"/>
            </w:tcBorders>
            <w:gridSpan w:val="4"/>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Exhibit 4.3 to Form 8-K filed October 11, 2018).</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560" w:type="dxa"/>
            <w:vAlign w:val="bottom"/>
            <w:tcBorders>
              <w:left w:val="single" w:sz="8" w:color="0000EE"/>
            </w:tcBorders>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Thirty-Third Supplemental Indenture, dated as of July 8, 2019,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Exhibit 4.3 to Form 8-K filed July 8, 2019).</w:t>
              </w:r>
            </w:hyperlink>
          </w:p>
        </w:tc>
        <w:tc>
          <w:tcPr>
            <w:tcW w:w="6600" w:type="dxa"/>
            <w:vAlign w:val="bottom"/>
            <w:gridSpan w:val="1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Thirty-Fourth Supplemental Indenture, dated as of January 15, 2020,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Exhibit 4.3 to Form 8-K filed January 15,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Thirty-Fifth Supplemental Indenture, dated as of August 7, 2020, among Enterprise Products Operating LLC, as Issuer,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4680" w:type="dxa"/>
            <w:vAlign w:val="bottom"/>
            <w:gridSpan w:val="7"/>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Products Partners L.P., as Parent Guarantor, and Wells Fargo Bank, National Association, as Trustee (incorporated by reference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Exhibit 4.4 to Form 8-K filed August 7, 2020).</w:t>
              </w:r>
            </w:hyperlink>
          </w:p>
        </w:tc>
        <w:tc>
          <w:tcPr>
            <w:tcW w:w="640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Thirty-Sixth Supplemental Indenture, dated as of September 15, 2021,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Products Partners L.P., as Parent Guarantor, Wells Fargo Bank, National Association, as Original Trustee, and U.S. Bank National</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Association, as Series Trustee (incorporated by reference to Exhibit 4.3 to Form 8-K filed September 15, 2021).</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60" w:type="dxa"/>
            <w:vAlign w:val="bottom"/>
            <w:tcBorders>
              <w:top w:val="single" w:sz="8" w:color="0000EE"/>
            </w:tcBorders>
            <w:gridSpan w:val="10"/>
          </w:tcPr>
          <w:p>
            <w:pPr>
              <w:ind w:left="4020"/>
              <w:spacing w:after="0"/>
              <w:rPr>
                <w:sz w:val="20"/>
                <w:szCs w:val="20"/>
                <w:color w:val="auto"/>
              </w:rPr>
            </w:pPr>
            <w:r>
              <w:rPr>
                <w:rFonts w:ascii="Times New Roman" w:cs="Times New Roman" w:eastAsia="Times New Roman" w:hAnsi="Times New Roman"/>
                <w:sz w:val="18"/>
                <w:szCs w:val="18"/>
                <w:color w:val="auto"/>
              </w:rPr>
              <w:t>124</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4.31</w:t>
            </w:r>
          </w:p>
        </w:tc>
        <w:tc>
          <w:tcPr>
            <w:tcW w:w="440" w:type="dxa"/>
            <w:vAlign w:val="bottom"/>
          </w:tcPr>
          <w:p>
            <w:pPr>
              <w:spacing w:after="0"/>
              <w:rPr>
                <w:sz w:val="24"/>
                <w:szCs w:val="24"/>
                <w:color w:val="auto"/>
              </w:rPr>
            </w:pPr>
          </w:p>
        </w:tc>
        <w:tc>
          <w:tcPr>
            <w:tcW w:w="9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Thirty-Seventh Supplemental Indenture, dated as of January 10, 2023,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Products Partners L.P., as Parent Guarantor, and U.S. Bank Trust Company, National Association, as Series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reference to Exhibit 4.4 to Form 8-K filed January 10, 2023).</w:t>
              </w:r>
            </w:hyperlink>
          </w:p>
        </w:tc>
        <w:tc>
          <w:tcPr>
            <w:tcW w:w="536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Thirty-Eighth Supplemental Indenture, dated as of January 11, 2024, among Enterprise Products Operating LLC, as Issuer,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Products Partners L.P., as Parent Guarantor, and U.S. Bank Trust Company, National Association, as Series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reference to Exhibit 4.4 to Form 8-K filed January 11, 2024).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500 million principal amount of 6.875% Series B Senior Notes due 2033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(incorporated by reference to Exhibit A to Exhibit 4.3 to Form 10-K filed March 31, 2003).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350 million principal amount of 6.65% Series B Senior Notes due 2034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(incorporated by reference to Exhibit 4.19 to Form S-3 Registration Statement, Reg. No. 333-123150, filed March 4, 2005).</w:t>
              </w:r>
            </w:hyperlink>
          </w:p>
        </w:tc>
        <w:tc>
          <w:tcPr>
            <w:tcW w:w="86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250 million principal amount of 5.75% Series B Senior Notes due 2035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(incorporated by reference to Exhibit 4.32 to Form 10-Q filed November 4, 2005).</w:t>
              </w:r>
            </w:hyperlink>
          </w:p>
        </w:tc>
        <w:tc>
          <w:tcPr>
            <w:tcW w:w="384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 million principal amount of 6.125% Senior Notes due 2039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(incorporated by reference to Exhibit B to Exhibit 4.3 to Form 8-K filed October 5, 2009).</w:t>
              </w:r>
            </w:hyperlink>
          </w:p>
        </w:tc>
        <w:tc>
          <w:tcPr>
            <w:tcW w:w="32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399.6 million principal amount of 7.55% Senior Notes due 2038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(incorporated by reference to Exhibit E to Exhibit 4.1 to Form 8-K filed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285.8 million principal amount of Junior Subordinated Notes due 2067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(incorporated by reference to Exhibit A to Exhibit 4.2 to Form 8-K filed October 28, 2009).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 million principal amount of 6.45% Senior Notes due 2040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(incorporated by reference to Exhibit C to Exhibit 4.3 to Form 8-K filed May 20, 2010).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750 million principal amount of 5.95% Senior Notes due 2041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(incorporated by reference to Exhibit B to Exhibit 4.3 to Form 8-K filed January 13,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 million principal amount of 5.70% Senior Notes due 2042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(incorporated by reference to Exhibit B to Exhibit 4.3 to Form 8-K filed August 24, 2011).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750 million principal amount of 4.85% Senior Notes due 2042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(incorporated by reference to Exhibit A to Exhibit 4.25 to Form 10-Q filed May 10, 2012).</w:t>
              </w:r>
            </w:hyperlink>
          </w:p>
        </w:tc>
        <w:tc>
          <w:tcPr>
            <w:tcW w:w="322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 billion principal amount of 4.45% Senior Notes due 2043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(incorporated by reference to Exhibit B to Exhibit 4.3 to Form 8-K filed August 13, 2012).</w:t>
              </w:r>
            </w:hyperlink>
          </w:p>
        </w:tc>
        <w:tc>
          <w:tcPr>
            <w:tcW w:w="322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3.35% Senior Notes due 2023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(incorporated by reference to Exhibit A to Exhibit 4.3 to Form 8-K filed March 18, 2013).</w:t>
              </w:r>
            </w:hyperlink>
          </w:p>
        </w:tc>
        <w:tc>
          <w:tcPr>
            <w:tcW w:w="326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4.85% Senior Notes due 2044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(incorporated by reference to Exhibit B to Exhibit 4.3 to Form 8-K filed March 18, 2013).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8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850 million principal amount of 3.90% Senior Notes due 2024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(incorporated by reference to Exhibit A to Exhibit 4.3 to Form 8-K filed February 12, 2014).</w:t>
              </w:r>
            </w:hyperlink>
          </w:p>
        </w:tc>
        <w:tc>
          <w:tcPr>
            <w:tcW w:w="310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1.15 billion principal amount of 5.10% Senior Notes due 2045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(incorporated by reference to Exhibit B to Exhibit 4.3 to Form 8-K filed February 12, 2014).</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Borders>
              <w:top w:val="single" w:sz="8" w:color="0000EE"/>
            </w:tcBorders>
          </w:tcPr>
          <w:p>
            <w:pPr>
              <w:ind w:left="402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4.48</w:t>
            </w:r>
          </w:p>
        </w:tc>
        <w:tc>
          <w:tcPr>
            <w:tcW w:w="440" w:type="dxa"/>
            <w:vAlign w:val="bottom"/>
          </w:tcPr>
          <w:p>
            <w:pPr>
              <w:spacing w:after="0"/>
              <w:rPr>
                <w:sz w:val="24"/>
                <w:szCs w:val="24"/>
                <w:color w:val="auto"/>
              </w:rPr>
            </w:pPr>
          </w:p>
        </w:tc>
        <w:tc>
          <w:tcPr>
            <w:tcW w:w="9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1.15 billion principal amount of 3.75% Senior Notes due 2025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(incorporated by reference to Exhibit B to Exhibit 4.4 to Form 8-K filed October 14, 2014).</w:t>
              </w:r>
            </w:hyperlink>
          </w:p>
        </w:tc>
        <w:tc>
          <w:tcPr>
            <w:tcW w:w="316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400 million principal amount of 4.95% Senior Notes due 2054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(incorporated by reference to Exhibit C to Exhibit 4.4 to Form 8-K filed October 14, 2014).</w:t>
              </w:r>
            </w:hyperlink>
          </w:p>
        </w:tc>
        <w:tc>
          <w:tcPr>
            <w:tcW w:w="316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400 million principal amount of 4.85% Senior Notes due 2044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(incorporated by reference to Exhibit B to Exhibit 4.3 to Form 8-K filed March 18, 2013).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875 million principal amount of 3.70% Senior Notes due 2026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(incorporated by reference to Exhibit B to Exhibit 4.3 to Form 8-K filed May 7, 2015).</w:t>
              </w:r>
            </w:hyperlink>
          </w:p>
        </w:tc>
        <w:tc>
          <w:tcPr>
            <w:tcW w:w="352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875 million principal amount of 4.90% Senior Notes due 2046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(incorporated by reference to Exhibit C to Exhibit 4.3 to Form 8-K filed May 7, 2015).</w:t>
              </w:r>
            </w:hyperlink>
          </w:p>
        </w:tc>
        <w:tc>
          <w:tcPr>
            <w:tcW w:w="352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575 million principal amount of 3.95% Senior Notes due 2027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(incorporated by reference to Exhibit B to Exhibit 4.4 to Form 8-K filed April 13, 2016).</w:t>
              </w:r>
            </w:hyperlink>
          </w:p>
        </w:tc>
        <w:tc>
          <w:tcPr>
            <w:tcW w:w="338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 million principal amount of 4.90% Senior Notes due 2046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(incorporated by reference to Exhibit C to Exhibit 4.3 to Form 8-K filed May 7, 2015).</w:t>
              </w:r>
            </w:hyperlink>
          </w:p>
        </w:tc>
        <w:tc>
          <w:tcPr>
            <w:tcW w:w="352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700 million principal amount of Junior Subordinated Notes D due 2077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(incorporated by reference to Exhibit A to Exhibit 4.3 to Form 8-K filed August 16, 2017).</w:t>
              </w:r>
            </w:hyperlink>
          </w:p>
        </w:tc>
        <w:tc>
          <w:tcPr>
            <w:tcW w:w="322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Junior Subordinated Notes E due 2077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(incorporated by reference to Exhibit B to Exhibit 4.3 to Form 8-K filed August 16, 2017).</w:t>
              </w:r>
            </w:hyperlink>
          </w:p>
        </w:tc>
        <w:tc>
          <w:tcPr>
            <w:tcW w:w="324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4.25% Senior Notes due 2048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(incorporated by reference to Exhibit B to Exhibit 4.4 to Form 8-K filed February 15, 2018).</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700 million principal amount of Junior Subordinated Notes F due 2078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(incorporated by reference to Exhibit A to Exhibit 4.3 to Form 8-K filed February 15, 2018).</w:t>
              </w:r>
            </w:hyperlink>
          </w:p>
        </w:tc>
        <w:tc>
          <w:tcPr>
            <w:tcW w:w="310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4.15% Senior Notes due 2028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(incorporated by reference to Exhibit B to Exhibit 4.3 to Form 8-K filed October 11, 2018).</w:t>
              </w:r>
            </w:hyperlink>
          </w:p>
        </w:tc>
        <w:tc>
          <w:tcPr>
            <w:tcW w:w="31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4.80% Senior Notes due 2049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(incorporated by reference to Exhibit C to Exhibit 4.3 to Form 8-K filed October 11, 2018).</w:t>
              </w:r>
            </w:hyperlink>
          </w:p>
        </w:tc>
        <w:tc>
          <w:tcPr>
            <w:tcW w:w="31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3.125% Senior Notes due 2029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(incorporated by reference to Exhibit A to Exhibit 4.3 to Form 8-K filed July 8, 2019).</w:t>
              </w:r>
            </w:hyperlink>
          </w:p>
        </w:tc>
        <w:tc>
          <w:tcPr>
            <w:tcW w:w="3540" w:type="dxa"/>
            <w:vAlign w:val="bottom"/>
            <w:gridSpan w:val="1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1.25 billion principal amount of 4.200% Senior Notes due 2050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(incorporated by reference to Exhibit B to Exhibit 4.3 to Form 8-K filed July 8, 2019).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2.800% Senior Notes due 2030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(incorporated by reference to Exhibit A to Exhibit 4.3 to Form 8-K filed January 15,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80" w:type="dxa"/>
            <w:vAlign w:val="bottom"/>
            <w:gridSpan w:val="8"/>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3.700% Senior Notes due 2051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(incorporated by reference to Exhibit B to Exhibit 4.3 to Form 8-K filed January 15, 2020).</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tcBorders>
              <w:top w:val="single" w:sz="8" w:color="0000EE"/>
            </w:tcBorders>
          </w:tcPr>
          <w:p>
            <w:pPr>
              <w:ind w:left="402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4.65</w:t>
            </w:r>
          </w:p>
        </w:tc>
        <w:tc>
          <w:tcPr>
            <w:tcW w:w="440" w:type="dxa"/>
            <w:vAlign w:val="bottom"/>
          </w:tcPr>
          <w:p>
            <w:pPr>
              <w:spacing w:after="0"/>
              <w:rPr>
                <w:sz w:val="24"/>
                <w:szCs w:val="24"/>
                <w:color w:val="auto"/>
              </w:rPr>
            </w:pPr>
          </w:p>
        </w:tc>
        <w:tc>
          <w:tcPr>
            <w:tcW w:w="9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3.950% Senior Notes due 2060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(incorporated by reference to Exhibit C to Exhibit 4.3 to Form 8-K filed January 15, 2020).</w:t>
              </w:r>
            </w:hyperlink>
          </w:p>
        </w:tc>
        <w:tc>
          <w:tcPr>
            <w:tcW w:w="32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4.66</w:t>
            </w: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250 million principal amount of 2.800% Senior Notes due 2030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(incorporated by reference to Exhibit A to Exhibit 4.3 to Form 8-K filed January 15, 2020).</w:t>
              </w:r>
            </w:hyperlink>
          </w:p>
        </w:tc>
        <w:tc>
          <w:tcPr>
            <w:tcW w:w="31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3.200% Senior Notes due 2052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(incorporated by reference to Exhibit A to Exhibit 4.4 to Form 8-K filed August 7, 2020).</w:t>
              </w:r>
            </w:hyperlink>
          </w:p>
        </w:tc>
        <w:tc>
          <w:tcPr>
            <w:tcW w:w="332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3.300% Senior Notes due 2053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(incorporated by reference to Exhibit A to Exhibit 4.3 to Form 8-K filed September 15, 2021).</w:t>
              </w:r>
            </w:hyperlink>
          </w:p>
        </w:tc>
        <w:tc>
          <w:tcPr>
            <w:tcW w:w="298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4.69</w:t>
            </w: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750 million principal amount of 5.050% Senior Notes due 2026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(incorporated by reference to Exhibit A to Exhibit 4.4 to Form 8-K filed January 10, 2023).</w:t>
              </w:r>
            </w:hyperlink>
          </w:p>
        </w:tc>
        <w:tc>
          <w:tcPr>
            <w:tcW w:w="31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5.350% Senior Notes due 2033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(incorporated by reference to Exhibit B to Exhibit 4.4 to Form 8-K filed January 10, 2023).</w:t>
              </w:r>
            </w:hyperlink>
          </w:p>
        </w:tc>
        <w:tc>
          <w:tcPr>
            <w:tcW w:w="32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4.600% Senior Notes due 2027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(incorporated by reference to Exhibit A to Exhibit 4.4 to Form 8-K filed January 11, 2024).</w:t>
              </w:r>
            </w:hyperlink>
          </w:p>
        </w:tc>
        <w:tc>
          <w:tcPr>
            <w:tcW w:w="320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 xml:space="preserve">Form of Global Note representing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 billion principal amount of 4.850% Senior Notes due 2034 with attached Guarantee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(incorporated by reference to Exhibit B to Exhibit 4.4 to Form 8-K filed January 11, 2024).</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4.73</w:t>
            </w: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Replacement Capital Covenant, dated October 27, 2009, executed by Enterprise Products Operating LLC and Enterprise Products</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72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Partners L.P. in favor of the covered debtholders described therein (incorporated by reference to Exhibit 4.9 to Form 8-K filed October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40">
              <w:r>
                <w:rPr>
                  <w:rFonts w:ascii="Times New Roman" w:cs="Times New Roman" w:eastAsia="Times New Roman" w:hAnsi="Times New Roman"/>
                  <w:sz w:val="18"/>
                  <w:szCs w:val="18"/>
                  <w:color w:val="0000EE"/>
                  <w:w w:val="97"/>
                </w:rPr>
                <w:t>28, 2009).</w:t>
              </w:r>
            </w:hyperlink>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4.74</w:t>
            </w: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Amendment to Replacement Capital Covenants, dated May 6, 2015, executed by Enterprise Products Operating LLC and Enterprise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72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Products Partners L.P. in favor of the covered debtholders described therein (incorporated by reference to Exhibit 4.59 to Form 10-Q</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filed May 8, 2015).</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4.75</w:t>
            </w: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Indenture, dated February 20, 2002, by and among TEPPCO Partners, L.P., as Issuer, TE Products Pipeline Company, Limited</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72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Partnership, TCTM, L.P., TEPPCO Midstream Companies, L.P. and Jonah Gas Gathering Company, as Subsidiary Guarantors, and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First Union National Bank, NA, as Trustee (incorporated by reference to Exhibit 99.2 to the Form 8-K filed by TEPPCO Partners, L.P.</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on February 20, 2002).</w:t>
              </w:r>
            </w:hyperlink>
          </w:p>
        </w:tc>
        <w:tc>
          <w:tcPr>
            <w:tcW w:w="8120" w:type="dxa"/>
            <w:vAlign w:val="bottom"/>
            <w:gridSpan w:val="1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Supplemental Indenture, dated June 27, 2002, by and among TEPPCO Partners, L.P., as Issuer, TE Products Pipeline Company,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Limited Partnership, TCTM, L.P., TEPPCO Midstream Companies, L.P. and Jonah Gas Gathering Company, as Initial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Guarantors, Val Verde Gas Gathering Company, L.P., as New Subsidiary Guarantor, and Wachovia Bank, National Association,</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formerly known as First Union National Bank, as Trustee (incorporated by reference to Exhibit 4.6 to the Form 10-Q filed by TEPPCO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43">
              <w:r>
                <w:rPr>
                  <w:rFonts w:ascii="Times New Roman" w:cs="Times New Roman" w:eastAsia="Times New Roman" w:hAnsi="Times New Roman"/>
                  <w:sz w:val="18"/>
                  <w:szCs w:val="18"/>
                  <w:color w:val="0000EE"/>
                  <w:w w:val="98"/>
                </w:rPr>
                <w:t>Partners, L.P. on August 14, 2002).</w:t>
              </w:r>
            </w:hyperlink>
          </w:p>
        </w:tc>
        <w:tc>
          <w:tcPr>
            <w:tcW w:w="724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4.77</w:t>
            </w: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Full Release of Guarantee, dated July 31, 2006, by Wachovia Bank, National Association, as Trustee, in favor of Jonah Gas Gathering</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Company (incorporated by reference to Exhibit 4.8 to the Form 10-Q filed by TEPPCO Partners, L.P. on November 7, 2006).</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72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Seventh Supplemental Indenture, dated March 27, 2008, by and among TEPPCO Partners, L.P., as Issuer, TE Products Pipeline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Company, LLC, TCTM, L.P., TEPPCO Midstream Companies, LLC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Guarantors, and U.S. Bank National Association, as Trustee (incorporated by reference to Exhibit 4.13 to the Form 10-Q filed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TEPPCO Partners, L.P. on May 8, 2008).</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4.79</w:t>
            </w: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Eighth Supplemental Indenture, dated October 27, 2009, by and among TEPPCO Partners, L.P., as Issuer, TE Products Pipeline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64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Company, LLC, TCTM, L.P., TEPPCO Midstream Companies, LLC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Guarantors, and U.S. Bank National Association, as Trustee (incorporated by reference to Exhibit 4.1 to the Form 8-K filed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4"/>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TEPPCO Partners, L.P. on October 28, 2009).</w:t>
              </w:r>
            </w:hyperlink>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00" w:type="dxa"/>
            <w:vAlign w:val="bottom"/>
            <w:tcBorders>
              <w:top w:val="single" w:sz="8" w:color="0000EE"/>
            </w:tcBorders>
            <w:gridSpan w:val="6"/>
          </w:tcPr>
          <w:p>
            <w:pPr>
              <w:spacing w:after="0"/>
              <w:rPr>
                <w:sz w:val="24"/>
                <w:szCs w:val="24"/>
                <w:color w:val="auto"/>
              </w:rPr>
            </w:pPr>
          </w:p>
        </w:tc>
        <w:tc>
          <w:tcPr>
            <w:tcW w:w="316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4.80</w:t>
            </w:r>
          </w:p>
        </w:tc>
        <w:tc>
          <w:tcPr>
            <w:tcW w:w="44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Full Release of Guarantee, dated November 23, 2009, of TE Products Pipeline Company, LLC, TCTM, L.P., TEPPCO Midstream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Companies, LLC and Val Verde Gas Gathering Company, L.P. by U.S. Bank National Association, as Trustee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reference to Exhibit 4.64 to Form 10-K filed March 1, 2010).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4.81</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Indenture, dated May 14, 2007, by and among TEPPCO Partners, L.P., as Issuer, TE Products Pipeline Company, Limited Partnership,</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TCTM, L.P., TEPPCO Midstream Companies, L.P. and Val Verde Gas Gathering Company, L.P., as Subsidiary Guarantors, and The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Bank of New York Trust Company, N.A., as Trustee (incorporated by reference to Exhibit 99.1 of the Form 8-K filed by TEPPCO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Partners, L.P. on May 15, 2007).</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First Supplemental Indenture, dated May 18, 2007, by and among TEPPCO Partners, L.P., as Issuer, TE Products Pipeline Company,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Limited Partnership, TCTM, L.P., TEPPCO Midstream Companies, L.P.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Guarantors, and The Bank of New York Trust Company, N.A., as Trustee (incorporated by reference to Exhibit 4.2 to the Form 8-K</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filed by TEPPCO Partners, L.P. on May 18, 2007).</w:t>
              </w:r>
            </w:hyperlink>
          </w:p>
        </w:tc>
        <w:tc>
          <w:tcPr>
            <w:tcW w:w="6120" w:type="dxa"/>
            <w:vAlign w:val="bottom"/>
            <w:gridSpan w:val="11"/>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Second Supplemental Indenture, dated as of June 30, 2007, by and among TEPPCO Partners, L.P., as Issuer, TE Products Pipeline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Company, Limited Partnership, TCTM, L.P., TEPPCO Midstream Companies, L.P. and Val Verde Gas Gathering Company, L.P., as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Existing Subsidiary Guarantors, TE Products Pipeline Company, LLC and TEPPCO Midstream Companies, LLC, as New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Guarantors, and The Bank of New York Trust Company, N.A., as Trustee (incorporated by reference to Exhibit 4.2 to the Form 8-K</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filed by TE Products Pipeline Company, LLC on July 6, 2007).</w:t>
              </w:r>
            </w:hyperlink>
          </w:p>
        </w:tc>
        <w:tc>
          <w:tcPr>
            <w:tcW w:w="522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Third Supplemental Indenture, dated as of October 27, 2009, by and among TEPPCO Partners, L.P., as Issuer, TE Products Pipeline</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Company, LLC, TCTM, L.P., TEPPCO Midstream Companies, LLC and Val Verde Gas Gathering Company, L.P., as Subsidiary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Guarantors, and The Bank of New York Mellon Trust Company, N.A., as Trustee (incorporated by reference to Exhibit 4.2 to the Form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8-K filed by TEPPCO Partners, L.P. on October 28, 2009).</w:t>
              </w:r>
            </w:hyperlink>
          </w:p>
        </w:tc>
        <w:tc>
          <w:tcPr>
            <w:tcW w:w="554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Full Release of Guarantee, dated as of November 23, 2009, of TE Products Pipeline Company, LLC, TCTM, L.P., TEPPCO Midstream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Companies, LLC and Val Verde Gas Gathering Company, L.P. by The Bank of New York Mellon Trust Company, N.A., as Trustee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(incorporated by reference to Exhibit 4.70 to Form 10-K filed March 1, 2010).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4.86</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Specimen Unit Certificate for the Series A Cumulative Convertible Preferred Units, (incorporated by reference to Exhibit B to Exhibit</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Form 8-K filed October 1, 2020).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Registration Rights Agreement, dated as of September 30, 2020, by and among Enterprise Products Partners L.P. and the Purchasers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party thereto (incorporated by reference to Exhibit 4.2 to Form 8-K filed October 1, 2020).</w:t>
              </w:r>
            </w:hyperlink>
          </w:p>
        </w:tc>
        <w:tc>
          <w:tcPr>
            <w:tcW w:w="32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2008 Enterprise Products Long-Term Incentive Plan (Fourth Amendment and Restatement) (incorporated by reference to Annex A to</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Definitive Proxy Statement filed October 24, 2022).</w:t>
              </w:r>
            </w:hyperlink>
          </w:p>
        </w:tc>
        <w:tc>
          <w:tcPr>
            <w:tcW w:w="60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Form of Employee Phantom Unit Grant Award under the 2008 Enterprise Products Long-Term Incentive Plan for awards issued before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February 3, 2021 (incorporated by reference to Exhibit 10.4 to Form 10-K filed February 24, 2017).</w:t>
              </w:r>
            </w:hyperlink>
          </w:p>
        </w:tc>
        <w:tc>
          <w:tcPr>
            <w:tcW w:w="258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Form of Employee Phantom Unit Grant Award under the 2008 Enterprise Products Long-Term Incentive Plan for awards issued on or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after February 3, 2021 and before November 22, 2022 (incorporated by reference to Exhibit 10.3 to Form 10-K filed March 1, 2021).</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5020" w:type="dxa"/>
            <w:vAlign w:val="bottom"/>
            <w:gridSpan w:val="10"/>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Form of Employee Phantom Unit Grant Award under the 2008 Enterprise Products Long-Term Incentive Plan for awards issued on or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after November 22, 2022 (incorporated by reference to Exhibit 10.4 to Form 10-K filed February 28, 2023).</w:t>
              </w:r>
            </w:hyperlink>
          </w:p>
        </w:tc>
        <w:tc>
          <w:tcPr>
            <w:tcW w:w="200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Eighth Amended and Restated Administrative Services Agreement, effective as of February 13, 2015, by and among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Products Company, EPCO Holdings, Inc., Enterprise Products Holdings LLC, Enterprise Products Partners L.P., Enterprise Products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OLPGP, Inc., Enterprise Products Operating LLC and the Oiltanking Parties named therein (incorporated by reference to Exhibit 10.1</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to Form 8-K filed February 13, 2015).</w:t>
              </w:r>
            </w:hyperlink>
          </w:p>
        </w:tc>
        <w:tc>
          <w:tcPr>
            <w:tcW w:w="700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gridSpan w:val="7"/>
          </w:tcPr>
          <w:p>
            <w:pPr>
              <w:ind w:left="402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364-Day Revolving Credit Agreement, dated as of March 31, 2023, by and among Enterprise Products Operating LLC, as Borrower,</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the Lenders party thereto, Citibank, N.A., as Administrative Agent, and certain financial institutions named therein, as Co-Syndication</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Agents and Co-Documentation Agents (incorporated by reference to Exhibit 10.1 to Form 8-K filed March 31, 2023).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Guaranty Agreement, dated as of March 31, 2023, by Enterprise Products Partners L.P. in favor of Citibank, N.A., as administrative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agent (incorporated by reference to Exhibit 10.2 to Form 8-K filed March 31, 2023).</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Revolving Credit Agreement, dated as of March 31, 2023, by and among Enterprise Products Operating LLC, as Borrower, the Lenders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party thereto, Wells Fargo Bank, National Association, as Administrative Agent, and certain financial institutions named therein, as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Co-Syndication Agents and Co-Documentation Agents (incorporated by reference to Exhibit 10.3 to Form 8-K filed March 31, 2023).</w:t>
              </w:r>
            </w:hyperlink>
          </w:p>
        </w:tc>
        <w:tc>
          <w:tcPr>
            <w:tcW w:w="10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Guaranty Agreement, dated as of March 31, 2023, by Enterprise Products Partners L.P. in favor of Wells Fargo Bank, National</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Association, as administrative agent (incorporated by reference to Exhibit 10.4 to Form 8-K filed March 31, 2023).</w:t>
              </w:r>
            </w:hyperlink>
          </w:p>
        </w:tc>
        <w:tc>
          <w:tcPr>
            <w:tcW w:w="148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EPD 2018 Unit IV L.P. Agreement of Limited Partnership dated December 3, 2018 (incorporated by reference to Exhibit 10.1 to Form</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8-K filed December 6, 2018).</w:t>
              </w:r>
            </w:hyperlink>
          </w:p>
        </w:tc>
        <w:tc>
          <w:tcPr>
            <w:tcW w:w="764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EPCO Unit II L.P. Agreement of Limited Partnership dated December 3, 2018 (incorporated by reference to Exhibit 10.2 to Form 8-K</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filed December 6, 2018).</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Amendment No. 1 to Agreement of Limited Partnership of EPD 2018 Unit IV L.P., dated as of November 6, 2023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reference to Exhibit 10.2 to Form 10-Q filed November 9, 2023).</w:t>
              </w:r>
            </w:hyperlink>
          </w:p>
        </w:tc>
        <w:tc>
          <w:tcPr>
            <w:tcW w:w="508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Amendment No. 1 to Agreement of Limited Partnership of EPCO Unit II L.P., dated as of November 6, 2023 (incorporated by</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reference to Exhibit 10.3 to Form 10-Q filed November 9, 2023).</w:t>
              </w:r>
            </w:hyperlink>
          </w:p>
        </w:tc>
        <w:tc>
          <w:tcPr>
            <w:tcW w:w="5080" w:type="dxa"/>
            <w:vAlign w:val="bottom"/>
            <w:gridSpan w:val="10"/>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Series A Cumulative Convertible Preferred Unit Purchase Agreement, dated as of September 30, 2020, by and among Enterprise</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Products Partners L.P. and the Purchasers party thereto (incorporated by reference to Exhibit 10.1 to Form 8-K filed October 1, 2020).</w:t>
              </w:r>
            </w:hyperlink>
          </w:p>
        </w:tc>
        <w:tc>
          <w:tcPr>
            <w:tcW w:w="12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8">
              <w:r>
                <w:rPr>
                  <w:rFonts w:ascii="Times New Roman" w:cs="Times New Roman" w:eastAsia="Times New Roman" w:hAnsi="Times New Roman"/>
                  <w:sz w:val="18"/>
                  <w:szCs w:val="18"/>
                  <w:color w:val="0000EE"/>
                  <w:w w:val="99"/>
                </w:rPr>
                <w:t>Securities Exchange Agreement, dated as of September 30, 2020, by and between Enterprise Products Partners L.P. and OTA Holdings,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Inc. (incorporated by reference to Exhibit 10.2 to Form 8-K filed October 1, 2020).</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Equity Distribution Agreement, dated September 15, 2023, by and among Enterprise Products Partners L.P., Citigroup Global Markets</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Inc., Barclays Capital Inc., BBVA Securities Inc., BMO Capital Markets Corp., BofA Securities, Inc., Credit Agricole Securities (USA)</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Inc., Deutsche Bank Securities Inc., J.P. Morgan Securities LLC, Mizuho Securities USA LLC, Morgan Stanley &amp; Co. LLC, MUFG</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Securities Americas Inc., RBC Capital Markets, LLC, Scotia Capital (USA) Inc., SG Americas Securities, LLC, TD Securities (USA)</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LLC, Truist Securities, Inc. and Wells Fargo Securities, LLC (incorporated by reference to Exhibit 1.1 to Form 8-K filed September 15,</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69">
              <w:r>
                <w:rPr>
                  <w:rFonts w:ascii="Times New Roman" w:cs="Times New Roman" w:eastAsia="Times New Roman" w:hAnsi="Times New Roman"/>
                  <w:sz w:val="18"/>
                  <w:szCs w:val="18"/>
                  <w:color w:val="0000EE"/>
                  <w:w w:val="98"/>
                </w:rPr>
                <w:t>2023).</w:t>
              </w:r>
            </w:hyperlink>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Retention Bonus Agreement between A. James Teague and Enterprise Products Company dated effective April 15, 2019 (incorporated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by reference to Exhibit 10.1 to Form 8-K filed April 18, 2019).</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Retention Bonus Agreement between W. Randall Fowler and Enterprise Products Company dated effective April 15, 2019</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(incorporated by reference to Exhibit 10.2 to Form 8-K filed April 18, 2019).</w:t>
              </w:r>
            </w:hyperlink>
          </w:p>
        </w:tc>
        <w:tc>
          <w:tcPr>
            <w:tcW w:w="422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17"/>
                <w:szCs w:val="17"/>
                <w:color w:val="auto"/>
              </w:rPr>
            </w:pPr>
          </w:p>
        </w:tc>
        <w:tc>
          <w:tcPr>
            <w:tcW w:w="9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Retention Bonus Agreement between Graham W. Bacon and Enterprise Products Company dated effective April 15, 2019</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(incorporated by reference to Exhibit 10.3 to Form 8-K filed April 18, 2019).</w:t>
              </w:r>
            </w:hyperlink>
          </w:p>
        </w:tc>
        <w:tc>
          <w:tcPr>
            <w:tcW w:w="422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Retention Bonus Agreement between Brent B. Secrest and Enterprise Products Company dated effective April 15, 2019 (incorporated</w:t>
              </w:r>
            </w:hyperlink>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by reference to Exhibit 10.4 to Form 8-K filed April 18, 2019).</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17"/>
                <w:szCs w:val="17"/>
                <w:color w:val="auto"/>
              </w:rPr>
            </w:pPr>
          </w:p>
        </w:tc>
        <w:tc>
          <w:tcPr>
            <w:tcW w:w="97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Retention Bonus Agreement between R. Daniel Boss and Enterprise Products Company dated effective April 15, 2019.</w:t>
            </w:r>
          </w:p>
        </w:tc>
      </w:tr>
      <w:tr>
        <w:trPr>
          <w:trHeight w:val="641"/>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40" w:type="dxa"/>
            <w:vAlign w:val="bottom"/>
            <w:tcBorders>
              <w:top w:val="single" w:sz="8" w:color="0000EE"/>
            </w:tcBorders>
            <w:gridSpan w:val="4"/>
          </w:tcPr>
          <w:p>
            <w:pPr>
              <w:ind w:left="402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6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List of Consolidated Subsidiaries as of February 1, 2024.</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List of Issuers of Debt Securities Guaranteed by Enterprise Products Partners L.P. and Associated Securities at December 31, 2023.</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Deloitte &amp; Touche LLP.</w:t>
            </w:r>
          </w:p>
        </w:tc>
        <w:tc>
          <w:tcPr>
            <w:tcW w:w="6880" w:type="dxa"/>
            <w:vAlign w:val="bottom"/>
            <w:tcBorders>
              <w:top w:val="single" w:sz="8" w:color="0000EE"/>
            </w:tcBorders>
            <w:gridSpan w:val="3"/>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302 certification of A. James Teague for Enterprise Products Partners L.P.’s annual report on Form 10-K for</w:t>
            </w: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year ended December 31, 2023.</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302 certification of W. Randall Fowler for Enterprise Products Partners L.P.’s annual report on Form 10-K for</w:t>
            </w: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year ended December 31, 2023.</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906 certification of A. James Teague for Enterprise Products Partners L.P.’s annual report on Form 10-K for</w:t>
            </w: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 year ended December 31, 2023.</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Sarbanes-Oxley Section 906 certification of W. Randall Fowler for Enterprise Products Partners L.P.’s annual report on Form 10-K for</w:t>
            </w: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year ended December 31, 2023.</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Enterprise Products Partners L.P. Policy on Recoupment of Incentive Compensation.</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80" w:type="dxa"/>
            <w:vAlign w:val="bottom"/>
            <w:gridSpan w:val="4"/>
            <w:shd w:val="clear" w:color="auto" w:fill="0000EE"/>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iXBRL (Inline Extensible Business Reporting Language) in</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this Form 10-K include the: (i) Consolidated Balance Sheets, (ii) Statements of Consolidated Operations, (iii) Statements of</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Comprehensive Income, (iv) Statements of Consolidated Cash Flows, (v) Statements of Consolidated Equity and</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(vi) Notes to the Consolidated Financial Statements.</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With respect to any exhibits incorporated by reference to any Exchange Act filings, the Commission file numbers for Enterprise</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Products Partners L.P., Enterprise GP Holdings L.P, TEPPCO Partners, L.P. and TE Products Pipeline Company, LLC are 1-14323, 1-</w:t>
            </w:r>
          </w:p>
        </w:tc>
      </w:tr>
      <w:tr>
        <w:trPr>
          <w:trHeight w:val="234"/>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2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32610, 1-10403 and 1-13603, respectively.</w:t>
            </w:r>
          </w:p>
        </w:tc>
      </w:tr>
    </w:tbl>
    <w:p>
      <w:pPr>
        <w:ind w:left="1420" w:hanging="1412"/>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 and compensatory plan arrangements.</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28, 2024.</w:t>
      </w:r>
    </w:p>
    <w:p>
      <w:pPr>
        <w:spacing w:after="0" w:line="37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Enterprise  Products  Holdings  LLC,  as  General</w:t>
            </w:r>
          </w:p>
        </w:tc>
      </w:tr>
      <w:tr>
        <w:trPr>
          <w:trHeight w:val="234"/>
        </w:trPr>
        <w:tc>
          <w:tcPr>
            <w:tcW w:w="11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65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 Daniel Boss</w:t>
            </w:r>
          </w:p>
        </w:tc>
      </w:tr>
      <w:tr>
        <w:trPr>
          <w:trHeight w:val="198"/>
        </w:trPr>
        <w:tc>
          <w:tcPr>
            <w:tcW w:w="1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 Daniel Boss</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Vice President – Accounting, Risk Control</w:t>
            </w:r>
          </w:p>
        </w:tc>
      </w:tr>
      <w:tr>
        <w:trPr>
          <w:trHeight w:val="216"/>
        </w:trPr>
        <w:tc>
          <w:tcPr>
            <w:tcW w:w="11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r>
      <w:tr>
        <w:trPr>
          <w:trHeight w:val="234"/>
        </w:trPr>
        <w:tc>
          <w:tcPr>
            <w:tcW w:w="118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Technology of the General Partner</w:t>
            </w: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below on February 28, 2024.</w:t>
      </w:r>
    </w:p>
    <w:p>
      <w:pPr>
        <w:spacing w:after="0" w:line="158" w:lineRule="exact"/>
        <w:rPr>
          <w:sz w:val="20"/>
          <w:szCs w:val="20"/>
          <w:color w:val="auto"/>
        </w:rPr>
      </w:pPr>
    </w:p>
    <w:p>
      <w:pPr>
        <w:ind w:left="1400"/>
        <w:spacing w:after="0"/>
        <w:tabs>
          <w:tab w:leader="none" w:pos="540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 (Position with Enterprise Products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Randa Duncan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542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7">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Randa Duncan Williams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Richard H.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8">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Richard H. Bachmann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 James Teague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9">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A. James Teague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 Randall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0">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W. Randall Fowler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Harry P. Weitzel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1">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Harry P. Weitzel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Carin M.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2">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Carin M. Barth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Murray E. Brasseux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3">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Murray E. Brasseux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Rebecca G. Followill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4">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Rebecca G. Followill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James T.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5">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James T. Hackett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William C.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6">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William C. Montgomery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7">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John R. Rutherford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 Daniel Boss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542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8">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 Daniel Boss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Chairman of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Vice-Chairman of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Co-Chief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Co-Chief Executive Officer and 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Executive Vice President, General Counsel and Secretary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 Accounting, Risk Control and Information Technology</w:t>
      </w:r>
    </w:p>
    <w:p>
      <w:pPr>
        <w:spacing w:after="0" w:line="441" w:lineRule="exact"/>
        <w:rPr>
          <w:sz w:val="20"/>
          <w:szCs w:val="20"/>
          <w:color w:val="auto"/>
        </w:rPr>
      </w:pPr>
    </w:p>
    <w:p>
      <w:pPr>
        <w:sectPr>
          <w:pgSz w:w="11900" w:h="16838" w:orient="portrait"/>
          <w:cols w:equalWidth="0" w:num="2">
            <w:col w:w="3140" w:space="720"/>
            <w:col w:w="7380"/>
          </w:cols>
          <w:pgMar w:left="320" w:top="118"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0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196"/>
        </w:trPr>
        <w:tc>
          <w:tcPr>
            <w:tcW w:w="98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40"/>
              <w:spacing w:after="0" w:line="176" w:lineRule="exact"/>
              <w:rPr>
                <w:sz w:val="20"/>
                <w:szCs w:val="20"/>
                <w:color w:val="auto"/>
              </w:rPr>
            </w:pPr>
            <w:r>
              <w:rPr>
                <w:rFonts w:ascii="Times New Roman" w:cs="Times New Roman" w:eastAsia="Times New Roman" w:hAnsi="Times New Roman"/>
                <w:sz w:val="18"/>
                <w:szCs w:val="18"/>
                <w:color w:val="0000EE"/>
                <w:w w:val="95"/>
              </w:rPr>
              <w:t>F-2</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96"/>
        </w:trPr>
        <w:tc>
          <w:tcPr>
            <w:tcW w:w="98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Balance Sheets as of December 31, 2023 and 2022</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40"/>
              <w:spacing w:after="0" w:line="176" w:lineRule="exact"/>
              <w:rPr>
                <w:sz w:val="20"/>
                <w:szCs w:val="20"/>
                <w:color w:val="auto"/>
              </w:rPr>
            </w:pPr>
            <w:r>
              <w:rPr>
                <w:rFonts w:ascii="Times New Roman" w:cs="Times New Roman" w:eastAsia="Times New Roman" w:hAnsi="Times New Roman"/>
                <w:sz w:val="18"/>
                <w:szCs w:val="18"/>
                <w:color w:val="0000EE"/>
                <w:w w:val="95"/>
              </w:rPr>
              <w:t>F-4</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30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Statements of Consolidated Operations</w:t>
            </w:r>
          </w:p>
        </w:tc>
        <w:tc>
          <w:tcPr>
            <w:tcW w:w="6820" w:type="dxa"/>
            <w:vAlign w:val="bottom"/>
            <w:tcBorders>
              <w:bottom w:val="single" w:sz="8" w:color="CCEEFF"/>
            </w:tcBorders>
            <w:gridSpan w:val="14"/>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216"/>
        </w:trPr>
        <w:tc>
          <w:tcPr>
            <w:tcW w:w="984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2023, 2022 and 2021</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F-5</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98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Statements of Consolidated Comprehensive Income</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217"/>
        </w:trPr>
        <w:tc>
          <w:tcPr>
            <w:tcW w:w="984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2023, 2022 and 2021</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F-6</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30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Statements of Consolidated Cash Flows</w:t>
            </w:r>
          </w:p>
        </w:tc>
        <w:tc>
          <w:tcPr>
            <w:tcW w:w="6800" w:type="dxa"/>
            <w:vAlign w:val="bottom"/>
            <w:tcBorders>
              <w:bottom w:val="single" w:sz="8" w:color="CCEEFF"/>
            </w:tcBorders>
            <w:gridSpan w:val="13"/>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216"/>
        </w:trPr>
        <w:tc>
          <w:tcPr>
            <w:tcW w:w="984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2023, 2022 and 2021</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F-7</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5"/>
        </w:trPr>
        <w:tc>
          <w:tcPr>
            <w:tcW w:w="26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Statements of Consolidated Equity</w:t>
            </w:r>
          </w:p>
        </w:tc>
        <w:tc>
          <w:tcPr>
            <w:tcW w:w="7160" w:type="dxa"/>
            <w:vAlign w:val="bottom"/>
            <w:tcBorders>
              <w:bottom w:val="single" w:sz="8" w:color="CCEEFF"/>
            </w:tcBorders>
            <w:gridSpan w:val="17"/>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217"/>
        </w:trPr>
        <w:tc>
          <w:tcPr>
            <w:tcW w:w="984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 the Years Ended December 31, 2023, 2022 and 2021</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0000EE"/>
                <w:w w:val="95"/>
              </w:rPr>
              <w:t>F-8</w:t>
            </w:r>
          </w:p>
        </w:tc>
      </w:tr>
      <w:tr>
        <w:trPr>
          <w:trHeight w:val="216"/>
        </w:trPr>
        <w:tc>
          <w:tcPr>
            <w:tcW w:w="5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r>
      <w:tr>
        <w:trPr>
          <w:trHeight w:val="176"/>
        </w:trPr>
        <w:tc>
          <w:tcPr>
            <w:tcW w:w="98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2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0000EE"/>
              </w:rPr>
              <w:t>Note 1</w:t>
            </w:r>
          </w:p>
        </w:tc>
        <w:tc>
          <w:tcPr>
            <w:tcW w:w="872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 Partnership Organization and Operations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F-10</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2</w:t>
            </w:r>
          </w:p>
        </w:tc>
        <w:tc>
          <w:tcPr>
            <w:tcW w:w="872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Summary of Significant Accounting Policies</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F-10</w:t>
            </w:r>
          </w:p>
        </w:tc>
      </w:tr>
      <w:tr>
        <w:trPr>
          <w:trHeight w:val="175"/>
        </w:trPr>
        <w:tc>
          <w:tcPr>
            <w:tcW w:w="5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Note 3</w:t>
            </w:r>
          </w:p>
        </w:tc>
        <w:tc>
          <w:tcPr>
            <w:tcW w:w="3380" w:type="dxa"/>
            <w:vAlign w:val="bottom"/>
            <w:tcBorders>
              <w:top w:val="single" w:sz="8" w:color="0000EE"/>
            </w:tcBorders>
            <w:gridSpan w:val="22"/>
          </w:tcPr>
          <w:p>
            <w:pPr>
              <w:ind w:left="20"/>
              <w:spacing w:after="0" w:line="176" w:lineRule="exact"/>
              <w:rPr>
                <w:sz w:val="20"/>
                <w:szCs w:val="20"/>
                <w:color w:val="auto"/>
              </w:rPr>
            </w:pPr>
            <w:r>
              <w:rPr>
                <w:rFonts w:ascii="Times New Roman" w:cs="Times New Roman" w:eastAsia="Times New Roman" w:hAnsi="Times New Roman"/>
                <w:sz w:val="18"/>
                <w:szCs w:val="18"/>
                <w:color w:val="0000EE"/>
              </w:rPr>
              <w:t>– Inventories</w:t>
            </w:r>
          </w:p>
        </w:tc>
        <w:tc>
          <w:tcPr>
            <w:tcW w:w="5340" w:type="dxa"/>
            <w:vAlign w:val="bottom"/>
            <w:tcBorders>
              <w:top w:val="single" w:sz="8" w:color="CCEEFF"/>
            </w:tcBorders>
            <w:gridSpan w:val="3"/>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F-19</w:t>
            </w:r>
          </w:p>
        </w:tc>
        <w:tc>
          <w:tcPr>
            <w:tcW w:w="520" w:type="dxa"/>
            <w:vAlign w:val="bottom"/>
            <w:tcBorders>
              <w:top w:val="single" w:sz="8" w:color="CCEEFF"/>
            </w:tcBorders>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4</w:t>
            </w:r>
          </w:p>
        </w:tc>
        <w:tc>
          <w:tcPr>
            <w:tcW w:w="872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Property, Plant and Equipment</w:t>
            </w:r>
          </w:p>
        </w:tc>
        <w:tc>
          <w:tcPr>
            <w:tcW w:w="5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F-20</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5</w:t>
            </w:r>
          </w:p>
        </w:tc>
        <w:tc>
          <w:tcPr>
            <w:tcW w:w="872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 Investments in Unconsolidated Affiliates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F-22</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6</w:t>
            </w:r>
          </w:p>
        </w:tc>
        <w:tc>
          <w:tcPr>
            <w:tcW w:w="2440" w:type="dxa"/>
            <w:vAlign w:val="bottom"/>
            <w:tcBorders>
              <w:bottom w:val="single" w:sz="8" w:color="0000EE"/>
            </w:tcBorders>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 Intangible Assets and Goodwill</w:t>
            </w:r>
          </w:p>
        </w:tc>
        <w:tc>
          <w:tcPr>
            <w:tcW w:w="6280" w:type="dxa"/>
            <w:vAlign w:val="bottom"/>
            <w:tcBorders>
              <w:bottom w:val="single" w:sz="8" w:color="CCEEFF"/>
            </w:tcBorders>
            <w:gridSpan w:val="9"/>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F-24</w:t>
            </w:r>
          </w:p>
        </w:tc>
        <w:tc>
          <w:tcPr>
            <w:tcW w:w="520" w:type="dxa"/>
            <w:vAlign w:val="bottom"/>
            <w:tcBorders>
              <w:bottom w:val="single" w:sz="8" w:color="CCEEFF"/>
            </w:tcBorders>
            <w:shd w:val="clear" w:color="auto" w:fill="CCEEFF"/>
          </w:tcPr>
          <w:p>
            <w:pPr>
              <w:spacing w:after="0"/>
              <w:rPr>
                <w:sz w:val="17"/>
                <w:szCs w:val="17"/>
                <w:color w:val="auto"/>
              </w:rPr>
            </w:pPr>
          </w:p>
        </w:tc>
      </w:tr>
      <w:tr>
        <w:trPr>
          <w:trHeight w:val="175"/>
        </w:trPr>
        <w:tc>
          <w:tcPr>
            <w:tcW w:w="112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0000EE"/>
              </w:rPr>
              <w:t>Note 7</w:t>
            </w:r>
          </w:p>
        </w:tc>
        <w:tc>
          <w:tcPr>
            <w:tcW w:w="872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 Debt Obligations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F-27</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8</w:t>
            </w:r>
          </w:p>
        </w:tc>
        <w:tc>
          <w:tcPr>
            <w:tcW w:w="872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Capital Accounts</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F-31</w:t>
            </w:r>
          </w:p>
        </w:tc>
      </w:tr>
      <w:tr>
        <w:trPr>
          <w:trHeight w:val="176"/>
        </w:trPr>
        <w:tc>
          <w:tcPr>
            <w:tcW w:w="5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Note 9</w:t>
            </w:r>
          </w:p>
        </w:tc>
        <w:tc>
          <w:tcPr>
            <w:tcW w:w="140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 Revenues</w:t>
            </w:r>
          </w:p>
        </w:tc>
        <w:tc>
          <w:tcPr>
            <w:tcW w:w="7320" w:type="dxa"/>
            <w:vAlign w:val="bottom"/>
            <w:tcBorders>
              <w:top w:val="single" w:sz="8" w:color="CCEEFF"/>
            </w:tcBorders>
            <w:gridSpan w:val="21"/>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F-36</w:t>
            </w:r>
          </w:p>
        </w:tc>
        <w:tc>
          <w:tcPr>
            <w:tcW w:w="520" w:type="dxa"/>
            <w:vAlign w:val="bottom"/>
            <w:tcBorders>
              <w:top w:val="single" w:sz="8" w:color="CCEEFF"/>
            </w:tcBorders>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10</w:t>
            </w:r>
          </w:p>
        </w:tc>
        <w:tc>
          <w:tcPr>
            <w:tcW w:w="872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Business Segments and Related Information</w:t>
            </w:r>
          </w:p>
        </w:tc>
        <w:tc>
          <w:tcPr>
            <w:tcW w:w="5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F-40</w:t>
            </w:r>
          </w:p>
        </w:tc>
      </w:tr>
      <w:tr>
        <w:trPr>
          <w:trHeight w:val="175"/>
        </w:trPr>
        <w:tc>
          <w:tcPr>
            <w:tcW w:w="520" w:type="dxa"/>
            <w:vAlign w:val="bottom"/>
            <w:tcBorders>
              <w:top w:val="single" w:sz="8" w:color="CCEEFF"/>
            </w:tcBorders>
          </w:tcPr>
          <w:p>
            <w:pPr>
              <w:spacing w:after="0"/>
              <w:rPr>
                <w:sz w:val="15"/>
                <w:szCs w:val="15"/>
                <w:color w:val="auto"/>
              </w:rPr>
            </w:pPr>
          </w:p>
        </w:tc>
        <w:tc>
          <w:tcPr>
            <w:tcW w:w="39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Note 11 – Earnings Per Unit</w:t>
            </w:r>
          </w:p>
        </w:tc>
        <w:tc>
          <w:tcPr>
            <w:tcW w:w="5380" w:type="dxa"/>
            <w:vAlign w:val="bottom"/>
            <w:tcBorders>
              <w:top w:val="single" w:sz="8" w:color="CCEEFF"/>
            </w:tcBorders>
            <w:gridSpan w:val="4"/>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F-45</w:t>
            </w:r>
          </w:p>
        </w:tc>
        <w:tc>
          <w:tcPr>
            <w:tcW w:w="520" w:type="dxa"/>
            <w:vAlign w:val="bottom"/>
            <w:tcBorders>
              <w:top w:val="single" w:sz="8" w:color="CCEEFF"/>
            </w:tcBorders>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12</w:t>
            </w:r>
          </w:p>
        </w:tc>
        <w:tc>
          <w:tcPr>
            <w:tcW w:w="1860" w:type="dxa"/>
            <w:vAlign w:val="bottom"/>
            <w:tcBorders>
              <w:bottom w:val="single" w:sz="8" w:color="0000EE"/>
            </w:tcBorders>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 Business Combinations</w:t>
            </w:r>
          </w:p>
        </w:tc>
        <w:tc>
          <w:tcPr>
            <w:tcW w:w="6860" w:type="dxa"/>
            <w:vAlign w:val="bottom"/>
            <w:tcBorders>
              <w:bottom w:val="single" w:sz="8" w:color="CCEEFF"/>
            </w:tcBorders>
            <w:gridSpan w:val="15"/>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F-46</w:t>
            </w:r>
          </w:p>
        </w:tc>
        <w:tc>
          <w:tcPr>
            <w:tcW w:w="520" w:type="dxa"/>
            <w:vAlign w:val="bottom"/>
            <w:tcBorders>
              <w:bottom w:val="single" w:sz="8" w:color="CCEEFF"/>
            </w:tcBorders>
            <w:shd w:val="clear" w:color="auto" w:fill="CCEEFF"/>
          </w:tcPr>
          <w:p>
            <w:pPr>
              <w:spacing w:after="0"/>
              <w:rPr>
                <w:sz w:val="17"/>
                <w:szCs w:val="17"/>
                <w:color w:val="auto"/>
              </w:rPr>
            </w:pPr>
          </w:p>
        </w:tc>
      </w:tr>
      <w:tr>
        <w:trPr>
          <w:trHeight w:val="175"/>
        </w:trPr>
        <w:tc>
          <w:tcPr>
            <w:tcW w:w="112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0000EE"/>
              </w:rPr>
              <w:t>Note 13</w:t>
            </w:r>
          </w:p>
        </w:tc>
        <w:tc>
          <w:tcPr>
            <w:tcW w:w="872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 Equity-Based Awards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F-47</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14</w:t>
            </w:r>
          </w:p>
        </w:tc>
        <w:tc>
          <w:tcPr>
            <w:tcW w:w="3720" w:type="dxa"/>
            <w:vAlign w:val="bottom"/>
            <w:tcBorders>
              <w:bottom w:val="single" w:sz="8" w:color="0000EE"/>
            </w:tcBorders>
            <w:gridSpan w:val="2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 Hedging Activities and Fair Value Measurements</w:t>
            </w:r>
          </w:p>
        </w:tc>
        <w:tc>
          <w:tcPr>
            <w:tcW w:w="5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F-51</w:t>
            </w:r>
          </w:p>
        </w:tc>
        <w:tc>
          <w:tcPr>
            <w:tcW w:w="520" w:type="dxa"/>
            <w:vAlign w:val="bottom"/>
            <w:tcBorders>
              <w:bottom w:val="single" w:sz="8" w:color="CCEEFF"/>
            </w:tcBorders>
            <w:shd w:val="clear" w:color="auto" w:fill="CCEEFF"/>
          </w:tcPr>
          <w:p>
            <w:pPr>
              <w:spacing w:after="0"/>
              <w:rPr>
                <w:sz w:val="17"/>
                <w:szCs w:val="17"/>
                <w:color w:val="auto"/>
              </w:rPr>
            </w:pPr>
          </w:p>
        </w:tc>
      </w:tr>
      <w:tr>
        <w:trPr>
          <w:trHeight w:val="175"/>
        </w:trPr>
        <w:tc>
          <w:tcPr>
            <w:tcW w:w="112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0000EE"/>
              </w:rPr>
              <w:t>Note 15</w:t>
            </w:r>
          </w:p>
        </w:tc>
        <w:tc>
          <w:tcPr>
            <w:tcW w:w="872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 Related Party Transactions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F-59</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16</w:t>
            </w:r>
          </w:p>
        </w:tc>
        <w:tc>
          <w:tcPr>
            <w:tcW w:w="872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Income Taxes</w:t>
            </w:r>
          </w:p>
        </w:tc>
        <w:tc>
          <w:tcPr>
            <w:tcW w:w="5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F-61</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17</w:t>
            </w:r>
          </w:p>
        </w:tc>
        <w:tc>
          <w:tcPr>
            <w:tcW w:w="872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 Commitments and Contingent Liabilities</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F-63</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18</w:t>
            </w:r>
          </w:p>
        </w:tc>
        <w:tc>
          <w:tcPr>
            <w:tcW w:w="872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Significant Risks and Uncertainties</w:t>
            </w:r>
          </w:p>
        </w:tc>
        <w:tc>
          <w:tcPr>
            <w:tcW w:w="5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F-66</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Note 19</w:t>
            </w:r>
          </w:p>
        </w:tc>
        <w:tc>
          <w:tcPr>
            <w:tcW w:w="8720" w:type="dxa"/>
            <w:vAlign w:val="bottom"/>
            <w:gridSpan w:val="25"/>
          </w:tcPr>
          <w:p>
            <w:pPr>
              <w:ind w:left="20"/>
              <w:spacing w:after="0" w:line="176" w:lineRule="exact"/>
              <w:rPr>
                <w:sz w:val="20"/>
                <w:szCs w:val="20"/>
                <w:color w:val="auto"/>
              </w:rPr>
            </w:pPr>
            <w:r>
              <w:rPr>
                <w:rFonts w:ascii="Times New Roman" w:cs="Times New Roman" w:eastAsia="Times New Roman" w:hAnsi="Times New Roman"/>
                <w:sz w:val="18"/>
                <w:szCs w:val="18"/>
                <w:color w:val="0000EE"/>
              </w:rPr>
              <w:t>– Supplemental Cash Flow Information</w:t>
            </w:r>
          </w:p>
        </w:tc>
        <w:tc>
          <w:tcPr>
            <w:tcW w:w="540" w:type="dxa"/>
            <w:vAlign w:val="bottom"/>
          </w:tcPr>
          <w:p>
            <w:pPr>
              <w:spacing w:after="0"/>
              <w:rPr>
                <w:sz w:val="15"/>
                <w:szCs w:val="15"/>
                <w:color w:val="auto"/>
              </w:rPr>
            </w:pPr>
          </w:p>
        </w:tc>
        <w:tc>
          <w:tcPr>
            <w:tcW w:w="860" w:type="dxa"/>
            <w:vAlign w:val="bottom"/>
            <w:gridSpan w:val="4"/>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F-68</w:t>
            </w:r>
          </w:p>
        </w:tc>
      </w:tr>
      <w:tr>
        <w:trPr>
          <w:trHeight w:val="20"/>
        </w:trPr>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6"/>
        </w:trPr>
        <w:tc>
          <w:tcPr>
            <w:tcW w:w="112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0000EE"/>
              </w:rPr>
              <w:t>Note 20</w:t>
            </w:r>
          </w:p>
        </w:tc>
        <w:tc>
          <w:tcPr>
            <w:tcW w:w="8720" w:type="dxa"/>
            <w:vAlign w:val="bottom"/>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Subsequent Event</w:t>
            </w:r>
            <w:r>
              <w:rPr>
                <w:rFonts w:ascii="Times New Roman" w:cs="Times New Roman" w:eastAsia="Times New Roman" w:hAnsi="Times New Roman"/>
                <w:sz w:val="18"/>
                <w:szCs w:val="18"/>
                <w:color w:val="0000FF"/>
              </w:rPr>
              <w:t>s</w:t>
            </w:r>
          </w:p>
        </w:tc>
        <w:tc>
          <w:tcPr>
            <w:tcW w:w="5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center"/>
              <w:ind w:right="520"/>
              <w:spacing w:after="0" w:line="176" w:lineRule="exact"/>
              <w:rPr>
                <w:sz w:val="20"/>
                <w:szCs w:val="20"/>
                <w:color w:val="auto"/>
              </w:rPr>
            </w:pPr>
            <w:r>
              <w:rPr>
                <w:rFonts w:ascii="Times New Roman" w:cs="Times New Roman" w:eastAsia="Times New Roman" w:hAnsi="Times New Roman"/>
                <w:sz w:val="18"/>
                <w:szCs w:val="18"/>
                <w:color w:val="0000EE"/>
                <w:w w:val="99"/>
              </w:rPr>
              <w:t>F-69</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-4962525</wp:posOffset>
            </wp:positionV>
            <wp:extent cx="285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Enterprise Products Holdings LLC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of Enterprise Products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Enterprise Products Partners L.P. and subsidiaries (the “Company”) as of December 31, 2023 and 2022, the related statements of consolidated operations, comprehensive income, cash flows, and equity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2024,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Property, Plant and Equipment, Net and Intangible Assets, Net—Determination of Impairment Indicators—Refer to Notes 2, 4, and 6 to the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assets, which consists of intangible assets with finite useful lives (“intangible assets”) and property, plant and equipment, are reviewed for impairment when events or changes in circumstances indicate that the carrying amount of such assets may not be recoverable. As of December 31, 2023, the carrying value of the Company’s property, plant and equipment, net was $45,804 million and intangible assets, net was $3,770 million.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determination of impairment indicators for long-lived assets as a critical audit matter due to the significant judgments management makes when determining whether events or changes in circumstances have occurred indicating that the carrying amounts of long-lived assets may not be recoverable. Auditing management’s judgments required a high degree of auditor judgment when performing audit procedures to evaluate whether management appropriately identified impairment indicators.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identification of impairment indicators included the following, among others:</w:t>
      </w:r>
    </w:p>
    <w:p>
      <w:pPr>
        <w:spacing w:after="0" w:line="225" w:lineRule="exact"/>
        <w:rPr>
          <w:sz w:val="20"/>
          <w:szCs w:val="20"/>
          <w:color w:val="auto"/>
        </w:rPr>
      </w:pPr>
    </w:p>
    <w:p>
      <w:pPr>
        <w:ind w:left="500" w:right="20" w:hanging="330"/>
        <w:spacing w:after="0" w:line="267" w:lineRule="auto"/>
        <w:tabs>
          <w:tab w:leader="none" w:pos="500" w:val="left"/>
        </w:tabs>
        <w:numPr>
          <w:ilvl w:val="0"/>
          <w:numId w:val="88"/>
        </w:numPr>
        <w:rPr>
          <w:rFonts w:ascii="Calibri" w:cs="Calibri" w:eastAsia="Calibri" w:hAnsi="Calibri"/>
          <w:sz w:val="18"/>
          <w:szCs w:val="18"/>
          <w:color w:val="auto"/>
        </w:rPr>
      </w:pPr>
      <w:r>
        <w:rPr>
          <w:rFonts w:ascii="Times New Roman" w:cs="Times New Roman" w:eastAsia="Times New Roman" w:hAnsi="Times New Roman"/>
          <w:sz w:val="18"/>
          <w:szCs w:val="18"/>
          <w:color w:val="auto"/>
        </w:rPr>
        <w:t>We tested the effectiveness of controls over the identification of events or changes in circumstances that indicate that the carrying value of long-lived assets may not be recoverable.</w:t>
      </w:r>
    </w:p>
    <w:p>
      <w:pPr>
        <w:spacing w:after="0" w:line="173" w:lineRule="exact"/>
        <w:rPr>
          <w:rFonts w:ascii="Calibri" w:cs="Calibri" w:eastAsia="Calibri" w:hAnsi="Calibri"/>
          <w:sz w:val="18"/>
          <w:szCs w:val="18"/>
          <w:color w:val="auto"/>
        </w:rPr>
      </w:pPr>
    </w:p>
    <w:p>
      <w:pPr>
        <w:ind w:left="500" w:hanging="330"/>
        <w:spacing w:after="0"/>
        <w:tabs>
          <w:tab w:leader="none" w:pos="500" w:val="left"/>
        </w:tabs>
        <w:numPr>
          <w:ilvl w:val="0"/>
          <w:numId w:val="88"/>
        </w:numPr>
        <w:rPr>
          <w:rFonts w:ascii="Calibri" w:cs="Calibri" w:eastAsia="Calibri" w:hAnsi="Calibri"/>
          <w:sz w:val="18"/>
          <w:szCs w:val="18"/>
          <w:color w:val="auto"/>
        </w:rPr>
      </w:pPr>
      <w:r>
        <w:rPr>
          <w:rFonts w:ascii="Times New Roman" w:cs="Times New Roman" w:eastAsia="Times New Roman" w:hAnsi="Times New Roman"/>
          <w:sz w:val="18"/>
          <w:szCs w:val="18"/>
          <w:color w:val="auto"/>
        </w:rPr>
        <w:t>We evaluated management’s analysis of impairment indicators by:</w:t>
      </w:r>
    </w:p>
    <w:p>
      <w:pPr>
        <w:spacing w:after="0" w:line="212" w:lineRule="exact"/>
        <w:rPr>
          <w:rFonts w:ascii="Calibri" w:cs="Calibri" w:eastAsia="Calibri" w:hAnsi="Calibri"/>
          <w:sz w:val="18"/>
          <w:szCs w:val="18"/>
          <w:color w:val="auto"/>
        </w:rPr>
      </w:pPr>
    </w:p>
    <w:p>
      <w:pPr>
        <w:ind w:left="900" w:hanging="325"/>
        <w:spacing w:after="0"/>
        <w:tabs>
          <w:tab w:leader="none" w:pos="900" w:val="left"/>
        </w:tabs>
        <w:numPr>
          <w:ilvl w:val="1"/>
          <w:numId w:val="8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Assessing whether long-lived assets having indicators of impairment were appropriately identified and further tested for impairment.</w:t>
      </w:r>
    </w:p>
    <w:p>
      <w:pPr>
        <w:spacing w:after="0" w:line="212" w:lineRule="exact"/>
        <w:rPr>
          <w:rFonts w:ascii="Calibri" w:cs="Calibri" w:eastAsia="Calibri" w:hAnsi="Calibri"/>
          <w:sz w:val="18"/>
          <w:szCs w:val="18"/>
          <w:color w:val="auto"/>
        </w:rPr>
      </w:pPr>
    </w:p>
    <w:p>
      <w:pPr>
        <w:ind w:left="900" w:hanging="325"/>
        <w:spacing w:after="0" w:line="267" w:lineRule="auto"/>
        <w:tabs>
          <w:tab w:leader="none" w:pos="900" w:val="left"/>
        </w:tabs>
        <w:numPr>
          <w:ilvl w:val="1"/>
          <w:numId w:val="8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Comparing the recent gross operating margin results to the carrying value of long-lived assets to determine if there is an indicator that the carrying value may not be recoverable over the estimated remaining useful life.</w:t>
      </w:r>
    </w:p>
    <w:p>
      <w:pPr>
        <w:spacing w:after="0" w:line="173" w:lineRule="exact"/>
        <w:rPr>
          <w:rFonts w:ascii="Calibri" w:cs="Calibri" w:eastAsia="Calibri" w:hAnsi="Calibri"/>
          <w:sz w:val="18"/>
          <w:szCs w:val="18"/>
          <w:color w:val="auto"/>
        </w:rPr>
      </w:pPr>
    </w:p>
    <w:p>
      <w:pPr>
        <w:ind w:left="900" w:hanging="325"/>
        <w:spacing w:after="0" w:line="267" w:lineRule="auto"/>
        <w:tabs>
          <w:tab w:leader="none" w:pos="900" w:val="left"/>
        </w:tabs>
        <w:numPr>
          <w:ilvl w:val="1"/>
          <w:numId w:val="88"/>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Reading publicly available information for the industry, peers, and customers to determine whether a potential impairment indicator was not contemplated in management’s analysis.</w:t>
      </w:r>
    </w:p>
    <w:p>
      <w:pPr>
        <w:spacing w:after="0" w:line="173" w:lineRule="exact"/>
        <w:rPr>
          <w:rFonts w:ascii="Calibri" w:cs="Calibri" w:eastAsia="Calibri" w:hAnsi="Calibri"/>
          <w:sz w:val="18"/>
          <w:szCs w:val="18"/>
          <w:color w:val="auto"/>
        </w:rPr>
      </w:pPr>
    </w:p>
    <w:p>
      <w:pPr>
        <w:ind w:left="900" w:hanging="325"/>
        <w:spacing w:after="0" w:line="267" w:lineRule="auto"/>
        <w:tabs>
          <w:tab w:leader="none" w:pos="900" w:val="left"/>
        </w:tabs>
        <w:numPr>
          <w:ilvl w:val="1"/>
          <w:numId w:val="88"/>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Reading minutes of the Board of Directors to understand if there were factors that could represent a potential impairment indicator not contemplated in management’s analysis.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9"/>
                <w:szCs w:val="19"/>
                <w:color w:val="auto"/>
              </w:rPr>
            </w:pPr>
          </w:p>
        </w:tc>
      </w:tr>
      <w:tr>
        <w:trPr>
          <w:trHeight w:val="210"/>
        </w:trPr>
        <w:tc>
          <w:tcPr>
            <w:tcW w:w="8680" w:type="dxa"/>
            <w:vAlign w:val="bottom"/>
          </w:tcPr>
          <w:p>
            <w:pPr>
              <w:ind w:left="3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r>
      <w:tr>
        <w:trPr>
          <w:trHeight w:val="191"/>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 – trade, net of allowance for credit losses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of $35 at December 31, 2023 and $54 at December 31, 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6,964</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Inventories (see Note 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2,554</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 assets (see Note 14)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469</w:t>
            </w:r>
          </w:p>
        </w:tc>
      </w:tr>
      <w:tr>
        <w:trPr>
          <w:trHeight w:val="226"/>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10,598</w:t>
            </w:r>
          </w:p>
        </w:tc>
      </w:tr>
      <w:tr>
        <w:trPr>
          <w:trHeight w:val="21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Property, plant and equipment, net </w:t>
            </w:r>
            <w:r>
              <w:rPr>
                <w:rFonts w:ascii="Times New Roman" w:cs="Times New Roman" w:eastAsia="Times New Roman" w:hAnsi="Times New Roman"/>
                <w:sz w:val="16"/>
                <w:szCs w:val="16"/>
                <w:color w:val="auto"/>
              </w:rPr>
              <w:t>(see Note 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44,401</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Investments in unconsolidated affiliates </w:t>
            </w:r>
            <w:r>
              <w:rPr>
                <w:rFonts w:ascii="Times New Roman" w:cs="Times New Roman" w:eastAsia="Times New Roman" w:hAnsi="Times New Roman"/>
                <w:sz w:val="16"/>
                <w:szCs w:val="16"/>
                <w:color w:val="auto"/>
              </w:rPr>
              <w:t>(see Note 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2,352</w:t>
            </w: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Intangible assets, net </w:t>
            </w:r>
            <w:r>
              <w:rPr>
                <w:rFonts w:ascii="Times New Roman" w:cs="Times New Roman" w:eastAsia="Times New Roman" w:hAnsi="Times New Roman"/>
                <w:sz w:val="16"/>
                <w:szCs w:val="16"/>
                <w:color w:val="auto"/>
              </w:rPr>
              <w:t>(see Note 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3,965</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Goodwill </w:t>
            </w:r>
            <w:r>
              <w:rPr>
                <w:rFonts w:ascii="Times New Roman" w:cs="Times New Roman" w:eastAsia="Times New Roman" w:hAnsi="Times New Roman"/>
                <w:sz w:val="16"/>
                <w:szCs w:val="16"/>
                <w:color w:val="auto"/>
              </w:rPr>
              <w:t>(see Note 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5,608</w:t>
            </w:r>
          </w:p>
        </w:tc>
      </w:tr>
      <w:tr>
        <w:trPr>
          <w:trHeight w:val="225"/>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2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68,108</w:t>
            </w:r>
          </w:p>
        </w:tc>
      </w:tr>
      <w:tr>
        <w:trPr>
          <w:trHeight w:val="23"/>
        </w:trPr>
        <w:tc>
          <w:tcPr>
            <w:tcW w:w="86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680" w:type="dxa"/>
            <w:vAlign w:val="bottom"/>
          </w:tcPr>
          <w:p>
            <w:pPr>
              <w:ind w:left="32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maturities of debt (see Note 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1,744</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743</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product payables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8,911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7,988</w:t>
            </w:r>
          </w:p>
        </w:tc>
      </w:tr>
      <w:tr>
        <w:trPr>
          <w:trHeight w:val="21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w:t>
            </w:r>
          </w:p>
        </w:tc>
      </w:tr>
      <w:tr>
        <w:trPr>
          <w:trHeight w:val="21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Derivative liabilities (see Note 14)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354</w:t>
            </w:r>
          </w:p>
        </w:tc>
      </w:tr>
      <w:tr>
        <w:trPr>
          <w:trHeight w:val="223"/>
        </w:trPr>
        <w:tc>
          <w:tcPr>
            <w:tcW w:w="8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778</w:t>
            </w:r>
          </w:p>
        </w:tc>
      </w:tr>
      <w:tr>
        <w:trPr>
          <w:trHeight w:val="216"/>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w:t>
            </w:r>
          </w:p>
        </w:tc>
        <w:tc>
          <w:tcPr>
            <w:tcW w:w="10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Long-term debt </w:t>
            </w:r>
            <w:r>
              <w:rPr>
                <w:rFonts w:ascii="Times New Roman" w:cs="Times New Roman" w:eastAsia="Times New Roman" w:hAnsi="Times New Roman"/>
                <w:sz w:val="16"/>
                <w:szCs w:val="16"/>
                <w:color w:val="auto"/>
              </w:rPr>
              <w:t>(see Note 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26,551</w:t>
            </w: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Deferred tax liabilities </w:t>
            </w:r>
            <w:r>
              <w:rPr>
                <w:rFonts w:ascii="Times New Roman" w:cs="Times New Roman" w:eastAsia="Times New Roman" w:hAnsi="Times New Roman"/>
                <w:sz w:val="16"/>
                <w:szCs w:val="16"/>
                <w:color w:val="auto"/>
              </w:rPr>
              <w:t>(see Note 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600</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941</w:t>
            </w: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Commitments and contingent liabilities </w:t>
            </w:r>
            <w:r>
              <w:rPr>
                <w:rFonts w:ascii="Times New Roman" w:cs="Times New Roman" w:eastAsia="Times New Roman" w:hAnsi="Times New Roman"/>
                <w:sz w:val="16"/>
                <w:szCs w:val="16"/>
                <w:color w:val="auto"/>
              </w:rPr>
              <w:t>(see Note 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Redeemable preferred limited partner interests: </w:t>
            </w:r>
            <w:r>
              <w:rPr>
                <w:rFonts w:ascii="Times New Roman" w:cs="Times New Roman" w:eastAsia="Times New Roman" w:hAnsi="Times New Roman"/>
                <w:sz w:val="16"/>
                <w:szCs w:val="16"/>
                <w:color w:val="auto"/>
              </w:rPr>
              <w:t>(see Note 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A cumulative convertible preferred units (“preferred units”)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(50,412 units outstanding at December 31, 2023 and December 31, 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16"/>
                <w:szCs w:val="16"/>
                <w:color w:val="auto"/>
              </w:rPr>
              <w:t>(see Note 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Partners’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9"/>
        </w:trPr>
        <w:tc>
          <w:tcPr>
            <w:tcW w:w="8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Common limited partner interests (2,168,245,238 units issued and outstanding at December 31, 2023 and 2,170,806,347</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units issued and outstanding at December 31, 2022)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27,555</w:t>
            </w:r>
          </w:p>
        </w:tc>
      </w:tr>
      <w:tr>
        <w:trPr>
          <w:trHeight w:val="21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units, at cost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(1,297)</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(1,297)</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365</w:t>
            </w:r>
          </w:p>
        </w:tc>
      </w:tr>
      <w:tr>
        <w:trPr>
          <w:trHeight w:val="223"/>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partners’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1,079</w:t>
            </w:r>
          </w:p>
        </w:tc>
      </w:tr>
      <w:tr>
        <w:trPr>
          <w:trHeight w:val="223"/>
        </w:trPr>
        <w:tc>
          <w:tcPr>
            <w:tcW w:w="86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28,759</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preferred units, and equity</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2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68,108</w:t>
            </w:r>
          </w:p>
        </w:tc>
      </w:tr>
      <w:tr>
        <w:trPr>
          <w:trHeight w:val="23"/>
        </w:trPr>
        <w:tc>
          <w:tcPr>
            <w:tcW w:w="86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unit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Third parties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58,127</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40,727</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parties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revenues (see Note 9)</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58,186</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Third party and other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50,160</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33,791</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1,342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1,287</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51,502</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35,078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 costs: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Third party and other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general and administrative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241</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costs and expenses (see Note 10)</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in income of unconsolidated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464</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583</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(1,283)</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(1,210)</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 (see Note 16)</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preferred units (see Note 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common unitholders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5,487</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4,634</w:t>
            </w:r>
          </w:p>
        </w:tc>
      </w:tr>
      <w:tr>
        <w:trPr>
          <w:trHeight w:val="22"/>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Earnings per unit: </w:t>
            </w:r>
            <w:r>
              <w:rPr>
                <w:rFonts w:ascii="Times New Roman" w:cs="Times New Roman" w:eastAsia="Times New Roman" w:hAnsi="Times New Roman"/>
                <w:sz w:val="16"/>
                <w:szCs w:val="16"/>
                <w:color w:val="auto"/>
              </w:rPr>
              <w:t>(see Note 11)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common unit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earnings per common unit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w:t>
            </w:r>
          </w:p>
        </w:tc>
      </w:tr>
      <w:tr>
        <w:trPr>
          <w:trHeight w:val="23"/>
        </w:trPr>
        <w:tc>
          <w:tcPr>
            <w:tcW w:w="73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7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100" w:type="dxa"/>
            <w:vAlign w:val="bottom"/>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flow hedges: (see Note 14)</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Commodity hedging derivative instruments: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(678)</w:t>
            </w: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Reclassification of losses (gains) to net income</w:t>
            </w: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908</w:t>
            </w:r>
          </w:p>
        </w:tc>
      </w:tr>
      <w:tr>
        <w:trPr>
          <w:trHeight w:val="21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rate hedging derivative instruments: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w:t>
            </w: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Reclassification of losses (gains) to net income</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r>
      <w:tr>
        <w:trPr>
          <w:trHeight w:val="30"/>
        </w:trPr>
        <w:tc>
          <w:tcPr>
            <w:tcW w:w="73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cash flow hedges</w:t>
            </w:r>
          </w:p>
        </w:tc>
        <w:tc>
          <w:tcPr>
            <w:tcW w:w="7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451</w:t>
            </w:r>
          </w:p>
        </w:tc>
      </w:tr>
      <w:tr>
        <w:trPr>
          <w:trHeight w:val="223"/>
        </w:trPr>
        <w:tc>
          <w:tcPr>
            <w:tcW w:w="7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5,694</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5,206</w:t>
            </w:r>
          </w:p>
        </w:tc>
      </w:tr>
      <w:tr>
        <w:trPr>
          <w:trHeight w:val="21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attributable to preferred units (see Note 8)</w:t>
            </w:r>
          </w:p>
        </w:tc>
        <w:tc>
          <w:tcPr>
            <w:tcW w:w="7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common unitholders</w:t>
            </w: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5,615</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4,755</w:t>
            </w: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Reconciliation of net income to net cash flows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accretion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1,797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1,723</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177</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major maintenance costs for reaction-based plants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amortization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220</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assets other than goodwill (see Notes 2 and 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233</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income of unconsolidated affiliates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(583)</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received from unconsolidated affiliates attributable to earnings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446</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544</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losses (gains) attributable to asset sales and related matters (see Note 19)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market value of derivative instruments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expense related to long-term operating leases (see Note 17)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effect of changes in operating accounts (see Note 19)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8,039</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8,513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(3,266)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(1,964)</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(2,223)</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used for business combinations, net of cash received (see Note 12)</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(3,204)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received from unconsolidated affiliates attributable to the return of capital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98</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asset sales and other matters (see Note 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122</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(3,197)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(4,954)</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(2,135)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under debt agreements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96,140</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11,159</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debt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(89,447)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(97,395)</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(11,492)</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Monetization of interest rate derivative instruments (see Note 14)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distributions paid to common unitholders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(4,301)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(4,095)</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(3,930)</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 made in connection with distribution equivalent rights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distributions paid to noncontrolling interests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contributions from noncontrolling interests (see Note 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units under 2019 Buyback Program (see Note 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r>
      <w:tr>
        <w:trPr>
          <w:trHeight w:val="30"/>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(4,258)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(5,844)</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(4,571)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including restricted cash</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including restricted cash, January 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2,965</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including restricted cash, December 31</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 8 for Unit History, Accumulated Other Comprehensive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Income (Loss) and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420"/>
              <w:spacing w:after="0" w:line="124"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25,378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(3,930)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(3,930)</w:t>
            </w:r>
          </w:p>
        </w:tc>
        <w:tc>
          <w:tcPr>
            <w:tcW w:w="0" w:type="dxa"/>
            <w:vAlign w:val="bottom"/>
          </w:tcPr>
          <w:p>
            <w:pPr>
              <w:spacing w:after="0"/>
              <w:rPr>
                <w:sz w:val="1"/>
                <w:szCs w:val="1"/>
                <w:color w:val="auto"/>
              </w:rPr>
            </w:pPr>
          </w:p>
        </w:tc>
      </w:tr>
      <w:tr>
        <w:trPr>
          <w:trHeight w:val="126"/>
        </w:trPr>
        <w:tc>
          <w:tcPr>
            <w:tcW w:w="4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payments made in connection with distribution</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equivalent rights</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26"/>
        </w:trPr>
        <w:tc>
          <w:tcPr>
            <w:tcW w:w="4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Repurchase and cancellation of common units under</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(214)</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2019 Buyback Program</w:t>
            </w: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26,439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(4,095)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26"/>
        </w:trPr>
        <w:tc>
          <w:tcPr>
            <w:tcW w:w="4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payments made in connection with distribution</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equivalent rights</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6"/>
        </w:trPr>
        <w:tc>
          <w:tcPr>
            <w:tcW w:w="4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Repurchase and cancellation of common units under</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2019 Buyback Program</w:t>
            </w: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27,702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(4,301)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(4,301)</w:t>
            </w:r>
          </w:p>
        </w:tc>
        <w:tc>
          <w:tcPr>
            <w:tcW w:w="0" w:type="dxa"/>
            <w:vAlign w:val="bottom"/>
          </w:tcPr>
          <w:p>
            <w:pPr>
              <w:spacing w:after="0"/>
              <w:rPr>
                <w:sz w:val="1"/>
                <w:szCs w:val="1"/>
                <w:color w:val="auto"/>
              </w:rPr>
            </w:pPr>
          </w:p>
        </w:tc>
      </w:tr>
      <w:tr>
        <w:trPr>
          <w:trHeight w:val="126"/>
        </w:trPr>
        <w:tc>
          <w:tcPr>
            <w:tcW w:w="46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Cash payments made in connection with distribution</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equivalent rights</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26"/>
        </w:trPr>
        <w:tc>
          <w:tcPr>
            <w:tcW w:w="46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Repurchase and cancellation of common units under</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(188)</w:t>
            </w:r>
          </w:p>
        </w:tc>
        <w:tc>
          <w:tcPr>
            <w:tcW w:w="1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2019 Buyback Program</w:t>
            </w: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28,759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REFERENCES USED IN THESE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these Notes to Consolidated Financial Statements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the Co-Chief Executive Officer and Chief Financial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32.4% of the Partnership’s common units outstanding at December 31, 2023.</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statistical data (e.g., pipeline mileage, processing capacity and similar operating metrics) in these notes to consolidated financial statements are unaudited.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the exception of per unit amounts, or as noted within the context of each disclosure,</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dollar amounts presented in the tabular data within these disclosures 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stated in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Partnership Organization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spacing w:after="0" w:line="176" w:lineRule="exact"/>
        <w:rPr>
          <w:sz w:val="20"/>
          <w:szCs w:val="20"/>
          <w:color w:val="auto"/>
        </w:rPr>
      </w:pPr>
    </w:p>
    <w:p>
      <w:pPr>
        <w:ind w:left="500" w:hanging="330"/>
        <w:spacing w:after="0"/>
        <w:tabs>
          <w:tab w:leader="none" w:pos="500" w:val="left"/>
        </w:tabs>
        <w:numPr>
          <w:ilvl w:val="0"/>
          <w:numId w:val="89"/>
        </w:numPr>
        <w:rPr>
          <w:rFonts w:ascii="Calibri" w:cs="Calibri" w:eastAsia="Calibri" w:hAnsi="Calibri"/>
          <w:sz w:val="18"/>
          <w:szCs w:val="18"/>
          <w:color w:val="auto"/>
        </w:rPr>
      </w:pPr>
      <w:r>
        <w:rPr>
          <w:rFonts w:ascii="Times New Roman" w:cs="Times New Roman" w:eastAsia="Times New Roman" w:hAnsi="Times New Roman"/>
          <w:sz w:val="18"/>
          <w:szCs w:val="18"/>
          <w:color w:val="auto"/>
        </w:rPr>
        <w:t>natural gas gathering, treating, processing, transportation and storage;</w:t>
      </w:r>
    </w:p>
    <w:p>
      <w:pPr>
        <w:spacing w:after="0" w:line="212" w:lineRule="exact"/>
        <w:rPr>
          <w:rFonts w:ascii="Calibri" w:cs="Calibri" w:eastAsia="Calibri" w:hAnsi="Calibri"/>
          <w:sz w:val="18"/>
          <w:szCs w:val="18"/>
          <w:color w:val="auto"/>
        </w:rPr>
      </w:pPr>
    </w:p>
    <w:p>
      <w:pPr>
        <w:ind w:left="500" w:hanging="330"/>
        <w:spacing w:after="0"/>
        <w:tabs>
          <w:tab w:leader="none" w:pos="500" w:val="left"/>
        </w:tabs>
        <w:numPr>
          <w:ilvl w:val="0"/>
          <w:numId w:val="89"/>
        </w:numPr>
        <w:rPr>
          <w:rFonts w:ascii="Calibri" w:cs="Calibri" w:eastAsia="Calibri" w:hAnsi="Calibri"/>
          <w:sz w:val="18"/>
          <w:szCs w:val="18"/>
          <w:color w:val="auto"/>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212" w:lineRule="exact"/>
        <w:rPr>
          <w:rFonts w:ascii="Calibri" w:cs="Calibri" w:eastAsia="Calibri" w:hAnsi="Calibri"/>
          <w:sz w:val="18"/>
          <w:szCs w:val="18"/>
          <w:color w:val="auto"/>
        </w:rPr>
      </w:pPr>
    </w:p>
    <w:p>
      <w:pPr>
        <w:ind w:left="500" w:hanging="330"/>
        <w:spacing w:after="0"/>
        <w:tabs>
          <w:tab w:leader="none" w:pos="500" w:val="left"/>
        </w:tabs>
        <w:numPr>
          <w:ilvl w:val="0"/>
          <w:numId w:val="89"/>
        </w:numPr>
        <w:rPr>
          <w:rFonts w:ascii="Calibri" w:cs="Calibri" w:eastAsia="Calibri" w:hAnsi="Calibri"/>
          <w:sz w:val="18"/>
          <w:szCs w:val="18"/>
          <w:color w:val="auto"/>
        </w:rPr>
      </w:pPr>
      <w:r>
        <w:rPr>
          <w:rFonts w:ascii="Times New Roman" w:cs="Times New Roman" w:eastAsia="Times New Roman" w:hAnsi="Times New Roman"/>
          <w:sz w:val="18"/>
          <w:szCs w:val="18"/>
          <w:color w:val="auto"/>
        </w:rPr>
        <w:t>crude oil gathering, transportation, storage, and marine terminals;</w:t>
      </w:r>
    </w:p>
    <w:p>
      <w:pPr>
        <w:spacing w:after="0" w:line="212" w:lineRule="exact"/>
        <w:rPr>
          <w:rFonts w:ascii="Calibri" w:cs="Calibri" w:eastAsia="Calibri" w:hAnsi="Calibri"/>
          <w:sz w:val="18"/>
          <w:szCs w:val="18"/>
          <w:color w:val="auto"/>
        </w:rPr>
      </w:pPr>
    </w:p>
    <w:p>
      <w:pPr>
        <w:ind w:left="500" w:right="20" w:hanging="330"/>
        <w:spacing w:after="0" w:line="267" w:lineRule="auto"/>
        <w:tabs>
          <w:tab w:leader="none" w:pos="500" w:val="left"/>
        </w:tabs>
        <w:numPr>
          <w:ilvl w:val="0"/>
          <w:numId w:val="8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73" w:lineRule="exact"/>
        <w:rPr>
          <w:rFonts w:ascii="Calibri" w:cs="Calibri" w:eastAsia="Calibri" w:hAnsi="Calibri"/>
          <w:sz w:val="18"/>
          <w:szCs w:val="18"/>
          <w:color w:val="auto"/>
        </w:rPr>
      </w:pPr>
    </w:p>
    <w:p>
      <w:pPr>
        <w:ind w:left="500" w:right="20" w:hanging="330"/>
        <w:spacing w:after="0" w:line="267" w:lineRule="auto"/>
        <w:tabs>
          <w:tab w:leader="none" w:pos="500" w:val="left"/>
        </w:tabs>
        <w:numPr>
          <w:ilvl w:val="0"/>
          <w:numId w:val="8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73" w:lineRule="exact"/>
        <w:rPr>
          <w:rFonts w:ascii="Calibri" w:cs="Calibri" w:eastAsia="Calibri" w:hAnsi="Calibri"/>
          <w:sz w:val="18"/>
          <w:szCs w:val="18"/>
          <w:color w:val="auto"/>
        </w:rPr>
      </w:pPr>
    </w:p>
    <w:p>
      <w:pPr>
        <w:ind w:left="500" w:hanging="330"/>
        <w:spacing w:after="0"/>
        <w:tabs>
          <w:tab w:leader="none" w:pos="500" w:val="left"/>
        </w:tabs>
        <w:numPr>
          <w:ilvl w:val="0"/>
          <w:numId w:val="89"/>
        </w:numPr>
        <w:rPr>
          <w:rFonts w:ascii="Calibri" w:cs="Calibri" w:eastAsia="Calibri" w:hAnsi="Calibri"/>
          <w:sz w:val="18"/>
          <w:szCs w:val="18"/>
          <w:color w:val="auto"/>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Like many publicly traded partnerships, we have no employees. All of our management, administrative and operating functions are performed by employees of EPCO pursuant to an administrative services agreement (the “ASA”) or by other service providers. See Note 15 for information regarding related party matters.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reported under four business segments: NGL Pipelines &amp; Services, Crude Oil Pipelines &amp; Services, Natural Gas Pipelines &amp; Services and Petrochemical &amp; Refined Products Services. See Note 10 for additional information regarding our business segments.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prepared on the accrual basis of accounting in accordance with U.S. generally accepted accounting principles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our allowance for credit losses at each reporting date using a current expected credit loss model, which requires the measurement of expected credit losses for financial assets (e.g., accounts receivable) based on historical experience with customers, current economic conditions, and reasonable and supportable forecasts. We may also increase the allowance for credit losses in response to the specific identification of customers involved in bankruptcy proceedings and similar financial difficulties.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allowance for credit losses activity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Charged to costs and expenses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Charged to other accounts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Deductions</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unrestricted cash on hand and highly liquid investments with original maturities of less than three months from the date of purchase.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held in segregated bank accounts by our clearing brokers as margin in support of our commodity derivative instruments portfolio and related physical purchases and sales of natural gas, NGLs, crude oil, refined products and power. Additional cash may be restricted to maintain our commodity derivative instruments portfolio as prices fluctuate or margin requirements change. See Note 14 for information regarding our derivative instruments and hedging activities.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that sum to the total of the amounts shown in the Statements of Consolidated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cash, cash equivalents and restricted cash shown in the</w:t>
            </w:r>
          </w:p>
        </w:tc>
        <w:tc>
          <w:tcPr>
            <w:tcW w:w="760" w:type="dxa"/>
            <w:vAlign w:val="bottom"/>
            <w:vMerge w:val="restart"/>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320</w:t>
            </w:r>
          </w:p>
        </w:tc>
        <w:tc>
          <w:tcPr>
            <w:tcW w:w="36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Statements of Consolidated Cash Flows</w:t>
            </w:r>
          </w:p>
        </w:tc>
        <w:tc>
          <w:tcPr>
            <w:tcW w:w="760" w:type="dxa"/>
            <w:vAlign w:val="bottom"/>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 our accounts and those of our majority-owned subsidiaries in which we have a controlling interest, after the elimination of all intercompany accounts and transactions. We also consolidate other entities and ventures in which we possess a controlling financial interest as well as partnership interests where we are the sole general partner of the Partnership. We evaluate our financial interests in business enterprises to determine if they represent variable interest entities where we are the primary beneficiary. If such criteria are met, we consolidate the financial statements of such businesses with those of our own. Third party or affiliate ownership interests in our controlled subsidiaries are presented as noncontrolling interests. See Note 8 for information regarding noncontrolling interests.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entity is organized as a limited partnership or limited liability company and maintains separate ownership accounts, we account for our investment using the equity method if our ownership interest is between 3% and 50%, unless our interest is so minor that we have virtually no influence over the investee’s operating and financial policies. For all other types of investments, we apply the equity method of accounting if our ownership interest is between 20% and 50% and we exercise significant influence over the investee’s operating and financial policies. In consolidation, we eliminate our proportionate share of profits and losses from transactions with equity method unconsolidated affiliates to the extent such amounts remain on our Consolidated Balance Sheets (or those of our equity method investments) in inventory or similar accounts.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conditions may exist as of the date our consolidated financial statements are issued, which may result in a loss to us but which will only be resolved when one or more future events occur or fail to occur. Management has regular quarterly litigation reviews, including updates from legal counsel, to assess the need for accounting recognition or disclosure of these contingencies, and such assessment inherently involves an exercise in judgment. In assessing loss contingencies related to legal proceedings that are pending against us or unasserted claims that may result in such proceedings, our management and legal counsel evaluate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accrue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See Note 17 for additional information regarding our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 and Current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as individual captions in our Consolidated Balance Sheets, all components of current assets and current liabilities that exceed 5% of total current assets and current liabilities,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derivative instruments such as futures, swaps, forward contracts and other arrangements to manage price risks associated with inventories, firm commitments, interest rates and certain anticipated future commodity transactions.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monthly basis thereafter. Forecasted transactions are evaluated for the probability of occurrence and are periodically back-tested once the forecasted period has passed to determine whether forecasted transactions are probable of occurring in the future.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recognize derivative instruments at fair value as either assets or liabilities on our Consolidated Balance Sheets unless such instruments meet certain normal purchase/normal sale criteria. While all derivatives are required to be reported at fair value on the balance sheet, changes in fair value of derivative instruments are reported in different ways, depending on the nature and effectiveness of the hedging activities to which they relate. After meeting specified conditions, a qualified derivative may be designated as a total or partial hedge of:</w:t>
      </w:r>
    </w:p>
    <w:p>
      <w:pPr>
        <w:spacing w:after="0" w:line="180" w:lineRule="exact"/>
        <w:rPr>
          <w:sz w:val="20"/>
          <w:szCs w:val="20"/>
          <w:color w:val="auto"/>
        </w:rPr>
      </w:pPr>
    </w:p>
    <w:p>
      <w:pPr>
        <w:ind w:left="34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 recognized asset or liability, or an unrecognized firm commitment – In a fair value hedge, gains and losses for both the derivative instrument and the hedged item are recognized in income during the period of change.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cash flows of a forecasted transaction – In a cash flow hedge, the change in the fair value of the hedge is reported in other comprehensive income (loss) and is reclassified to earnings when the forecasted transaction affects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effective hedge relationship is one in which the change in fair value of a derivative instrument can be expected to offset 80% to 125% of the changes in fair value of a hedged item at inception and throughout the life of the hedging relationship. The effective portion of a hedge relationship is the amount by which the derivative instrument exactly offsets the change in fair value of the hedged item during the reporting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designated as a cash flow hedge of an anticipated transaction that is not probable of occurring is immediately recognized in earnings.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derivative instruments do not qualify for hedge accounting treatment; therefore, these instruments are accounted for using mark-to-market accounting.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substantially all of our physical forward commodity derivative contracts, we apply the normal purchase/normal sale exception, whereby changes in the mark-to-market values of such contracts are not recognized in income. As a result, the revenues and expenses associated with such physical transactions are recognized during the period when volumes are physically delivered or received. Physical forward commodity contracts subject to this exception are evaluated for the probability of future delivery and certain of these physical forward commodity contracts are periodically back-tested once the forecasted period has passed to determine whether similar forward contracts are probable of physical delivery in the future. See Note 14 for additional information regarding our derivative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Environmental costs for remediation are accrued based on estimates of known remediation requirements. Such accruals are based on management’s best estimate of the ultimate cost to remediate a site and are adjusted as further information and circumstances develop. Those estimates may change substantially depending on information about the nature and extent of contamination, appropriate remediation technologies and regulatory approvals. Expenditures to mitigate or prevent future environmental contamination are capitalized. Ongoing environmental compliance costs are charged to expense as incurred. In accruing for environmental remediation liabilities, costs of future expenditures for environmental remediation are not discounted to their present value, unless the amount and timing of the expenditures are fixed or reliably determinable. At December 31, 2023, none of our estimated environmental remediation liabilities were discounted to present value since the ultimate amount and timing of cash payments for such liabilities were not readily determinable. Our environmental reserves totaled $4 million and $3 million at December 31, 2023 and 2022,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Preparing our consolidated financial statements in conformity with GAAP requires us to make estimates that affect amounts presented in the financial statements. Our most significant estimates relate to (i) the useful lives and depreciation/amortization methods used for fixed and identifiable intangible assets; (ii) measurement of fair value and projections used in impairment testing of fixed and intangible assets (including goodwill); (iii) contingencies; and (iv) revenue and expense accruals.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results could differ materially from our estimates. On an ongoing basis, we review our estimates based on currently available information. Any changes in the facts and circumstances underlying our estimates may require us to update such estimates, which could have a material impact on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recurring and nonrecurring fair value estimates are based on either (i) actual market data or (ii) assumptions that other market participants would use in pricing an asset or liability, including estimates of risk, in the principal market of the asset or liability at a specified measurement date. Recognized valuation techniques (such as the income or market approaches) employ inputs such as contractual prices, quoted market prices or rates, operating costs, discount factors and business growth rates. These inputs may be either readily observable, corroborated by market data or generally unobservable. In developing our estimates of fair value, we endeavor to utilize the best information available and apply market-based data to the extent possible.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three-tier hierarchy has been established that classifies fair value amounts recognized in the financial statements based on the observability of inputs used to estimate such fair values. The hierarchy considers fair value amounts based on observable inputs (Levels 1 and 2 fair value measures) to be more reliable and predictable than those based primarily on unobservable inputs (Level 3 fair value measures). At each balance sheet reporting date, we categorize our financial assets and liabilities using this hierarchy. The characteristics of fair value amounts classified within each level of the hierarchy are described as follows:</w:t>
      </w:r>
    </w:p>
    <w:p>
      <w:pPr>
        <w:spacing w:after="0" w:line="181" w:lineRule="exact"/>
        <w:rPr>
          <w:sz w:val="20"/>
          <w:szCs w:val="20"/>
          <w:color w:val="auto"/>
        </w:rPr>
      </w:pPr>
    </w:p>
    <w:p>
      <w:pPr>
        <w:jc w:val="both"/>
        <w:ind w:left="340" w:hanging="332"/>
        <w:spacing w:after="0" w:line="261"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 fair value measures</w:t>
      </w:r>
      <w:r>
        <w:rPr>
          <w:rFonts w:ascii="Times New Roman" w:cs="Times New Roman" w:eastAsia="Times New Roman" w:hAnsi="Times New Roman"/>
          <w:sz w:val="18"/>
          <w:szCs w:val="18"/>
          <w:color w:val="auto"/>
        </w:rPr>
        <w:t>. Level 1 fair values are based on quoted prices, which are available in active markets for identical assets or liabilities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 Active markets are defined as those in which transactions for identical assets or liabilities occur with sufficient frequency so as to provide pricing information on an ongoing basis (e.g., transactions on the New York Mercantile Exchange (“NYMEX”) and Intercontinental Exchange (“ICE”)). Our Level 1 fair values consist of financial assets and liabilities such as exchange-traded commodity derivative instruments.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 fair value measures</w:t>
      </w:r>
      <w:r>
        <w:rPr>
          <w:rFonts w:ascii="Times New Roman" w:cs="Times New Roman" w:eastAsia="Times New Roman" w:hAnsi="Times New Roman"/>
          <w:sz w:val="18"/>
          <w:szCs w:val="18"/>
          <w:color w:val="auto"/>
        </w:rPr>
        <w:t>. Level 2 fair values are based on pricing inputs other than quoted prices in active markets (a Level 1 fair value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either directly or indirectly observable as of the measurement date. Level 2 fair values include instruments that are valued using financial models or other appropriate valuation methodologies. Such financial models are primarily industry-standard models that consider various assumptions, including quoted forward prices for commodities, the time value of money, volatility factors, current market and contractual prices for the underlying instruments and other relevant economic measures. Substantially all of these assumptions (i) are observable in the marketplace throughout the full term of the instrument; (ii) can be derived from observable data; or (iii) are validated by inputs other than quoted prices (e.g., interest rate and yield curves at commonly quoted intervals). Our Level 2 fair values primarily consist of commodity derivative instruments such as forwards, swaps and other instruments transacted on an exchange or over-the-counter and interest rate derivative instruments. The fair values of these derivative instruments are based on observable price quotes for similar products and locations. The fair value of our interest rate derivatives are determined using financial models that incorporate third-party yield curves for the same period as the future interest rate derivative settlements.</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 fair value measures</w:t>
      </w:r>
      <w:r>
        <w:rPr>
          <w:rFonts w:ascii="Times New Roman" w:cs="Times New Roman" w:eastAsia="Times New Roman" w:hAnsi="Times New Roman"/>
          <w:sz w:val="18"/>
          <w:szCs w:val="18"/>
          <w:color w:val="auto"/>
        </w:rPr>
        <w:t>. Level 3 fair values are based on unobservable inputs. Unobservable inputs are used to measure fair value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observable inputs are not available, thereby allowing for situations in which there is little, if any, market activity for the asset or liability at the measurement date. Unobservable inputs reflect management’s ideas about the assumptions that market participants would use in pricing an asset or liability (including assumptions about risk). Unobservable inputs are based on the best information available to us in the circumstances, which might include our internally developed forecasts. Level 3 inputs are typically used in connection with internally developed valuation methodologies where we make our best estimate of fair value. Valuations using Level 3 inputs are reviewed and approved by members of senior management.</w:t>
      </w:r>
    </w:p>
    <w:p>
      <w:pPr>
        <w:spacing w:after="0" w:line="184"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commodity derivatives, our Level 3 fair values primarily consist of the following commodity derivative instruments used to hedge various inventories and transportation capacities: (i) NGL, crude, natural gas, refined products and commercial energy-based contracts with terms greater than 36 months; (ii) over-the-counter options; and (iii) exchange traded options with terms greater than one year. In addition, we often rely on price quotes from reputable brokers who publish price quotes on certain products and compare these prices to other reputable brokers for the same products in the same markets whenever possible. These prices, when combined with data from our commodity derivative instruments, are used in our models to determine the fair value of such instruments.</w:t>
      </w:r>
    </w:p>
    <w:p>
      <w:pPr>
        <w:spacing w:after="0" w:line="187"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nonrecurring fair value estimates are generally based on the income approach to fair value and reflect various Level 3 inputs. In many cases, there are no active markets (a Level 1 fair value measure) to rely on or other similar recent transactions (a Level 2 fair value measure) to compare to. Our nonrecurring fair value estimates often include management’s expectations of the residual market values for the underlying assets based on their knowledge and experience in the industry (a Level 3 fair value measure). Other examples of Level 3 inputs used in the valuation models include anticipated gross operating margins, throughput or processing volumes, utilization factors, sustaining capital expenditures, discount rates and business growth rates. When probability weights are used in cash flow modeling, the weights are generally obtained from management personnel having oversight responsibilities for the assets being tested.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asset impairment charges by type as presented on our Statements of Consolidated Cash Flows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Impairment charges reflected in operating costs and expenses: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218</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(1)</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 impairment charges in operating costs and expenses (2)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Other property, plant and equipment impairment charges (3)</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 impairment charges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write-down of surplus materials classified as current assets and intangible assets other than goodwill.</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are a component of “Third party and other costs” within the “Operating costs and expenses” section of our Statements of Consolidated Operations.</w:t>
      </w:r>
    </w:p>
    <w:p>
      <w:pPr>
        <w:ind w:left="380" w:hanging="372"/>
        <w:spacing w:after="0"/>
        <w:tabs>
          <w:tab w:leader="none" w:pos="3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are a component of “Third party and other costs” within the “General and administrative costs” section of our Statements of Consolidated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our accounting policies regarding impairment testing for major asset categories:</w:t>
      </w:r>
    </w:p>
    <w:p>
      <w:pPr>
        <w:spacing w:after="0" w:line="223" w:lineRule="exact"/>
        <w:rPr>
          <w:sz w:val="20"/>
          <w:szCs w:val="20"/>
          <w:color w:val="auto"/>
        </w:rPr>
      </w:pPr>
    </w:p>
    <w:p>
      <w:pPr>
        <w:jc w:val="both"/>
        <w:ind w:left="340" w:hanging="332"/>
        <w:spacing w:after="0" w:line="254"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Testing for Long-Lived Assets. </w:t>
      </w:r>
      <w:r>
        <w:rPr>
          <w:rFonts w:ascii="Times New Roman" w:cs="Times New Roman" w:eastAsia="Times New Roman" w:hAnsi="Times New Roman"/>
          <w:sz w:val="18"/>
          <w:szCs w:val="18"/>
          <w:color w:val="auto"/>
        </w:rPr>
        <w:t>Long-lived assets, which consist of intangible assets with finite lives and property, plant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reviewed for impairment when events or changes in circumstances indicate that the carrying amount of such assets may not be recoverable. Long-lived assets with carrying values that are not expected to be recovered through future cash flows are written down to their estimated fair values. The carrying value of a long-lived asset is deemed not recoverable if it exceeds the sum of undiscounted estimated cash flows expected to result from the use and eventual disposition of the asset. If the asset’s carrying value exceeds the sum of its undiscounted cash flows, a non-cash asset impairment charge equal to the excess of the asset’s carrying value over its estimated fair value is recorded. Fair value is defined as the price that would be received to sell an asset or be paid to transfer a liability in an orderly transaction between market participants at a specified measurement date. We measure fair value using market price indicators or, in the absence of such data, appropriate valuation techniques. See Note 4 for information regarding impairment charges attributable to property, plant and equipment.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Testing for Investments in Unconsolidated Affiliates. </w:t>
      </w:r>
      <w:r>
        <w:rPr>
          <w:rFonts w:ascii="Times New Roman" w:cs="Times New Roman" w:eastAsia="Times New Roman" w:hAnsi="Times New Roman"/>
          <w:sz w:val="18"/>
          <w:szCs w:val="18"/>
          <w:color w:val="auto"/>
        </w:rPr>
        <w:t>We evaluate our equity method investments for impairment when there are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that indicate there is a potential loss in value of the investment attributable to an other-than-temporary decline. Examples of such events or changes in circumstances include continuing operating losses of the entity and/or long-term negative changes in the entity’s industry. In the event we determine that the value of an investment is not recoverable due to an other-than-temporary decline, we record a non-cash impairment charge to adjust the carrying value of the investment to its estimated fair value. We did not record any non-cash impairment charges related to our equity method investments during the years ended December 31, 2023, 2022 or 2021. See Note 5 for information regarding our equity method investments.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Testing for Goodwill. </w:t>
      </w:r>
      <w:r>
        <w:rPr>
          <w:rFonts w:ascii="Times New Roman" w:cs="Times New Roman" w:eastAsia="Times New Roman" w:hAnsi="Times New Roman"/>
          <w:sz w:val="18"/>
          <w:szCs w:val="18"/>
          <w:color w:val="auto"/>
        </w:rPr>
        <w:t>Goodwill, which represents the cost of an acquired business in excess of the fair value of its net assets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date, is subject to annual impairment testing in the fourth quarter of each year or when events or changes in circumstances indicate that the carrying amount of the goodwill may not be recoverable. We test goodwill for impairment at the reporting unit (or operating segment) level following guidance in ASU 2017-04, “Intangibles - Goodwill and Other (Topic 350): Simplifying the Test for Goodwill Impairment.” Goodwill impairment charges represent the amount by which a reporting unit’s carrying value (including its respective goodwill) exceeds its fair value, not to exceed the carrying amount of the reporting unit’s goodwill.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We determine the fair value of each reporting unit using accepted valuation techniques, primarily through the use of discounted cash flows (i.e., an income approach to fair value) supplemented by market-based assessments, if available. The estimated fair values of our reporting units incorporate assumptions regarding the future economic prospects of the assets and operations that comprise each reporting unit including: (i) discrete financial forecasts for the assets comprising the reporting unit, which, in turn, rely on management’s estimates of long-term operating margins, throughput volumes, capital investments and similar factors; (ii) long-term growth rates for the reporting unit’s cash flows beyond the discrete forecast period; and</w:t>
      </w:r>
    </w:p>
    <w:p>
      <w:pPr>
        <w:spacing w:after="0" w:line="3" w:lineRule="exact"/>
        <w:rPr>
          <w:sz w:val="20"/>
          <w:szCs w:val="20"/>
          <w:color w:val="auto"/>
        </w:rPr>
      </w:pPr>
    </w:p>
    <w:p>
      <w:pPr>
        <w:jc w:val="both"/>
        <w:ind w:left="340" w:hanging="8"/>
        <w:spacing w:after="0" w:line="253" w:lineRule="auto"/>
        <w:tabs>
          <w:tab w:leader="none" w:pos="6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discount rates. The fair value estimates are based on Level 3 inputs of the fair value hierarchy. We believe that the assumptions we use in estimating reporting unit fair values are consistent with those that market participants would use in their fair value estimation process. However, due to uncertainties in the estimation process and volatility in the supply and demand for hydrocarbons and similar risk factors, actual results could differ significantly from our estimates. Based on our most recent goodwill impairment test at December 31, 2023, the estimated fair value of each of our reporting units was substantially in excess of its carrying value (i.e., by at least 10%).</w:t>
      </w:r>
    </w:p>
    <w:p>
      <w:pPr>
        <w:spacing w:after="0" w:line="18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We did not record any non-cash goodwill impairment charges during the years ended December 31, 2023, 2022 or 2021. See Note 6 for additional information regarding our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primarily consist of NGLs, petrochemicals, refined products, crude oil and natural gas volumes that are valued at the lower of cost or net realizable value. We capitalize, as a cost of inventory, shipping and handling charges (e.g., pipeline transportation and storage fees) and other related costs associated with purchased volumes. As volumes are sold and delivered out of inventory, the cost of these volumes (including freight-in charges that have been capitalized as part of inventory cost) are charged to operating costs and expenses. Shipping and handling fees associated with products we sell and deliver to customers are charged to operating costs and expenses as incurred. See Note 3 for additional information regarding our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account for our leases under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substantially all leases be recorded on the balance sheet.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standard includes two lessee accounting models, which results in a lease being classified as either a “finance” or “operating” lease based on whether the lessee effectively obtains control of the underlying asset during the lease term. A lease would be classified as a finance lease if it meets one of five classification criteria. By default, a lease that does not meet the criteria to be classified as a finance lease will be deemed an operating lease. Regardless of classification, the initial measurement of both lease types will result in the balance sheet recognition of a right-of-use (“ROU”) asset (representing a company’s right to use the underlying asset for a specified period of time) and a corresponding lease liability. The lease liability will be recognized at the present value of the future lease payments, and the ROU asset will equal the lease liability adjusted for any prepaid rent, lease incentives provided by the lessor, and any indirect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subsequent measurement of each type of lease varies. For finance leases, a lessee will amortize the ROU asset (generally on a straight-line basis in a manner similar to depreciation) and accrete the lease liability (as a component of interest expense) using the effective interest method. Operating leases will result in the recognition of a single lease expense amount that is recorded on a straight-line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recognize ROU assets and lease liabilities for short-term leases, which are leases with a maximum term of 12 months or less and do not include a purchase option that the lessee is reasonably certain to exercise, and instead recognize lease payments on a straight-line basis. In addition, we combine lease and non-lease components relating to our office and warehouse leases,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for our disclosures regarding operating lease obligations.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is recorded at cost. Expenditures for additions, improvements and other enhancements to property, plant and equipment are capitalized, and minor replacements, maintenance, and repairs that do not extend asset life or add value are charged to expense as incurred. When property, plant and equipment assets are retired or otherwise disposed of, the related cost and accumulated depreciation is removed from the accounts and any resulting gain or loss is included in results of operations for the respective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capitalize interest costs incurred on funds used to construct property, plant and equipment while the asset is in its construction phase. The capitalized interest is recorded as part of the asset to which it relates and is amortized over the asset’s estimated useful life as a component of depreciation expense. When capitalized interest is recorded, it reduces interest expense from what it would be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Our estimate of depreciation expense incorporates management assumptions regarding the useful economic lives and residual values of our assets. Where appropriate, we use other depreciation methods (generally accelerated) for tax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Leasehold improvements are recorded as a component of property, plant and equipment. The cost of leasehold improvements is charged to earnings using the straight-line method over the shorter of (i) the remaining lease term or (ii) the estimated useful lives of the improvements. We consider renewal terms that are deemed reasonably assured when estimating remaining lease terms.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assumptions regarding the useful economic lives and residual values of our assets may change in response to new facts and circumstances, which would prospectively impact our depreciation expense amounts. Examples of such circumstances include, but are not limited to: (i) changes in laws and regulations that limit the estimated economic life of an asset; (ii) changes in technology that render an asset obsolete; (iii) changes in expected salvage values or (iv) significant changes in the forecast life of the applicable resource basins, if 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plant facilities undergo periodic planned outages for major maintenance activities. The method of accounting for these activities depends on whether the plant utilizes either a distillation-based or reaction-based process. Our natural gas processing plants, NGL fractionators, deisobutanizers, propylene splitters and similar facilities utilize thermal distillation processes to separate hydrocarbons into more useful components. Our reaction-based plants, which primarily include our PDH, isomerization and octane enhancement facilities, utilize catalysts to facilitate chemical reactions that convert lower value hydrocarbons into higher value products. We use the expense-as-incurred method to account for the planned major maintenance activities of distillation-based plants. For reaction-based plants, we use the deferral method when accounting for major maintenance activities. Under the deferral method, major maintenance costs are capitalized and amortized over the period until the next major overhaul project. Historically, the costs of major maintenance activities attributable to our reaction-based facilities, principally our octane enhancement assets, were not material to our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the planned major maintenance activities of our marine transportation assets and underground storage caverns, we continue to use the deferral method to account for such costs.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retirement obligations (“AROs”) are legal obligations associated with the retirement of tangible long-lived assets that result from their acquisition, construction, development and/or normal operation. When an ARO is incurred, we record a liability for the ARO and capitalize an equal amount as an increase in the carrying value of the related long-lived asset. ARO amounts are measured at their estimated fair value using expected present value techniques. Over time, the ARO liability is accreted to its present value (through accretion expense) and the capitalized amount is depreciated over the remaining useful life of the related long-lived asset. We will incur a gain or loss to the extent that our ARO liabilities are not settled at their recorded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information regarding our property, plant and equipment and AROs.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Substantially all of our revenues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however, to a limited extent, some revenues are accounted for under other guidance such as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xml:space="preserve"> or ASC 815, </w:t>
      </w:r>
      <w:r>
        <w:rPr>
          <w:rFonts w:ascii="Times New Roman" w:cs="Times New Roman" w:eastAsia="Times New Roman" w:hAnsi="Times New Roman"/>
          <w:sz w:val="18"/>
          <w:szCs w:val="18"/>
          <w:i w:val="1"/>
          <w:iCs w:val="1"/>
          <w:color w:val="auto"/>
        </w:rPr>
        <w:t>Derivatives and Hedging Activities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core principle of ASC 606 is that a company should recognize revenue in a manner that fairly depicts the transfer of goods or services to customers in amounts that reflect the consideration the company expects to receive for those goods or services. We apply this core principle by following five key steps outlined in ASC 606: (i) identify the contract; (ii) identify the performance obligations in the contract; (iii) determine the transaction price; (iv) allocate the transaction price to the performance obligations in the contract; and (v) recognize revenue when (or as) the performance obligation is satisfied. Each of these steps involves management judgment and an analysis of the contract’s material terms and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ASC 606, we recognize revenue when or as we satisfy our performance obligation to the customer. In situations where we have recognized revenue, but have a conditional right to consideration (based on something other than the passage of time) from the customer, we recognize unbilled revenue (a contract asset) on our consolidated balance sheet. Unbilled revenue is reclassified to accounts receivable when we have an unconditional right of payment from the customer. Payments received from customers in advance of the period in which we satisfy a performance obligation are recorded as deferred revenue (a contract liability) on our consolidated balance sheet.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streams are derived from the sale of products and providing midstream services. Revenues from the sale of products are recognized at a point in time, which represents the transfer of control (and the satisfaction of our performance obligation under the contract) to the customer. From that point forward, the customer is able to direct the use of, and obtain substantially all the benefits from its use of, the products. With respect to midstream services (e.g., interruptible transportation), we satisfy our performance obligations over time and recognize revenues when the services are provided and the customer receives the benefits based on an output measure of volumes redelivered. We believe this measure is a faithful depiction of the transfer of control for midstream services since there is (i) an insignificant period of time between the receipt of customers’ volumes and their subsequent redelivery, and (ii) it is not possible to individually track and differentiate customers’ inventories as they traverse our facilities. For stand-ready performance obligations (e.g., a storage capacity reservation contract), we recognize revenues over time on a straight-line basis as time elapses over the term of the contract. We believe that these approaches accurately depict the transfer of benefits to the customer.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Customers are invoiced for products purchased or services rendered when we have an unconditional right to consideration under the associated contract. The consideration we are entitled to invoice may be either fixed, variable or a combination of both. Examples of fixed consideration would be fixed payments from customers under take-or-pay arrangements, storage capacity reservation agreements and firm transportation contracts. Variable consideration represents payments from customers that are based on factors that fluctuate (or vary) based on volumes, prices or both. Examples of variable consideration include interruptible transportation agreements, market-indexed product sales contracts and the value of NGLs we retain under natural gas processing agreements. The terms of our billings are typical of the industry for the products we sell.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midstream service agreements, customers are required to provide a minimum volume over an agreed-upon period with a provision that allows the customer to make-up any volume shortfalls over an agreed-upon period (referred to as “make-up rights”). Revenue pursuant to such agreements is initially deferred and subsequently recognized when either the make-up rights are exercised, the likelihood of the customer exercising the rights becomes remote, or we are otherwise released from the performance obligation.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may contribute funds to us to help offset the construction costs related to pipeline construction activities and production well tie-ins. These receipts are recognized as additional service revenues over the term of the associated midstream services provided to the customer.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those contracts under which we have the ability to invoice the customer in an amount that corresponds directly with the value of the performance obligation completed to date, we recognize revenue as we have the right to invoice.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regarding our revenue disclosures.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840" w:type="dxa"/>
            <w:vAlign w:val="bottom"/>
            <w:gridSpan w:val="2"/>
          </w:tcPr>
          <w:p>
            <w:pPr>
              <w:jc w:val="right"/>
              <w:ind w:right="7868"/>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inventory amounts by product type were as follows at the dates indicated: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NGLs</w:t>
            </w:r>
          </w:p>
        </w:tc>
        <w:tc>
          <w:tcPr>
            <w:tcW w:w="884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2,392</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1,689</w:t>
            </w:r>
          </w:p>
        </w:tc>
      </w:tr>
      <w:tr>
        <w:trPr>
          <w:trHeight w:val="216"/>
        </w:trPr>
        <w:tc>
          <w:tcPr>
            <w:tcW w:w="9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Petrochemicals and refined products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430</w:t>
            </w: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w:t>
            </w:r>
          </w:p>
        </w:tc>
        <w:tc>
          <w:tcPr>
            <w:tcW w:w="8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9"/>
                <w:szCs w:val="19"/>
                <w:color w:val="auto"/>
              </w:rPr>
            </w:pPr>
          </w:p>
        </w:tc>
      </w:tr>
      <w:tr>
        <w:trPr>
          <w:trHeight w:val="237"/>
        </w:trPr>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84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3,352</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those instances where we take ownership of inventory volumes through percent-of-liquids contracts and similar arrangements (as opposed to outright purchases from third parties for cash), these volumes are valued at market-based prices during the month in which they are acquired.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total cost of sales amounts and lower of cost or net realizable value adjustments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(1)</w:t>
            </w:r>
          </w:p>
        </w:tc>
        <w:tc>
          <w:tcPr>
            <w:tcW w:w="8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37,023</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45,836</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29,887</w:t>
            </w:r>
          </w:p>
        </w:tc>
      </w:tr>
      <w:tr>
        <w:trPr>
          <w:trHeight w:val="233"/>
        </w:trPr>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Lower of cost or net realizable value adjustments recognized in cost of sales</w:t>
            </w:r>
          </w:p>
        </w:tc>
        <w:tc>
          <w:tcPr>
            <w:tcW w:w="8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340" w:right="20" w:hanging="332"/>
        <w:spacing w:after="0" w:line="261" w:lineRule="auto"/>
        <w:tabs>
          <w:tab w:leader="none" w:pos="3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is a component of “Operating costs and expenses,” as presented on our Statements of Consolidated Operations. Fluctuations in these amounts are primarily due to changes in energy commodity prices and sales volumes associated with our marketing activities.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fluctuating commodity prices, we recognize lower of cost or net realizable value adjustments when the carrying value of our available-for-sale inventories exceeds their net realizable value. These non-cash charges are a component of cost of sales in the period they are recognized. To the extent our commodity hedging strategies address inventory-related price risks and are successful, these inventory valuation adjustments are mitigated or offset. See Note 14 for a description of our commodity hedging activities.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historical costs of our property, plant and equipment and related balances were as follows at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Pr>
          <w:p>
            <w:pPr>
              <w:spacing w:after="0"/>
              <w:rPr>
                <w:sz w:val="13"/>
                <w:szCs w:val="13"/>
                <w:color w:val="auto"/>
              </w:rPr>
            </w:pPr>
          </w:p>
        </w:tc>
        <w:tc>
          <w:tcPr>
            <w:tcW w:w="138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Plants, pipelines and facilities (1)(5)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54,396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Underground and other storage facilities (2)(6)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Transportation equipment (3)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Marine vessels (4)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15-30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Subtotal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63,122</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Subtotal property, plant and equipment, net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44,322</w:t>
            </w:r>
          </w:p>
        </w:tc>
        <w:tc>
          <w:tcPr>
            <w:tcW w:w="0" w:type="dxa"/>
            <w:vAlign w:val="bottom"/>
          </w:tcPr>
          <w:p>
            <w:pPr>
              <w:spacing w:after="0"/>
              <w:rPr>
                <w:sz w:val="1"/>
                <w:szCs w:val="1"/>
                <w:color w:val="auto"/>
              </w:rPr>
            </w:pPr>
          </w:p>
        </w:tc>
      </w:tr>
      <w:tr>
        <w:trPr>
          <w:trHeight w:val="126"/>
        </w:trPr>
        <w:tc>
          <w:tcPr>
            <w:tcW w:w="7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Capitalized major maintenance costs for reaction-based</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plants, net of accumulated amortization (7)</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hanging="392"/>
        <w:spacing w:after="0" w:line="233" w:lineRule="auto"/>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Plants, pipelines and facilities include distillation-based and reaction-based plants; NGL, natural gas, crude oil and petrochemical and refined products pipelines; terminal loading and unloading facilities; buildings; office furniture and equipment; laboratory and shop equipment and related assets.</w:t>
      </w:r>
    </w:p>
    <w:p>
      <w:pPr>
        <w:ind w:left="400" w:hanging="392"/>
        <w:spacing w:after="0" w:line="221" w:lineRule="auto"/>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Underground and other storage facilities include underground product storage caverns; above ground storage tanks; water wells and related assets.</w:t>
      </w:r>
    </w:p>
    <w:p>
      <w:pPr>
        <w:ind w:left="400" w:hanging="392"/>
        <w:spacing w:after="0" w:line="221" w:lineRule="auto"/>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equipment includes tractor-trailer tank trucks and other vehicles and similar assets used in our operations.</w:t>
      </w:r>
    </w:p>
    <w:p>
      <w:pPr>
        <w:ind w:left="400" w:hanging="392"/>
        <w:spacing w:after="0" w:line="221" w:lineRule="auto"/>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vessels include tow boats, barges and related equipment used in our marine transportation business.</w:t>
      </w:r>
    </w:p>
    <w:p>
      <w:pPr>
        <w:ind w:left="400" w:hanging="392"/>
        <w:spacing w:after="0" w:line="221" w:lineRule="auto"/>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 estimated useful lives of major assets within this category are: distillation-based and reaction-based plants, 20-35 years; pipelines and related equipment, 5-45 years; terminal facilities, 10-35 years; buildings, 20-40 years; office furniture and equipment, 3-20 years; and laboratory and shop equipment, 5-35 years.</w:t>
      </w:r>
    </w:p>
    <w:p>
      <w:pPr>
        <w:ind w:left="400" w:hanging="392"/>
        <w:spacing w:after="0" w:line="221" w:lineRule="auto"/>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 estimated useful lives of assets within this category are: underground storage facilities, 5-35 years; storage tanks, 10-40 years; and water wells, 5-35 years.</w:t>
      </w:r>
    </w:p>
    <w:p>
      <w:pPr>
        <w:ind w:left="400" w:hanging="392"/>
        <w:spacing w:after="0" w:line="239" w:lineRule="auto"/>
        <w:tabs>
          <w:tab w:leader="none" w:pos="4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reaction-based plants, we use the deferral method when accounting for major maintenance activities. Under the deferral method, major maintenance costs are capitalized and amortized over the period until the next major overhaul project. On a weighted-average basis, the expected remaining amortization period for these costs is 0.8 years.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 and capitalized interest amounts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expense (1)</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1,860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1,705</w:t>
            </w: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Capitalized interest (2)</w:t>
            </w:r>
          </w:p>
        </w:tc>
        <w:tc>
          <w:tcPr>
            <w:tcW w:w="7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p>
      <w:pPr>
        <w:ind w:left="400" w:hanging="392"/>
        <w:spacing w:after="0"/>
        <w:tabs>
          <w:tab w:leader="none" w:pos="4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expense is a component of “Third party and other costs” within “Costs and expenses” as presented on our Statements of Consolidated Operations.</w:t>
      </w:r>
    </w:p>
    <w:p>
      <w:pPr>
        <w:spacing w:after="0" w:line="3"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is a component of “Interest expense” as presented on our Statements of Consolidated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AROs in connection with legal requirements to perform specified retirement activities under contractual arrangements and/or governmental regulations. Our contractual AROs primarily result from right-of-way agreements associated with our pipeline operations and property leases associated with our plant sites. In addition, we record AROs in connection with governmental regulations associated with the abandonment or retirement of above-ground brine storage pits and certain marine vessels. We also record AROs in connection with regulatory requirements associated with the renovation or demolition of certain assets containing hazardous substances such as asbestos. We typically fund our AROs using cash flow from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at December 31, 2023 and 2022 includes $109 million and $117 million, respectively, of asset retirement costs capitalized as an increase in the associated long-lived asset.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AROs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ARO liability beginning balance</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incurred (1)</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Revisions in estimated cash flows (2)</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settled (3)</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expense (4)</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r>
      <w:tr>
        <w:trPr>
          <w:trHeight w:val="27"/>
        </w:trPr>
        <w:tc>
          <w:tcPr>
            <w:tcW w:w="73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ARO liability ending balance</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234</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r>
      <w:tr>
        <w:trPr>
          <w:trHeight w:val="21"/>
        </w:trPr>
        <w:tc>
          <w:tcPr>
            <w:tcW w:w="7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initial recognition of estimated ARO liabilities during period.</w:t>
      </w:r>
    </w:p>
    <w:p>
      <w:pPr>
        <w:spacing w:after="0" w:line="3" w:lineRule="exact"/>
        <w:rPr>
          <w:rFonts w:ascii="Times New Roman" w:cs="Times New Roman" w:eastAsia="Times New Roman" w:hAnsi="Times New Roman"/>
          <w:sz w:val="14"/>
          <w:szCs w:val="14"/>
          <w:color w:val="auto"/>
        </w:rPr>
      </w:pPr>
    </w:p>
    <w:p>
      <w:pPr>
        <w:ind w:left="420" w:hanging="412"/>
        <w:spacing w:after="0" w:line="221" w:lineRule="auto"/>
        <w:tabs>
          <w:tab w:leader="none" w:pos="4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subsequent adjustments to estimated ARO liabilities during period.</w:t>
      </w:r>
    </w:p>
    <w:p>
      <w:pPr>
        <w:ind w:left="420" w:hanging="412"/>
        <w:spacing w:after="0" w:line="221" w:lineRule="auto"/>
        <w:tabs>
          <w:tab w:leader="none" w:pos="4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to settle ARO liabilities during period.</w:t>
      </w:r>
    </w:p>
    <w:p>
      <w:pPr>
        <w:ind w:left="420" w:hanging="412"/>
        <w:spacing w:after="0"/>
        <w:tabs>
          <w:tab w:leader="none" w:pos="4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change in ARO liability balance attributable to the passage of time and other adjustments, including true-up amounts associated with revised closure estimates.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 $225 million total ARO liability recorded at December 31, 2023, $4 million was reflected as a current liability and $221 million as a long-term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forecast of ARO-related accretion expense for the years indicated:</w:t>
      </w:r>
    </w:p>
    <w:p>
      <w:pPr>
        <w:spacing w:after="0" w:line="286" w:lineRule="exact"/>
        <w:rPr>
          <w:sz w:val="20"/>
          <w:szCs w:val="20"/>
          <w:color w:val="auto"/>
        </w:rPr>
      </w:pPr>
    </w:p>
    <w:tbl>
      <w:tblPr>
        <w:tblLayout w:type="fixed"/>
        <w:tblInd w:w="2260" w:type="dxa"/>
        <w:tblCellMar>
          <w:top w:w="0" w:type="dxa"/>
          <w:left w:w="0" w:type="dxa"/>
          <w:bottom w:w="0" w:type="dxa"/>
          <w:right w:w="0" w:type="dxa"/>
        </w:tblCellMar>
      </w:tblPr>
      <w:tr>
        <w:trPr>
          <w:trHeight w:val="180"/>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5"/>
                <w:szCs w:val="15"/>
                <w:color w:val="auto"/>
              </w:rPr>
            </w:pPr>
          </w:p>
        </w:tc>
      </w:tr>
      <w:tr>
        <w:trPr>
          <w:trHeight w:val="216"/>
        </w:trPr>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of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non-cash asset impairment charges involving property, plant and equipment by business segment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Pipelines &amp; Services (1)</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 (2)</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impairment charges for property, plant and equipment</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amount includes a $37 million non-cash impairment charge associated with the sale of components of our San Juan Gathering System.</w:t>
      </w:r>
    </w:p>
    <w:p>
      <w:pPr>
        <w:spacing w:after="0" w:line="3"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amount includes a non-cash impairment charge of $113 million associated with our marine transportation business.</w:t>
      </w: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summarizes our significant asset impairment charges involving property, plant and equipment that were recognized during the year ended December 31, 2021:</w:t>
      </w:r>
    </w:p>
    <w:p>
      <w:pPr>
        <w:spacing w:after="0" w:line="162" w:lineRule="exact"/>
        <w:rPr>
          <w:sz w:val="20"/>
          <w:szCs w:val="20"/>
          <w:color w:val="auto"/>
        </w:rPr>
      </w:pPr>
    </w:p>
    <w:p>
      <w:pPr>
        <w:jc w:val="both"/>
        <w:ind w:left="420" w:hanging="250"/>
        <w:spacing w:after="0" w:line="256" w:lineRule="auto"/>
        <w:tabs>
          <w:tab w:leader="none" w:pos="4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we evaluated our marine transportation business for impairment due to a further deterioration of demand for such services, which resulted in lower-than-expected term and spot rates. As a result of our review, we recognized an impairment charge of $114 million. The impairment charge reduced property, plant and equipment by $113 million and intangible assets by $1 million. We determined the fair value using an income approach (i.e., a discounted cash flow approach), which incorporates Level 3 inputs including: (i) management’s long-term forecast of cash flows generated by the business; (ii) a discount rate of 8.7%, which is based on an estimated weighted-average cost of capital for market participants engaged in similar business activities; and (iii) a growth rate of 2.2% for terminal year cash flows.</w:t>
      </w:r>
    </w:p>
    <w:p>
      <w:pPr>
        <w:spacing w:after="0" w:line="187"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entered into agreements to sell a coal bed natural gas gathering system and related Val Verde treating facility, both of which were components of our San Juan Gathering System, to a third party for $39 million in cash. The transaction closed and was effective on April 1, 2021. We recognized an impairment charge of $44 million attributable to this transaction, which reflects the write down of $37 million of property, plant and equipment and $7 million of intangible assets to their respective fair values.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our impairment charges for the years ended December 31, 2023, 2022 and 2021 are attributable to the complete write-off of assets that are no longer expected to be used or constructed.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Investments in Unconsolidated Affiliates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investments in unconsolidated affiliates by business segment at the dates indicated. We account for these investments using the equity method.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280" w:type="dxa"/>
            <w:vAlign w:val="bottom"/>
          </w:tcPr>
          <w:p>
            <w:pPr>
              <w:spacing w:after="0"/>
              <w:rPr>
                <w:sz w:val="12"/>
                <w:szCs w:val="12"/>
                <w:color w:val="auto"/>
              </w:rPr>
            </w:pPr>
          </w:p>
        </w:tc>
        <w:tc>
          <w:tcPr>
            <w:tcW w:w="17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20" w:type="dxa"/>
            <w:vAlign w:val="bottom"/>
          </w:tcPr>
          <w:p>
            <w:pPr>
              <w:spacing w:after="0"/>
              <w:rPr>
                <w:sz w:val="14"/>
                <w:szCs w:val="14"/>
                <w:color w:val="auto"/>
              </w:rPr>
            </w:pPr>
          </w:p>
        </w:tc>
        <w:tc>
          <w:tcPr>
            <w:tcW w:w="148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14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8"/>
        </w:trPr>
        <w:tc>
          <w:tcPr>
            <w:tcW w:w="68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Venice Energy Service Company, L.L.C. (“VESCO”)</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K/D/S Promix, L.L.C. (“Promix”)</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Baton Rouge Fractionators LLC (“BRF”)</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Skelly-Belvieu Pipeline Company, L.L.C. (“Skelly-Belvieu”)</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Texas Express Pipeline LLC (“Texas Express”)</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49"/>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Texas Express Gathering LLC (“TEG”)</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Front Range Pipeline LLC (“Front Range”)</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Seaway Crude Holdings LLC (“Seaway”)</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48"/>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Eagle Ford Pipeline LLC (“Eagle Ford Crude Oil Pipeline”)</w:t>
            </w:r>
          </w:p>
        </w:tc>
        <w:tc>
          <w:tcPr>
            <w:tcW w:w="14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6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Eagle Ford Terminals Corpus Christi LLC (“Eagle Ford Corpus Christi”)</w:t>
            </w:r>
          </w:p>
        </w:tc>
        <w:tc>
          <w:tcPr>
            <w:tcW w:w="14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White River Hub, LLC (“White River Hub”)</w:t>
            </w:r>
          </w:p>
        </w:tc>
        <w:tc>
          <w:tcPr>
            <w:tcW w:w="148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Old Ocean Pipeline, LLC (“Old Ocean”)</w:t>
            </w: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Baton Rouge Propylene Concentrator LLC (“BRPC”)</w:t>
            </w:r>
          </w:p>
        </w:tc>
        <w:tc>
          <w:tcPr>
            <w:tcW w:w="14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Transport 4, LLC (“Transport 4”)</w:t>
            </w:r>
          </w:p>
        </w:tc>
        <w:tc>
          <w:tcPr>
            <w:tcW w:w="1480" w:type="dxa"/>
            <w:vAlign w:val="bottom"/>
            <w:tcBorders>
              <w:bottom w:val="single" w:sz="8" w:color="CCEEFF"/>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6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Pr>
          <w:p>
            <w:pPr>
              <w:spacing w:after="0"/>
              <w:rPr>
                <w:sz w:val="18"/>
                <w:szCs w:val="18"/>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2,330</w:t>
            </w:r>
          </w:p>
        </w:tc>
        <w:tc>
          <w:tcPr>
            <w:tcW w:w="6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NGL Pipelines &amp; Services segment is described as follows:</w:t>
      </w:r>
    </w:p>
    <w:p>
      <w:pPr>
        <w:spacing w:after="0" w:line="223"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VESCO </w:t>
      </w:r>
      <w:r>
        <w:rPr>
          <w:rFonts w:ascii="Times New Roman" w:cs="Times New Roman" w:eastAsia="Times New Roman" w:hAnsi="Times New Roman"/>
          <w:sz w:val="18"/>
          <w:szCs w:val="18"/>
          <w:color w:val="auto"/>
        </w:rPr>
        <w:t>owns the Venice natural gas processing facility and a related gathering system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Promix </w:t>
      </w:r>
      <w:r>
        <w:rPr>
          <w:rFonts w:ascii="Times New Roman" w:cs="Times New Roman" w:eastAsia="Times New Roman" w:hAnsi="Times New Roman"/>
          <w:sz w:val="18"/>
          <w:szCs w:val="18"/>
          <w:color w:val="auto"/>
        </w:rPr>
        <w:t>owns an NGL fractionation facility and a related gathering system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BRF </w:t>
      </w:r>
      <w:r>
        <w:rPr>
          <w:rFonts w:ascii="Times New Roman" w:cs="Times New Roman" w:eastAsia="Times New Roman" w:hAnsi="Times New Roman"/>
          <w:sz w:val="18"/>
          <w:szCs w:val="18"/>
          <w:color w:val="auto"/>
        </w:rPr>
        <w:t>owns an NGL fractionation facility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Skelly-Belvieu </w:t>
      </w:r>
      <w:r>
        <w:rPr>
          <w:rFonts w:ascii="Times New Roman" w:cs="Times New Roman" w:eastAsia="Times New Roman" w:hAnsi="Times New Roman"/>
          <w:sz w:val="18"/>
          <w:szCs w:val="18"/>
          <w:color w:val="auto"/>
        </w:rPr>
        <w:t>owns a pipeline that transports mixed NGLs from Skellytown, Texas to Chambers County, Texas.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Texas Express </w:t>
      </w:r>
      <w:r>
        <w:rPr>
          <w:rFonts w:ascii="Times New Roman" w:cs="Times New Roman" w:eastAsia="Times New Roman" w:hAnsi="Times New Roman"/>
          <w:sz w:val="18"/>
          <w:szCs w:val="18"/>
          <w:color w:val="auto"/>
        </w:rPr>
        <w:t>owns an NGL pipeline that extends from Skellytown, Texas to our Chambers County NGL fractionation and storage complex. Mixed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NGLs from the Rocky Mountains, Permian Basin and Mid-Continent regions are delivered to the Texas Express Pipeline via an interconnect with our Mid-America Pipeline System near Skellytown. In addition, the Texas Express Pipeline transports mixed NGLs gathered by Texas Express Gathering System. Also, mixed NGLs originating from the Denver-Julesburg (“DJ”) Basin in Colorado are transported to the Texas Express Pipeline using the Front Range Pipeline.</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TEG </w:t>
      </w:r>
      <w:r>
        <w:rPr>
          <w:rFonts w:ascii="Times New Roman" w:cs="Times New Roman" w:eastAsia="Times New Roman" w:hAnsi="Times New Roman"/>
          <w:sz w:val="18"/>
          <w:szCs w:val="18"/>
          <w:color w:val="auto"/>
        </w:rPr>
        <w:t>owns two NGL gathering systems that deliver mixed NGLs to the Texas Express Pipeline.</w:t>
      </w:r>
    </w:p>
    <w:p>
      <w:pPr>
        <w:spacing w:after="0" w:line="225"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Front Range </w:t>
      </w:r>
      <w:r>
        <w:rPr>
          <w:rFonts w:ascii="Times New Roman" w:cs="Times New Roman" w:eastAsia="Times New Roman" w:hAnsi="Times New Roman"/>
          <w:sz w:val="18"/>
          <w:szCs w:val="18"/>
          <w:color w:val="auto"/>
        </w:rPr>
        <w:t>owns an NGL pipeline that transports mixed NGLs from natural gas processing facilities located in the DJ Basin to an interconnect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Texas Express Pipeline and Mid-America Pipeline System and other third party facilities near Skellytown, Texas.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Crude Oil Pipelines &amp; Services segment is described as follows:</w:t>
      </w:r>
    </w:p>
    <w:p>
      <w:pPr>
        <w:spacing w:after="0" w:line="223" w:lineRule="exact"/>
        <w:rPr>
          <w:sz w:val="20"/>
          <w:szCs w:val="20"/>
          <w:color w:val="auto"/>
        </w:rPr>
      </w:pPr>
    </w:p>
    <w:p>
      <w:pPr>
        <w:jc w:val="both"/>
        <w:ind w:left="340" w:hanging="332"/>
        <w:spacing w:after="0" w:line="267"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Seaway </w:t>
      </w:r>
      <w:r>
        <w:rPr>
          <w:rFonts w:ascii="Times New Roman" w:cs="Times New Roman" w:eastAsia="Times New Roman" w:hAnsi="Times New Roman"/>
          <w:sz w:val="18"/>
          <w:szCs w:val="18"/>
          <w:color w:val="auto"/>
        </w:rPr>
        <w:t>owns a crude oil pipeline system that connects the Cushing, Oklahoma hub, which is a major industry trading hub and price settlement 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West Texas Intermediate on the NYMEX, with markets in Southeast Texas. The Seaway Pipeline is comprised of the Longhaul System, the Freeport System and the Texas City System.</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Eagle Ford Crude Oil Pipeline </w:t>
      </w:r>
      <w:r>
        <w:rPr>
          <w:rFonts w:ascii="Times New Roman" w:cs="Times New Roman" w:eastAsia="Times New Roman" w:hAnsi="Times New Roman"/>
          <w:sz w:val="18"/>
          <w:szCs w:val="18"/>
          <w:color w:val="auto"/>
        </w:rPr>
        <w:t>owns a pipeline that transports crude oil and condensate for producers in South Texas. The system originates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Gardendale, Texas and extends to Corpus Christi, Texas. The system interconnects with our South Texas Crude Oil Pipeline System and a marine terminal owned by Eagle Ford Corpus Christi.</w:t>
      </w:r>
    </w:p>
    <w:p>
      <w:pPr>
        <w:spacing w:after="0" w:line="173"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Eagle Ford Corpus Christi </w:t>
      </w:r>
      <w:r>
        <w:rPr>
          <w:rFonts w:ascii="Times New Roman" w:cs="Times New Roman" w:eastAsia="Times New Roman" w:hAnsi="Times New Roman"/>
          <w:sz w:val="18"/>
          <w:szCs w:val="18"/>
          <w:color w:val="auto"/>
        </w:rPr>
        <w:t>owns a marine crude oil terminal located in Corpus Christi, Texas that can load ocean-going vessels with either crude oil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Natural Gas Pipelines &amp; Services segment is described as follows:</w:t>
      </w:r>
    </w:p>
    <w:p>
      <w:pPr>
        <w:spacing w:after="0" w:line="223"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White River Hub </w:t>
      </w:r>
      <w:r>
        <w:rPr>
          <w:rFonts w:ascii="Times New Roman" w:cs="Times New Roman" w:eastAsia="Times New Roman" w:hAnsi="Times New Roman"/>
          <w:sz w:val="18"/>
          <w:szCs w:val="18"/>
          <w:color w:val="auto"/>
        </w:rPr>
        <w:t>owns a natural gas hub facility serving producers in the Piceance Basin of northwest Colorado.</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Old Ocean </w:t>
      </w:r>
      <w:r>
        <w:rPr>
          <w:rFonts w:ascii="Times New Roman" w:cs="Times New Roman" w:eastAsia="Times New Roman" w:hAnsi="Times New Roman"/>
          <w:sz w:val="18"/>
          <w:szCs w:val="18"/>
          <w:color w:val="auto"/>
        </w:rPr>
        <w:t>owns a natural gas pipeline that extends from near Maypearl, Texas to Sweeny, Texas.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activity of each investee included in our Petrochemical &amp; Refined Products Services segment is described as follows:</w:t>
      </w:r>
    </w:p>
    <w:p>
      <w:pPr>
        <w:spacing w:after="0" w:line="223"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BRPC </w:t>
      </w:r>
      <w:r>
        <w:rPr>
          <w:rFonts w:ascii="Times New Roman" w:cs="Times New Roman" w:eastAsia="Times New Roman" w:hAnsi="Times New Roman"/>
          <w:sz w:val="18"/>
          <w:szCs w:val="18"/>
          <w:color w:val="auto"/>
        </w:rPr>
        <w:t>owns a propylene fractionation facility located in south Louisiana.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Transport 4 </w:t>
      </w:r>
      <w:r>
        <w:rPr>
          <w:rFonts w:ascii="Times New Roman" w:cs="Times New Roman" w:eastAsia="Times New Roman" w:hAnsi="Times New Roman"/>
          <w:sz w:val="18"/>
          <w:szCs w:val="18"/>
          <w:color w:val="auto"/>
        </w:rPr>
        <w:t>provides pipeline and terminal logistics services used by our refined products pipelines.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equity in income of unconsolidated affiliates by business segment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intangible assets by business segment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4"/>
        </w:trPr>
        <w:tc>
          <w:tcPr>
            <w:tcW w:w="328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60" w:type="dxa"/>
            <w:vAlign w:val="bottom"/>
          </w:tcPr>
          <w:p>
            <w:pPr>
              <w:jc w:val="right"/>
              <w:ind w:right="20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40" w:type="dxa"/>
            <w:vAlign w:val="bottom"/>
          </w:tcPr>
          <w:p>
            <w:pPr>
              <w:jc w:val="center"/>
              <w:ind w:right="10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0"/>
                <w:szCs w:val="10"/>
                <w:color w:val="auto"/>
              </w:rPr>
            </w:pPr>
          </w:p>
        </w:tc>
      </w:tr>
      <w:tr>
        <w:trPr>
          <w:trHeight w:val="180"/>
        </w:trPr>
        <w:tc>
          <w:tcPr>
            <w:tcW w:w="3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642</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665</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(373)</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828</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865</w:t>
            </w:r>
          </w:p>
        </w:tc>
      </w:tr>
      <w:tr>
        <w:trPr>
          <w:trHeight w:val="216"/>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1,764</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(805)</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1,673</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(702)</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1,776</w:t>
            </w:r>
          </w:p>
        </w:tc>
      </w:tr>
      <w:tr>
        <w:trPr>
          <w:trHeight w:val="216"/>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762</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432</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444</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(834)</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1,158</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(783)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1,206</w:t>
            </w:r>
          </w:p>
        </w:tc>
      </w:tr>
      <w:tr>
        <w:trPr>
          <w:trHeight w:val="216"/>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r>
      <w:tr>
        <w:trPr>
          <w:trHeight w:val="27"/>
        </w:trPr>
        <w:tc>
          <w:tcPr>
            <w:tcW w:w="3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Segment total</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118</w:t>
            </w:r>
          </w:p>
        </w:tc>
      </w:tr>
      <w:tr>
        <w:trPr>
          <w:trHeight w:val="27"/>
        </w:trPr>
        <w:tc>
          <w:tcPr>
            <w:tcW w:w="3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intangible assets</w:t>
            </w:r>
          </w:p>
        </w:tc>
        <w:tc>
          <w:tcPr>
            <w:tcW w:w="780" w:type="dxa"/>
            <w:vAlign w:val="bottom"/>
          </w:tcPr>
          <w:p>
            <w:pPr>
              <w:jc w:val="right"/>
              <w:ind w:right="65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(2,127)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3,770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(1,926)</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3,965</w:t>
            </w:r>
          </w:p>
        </w:tc>
      </w:tr>
      <w:tr>
        <w:trPr>
          <w:trHeight w:val="20"/>
        </w:trPr>
        <w:tc>
          <w:tcPr>
            <w:tcW w:w="3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of our intangible assets by business segment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forecast of amortization expense associated with existing intangible assets for the years indicated:</w:t>
      </w:r>
    </w:p>
    <w:p>
      <w:pPr>
        <w:spacing w:after="0" w:line="286" w:lineRule="exact"/>
        <w:rPr>
          <w:sz w:val="20"/>
          <w:szCs w:val="20"/>
          <w:color w:val="auto"/>
        </w:rPr>
      </w:pPr>
    </w:p>
    <w:tbl>
      <w:tblPr>
        <w:tblLayout w:type="fixed"/>
        <w:tblInd w:w="2260" w:type="dxa"/>
        <w:tblCellMar>
          <w:top w:w="0" w:type="dxa"/>
          <w:left w:w="0" w:type="dxa"/>
          <w:bottom w:w="0" w:type="dxa"/>
          <w:right w:w="0" w:type="dxa"/>
        </w:tblCellMar>
      </w:tblPr>
      <w:tr>
        <w:trPr>
          <w:trHeight w:val="180"/>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5"/>
                <w:szCs w:val="15"/>
                <w:color w:val="auto"/>
              </w:rPr>
            </w:pPr>
          </w:p>
        </w:tc>
      </w:tr>
      <w:tr>
        <w:trPr>
          <w:trHeight w:val="216"/>
        </w:trPr>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8"/>
                <w:szCs w:val="18"/>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relationship intangible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relationship intangible assets represent the estimated economic value assigned to commercial relationships acquired in connection with business combinations. Our customer relationship intangible assets are classified as either (i) basin-specific or (ii) general. Basin-specific customer relationships represent access to customers associated with a defined resource basin (e.g., customers using a natural gas gathering system serving a specific production field) and is analogous to having a franchise in a particular area. General customer relationships are associated with customers whose hydrocarbon volumes are not attributable to specific resource basins (e.g., customers at a marine terminal that handles volumes originating from multiple sources).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 of each customer relationship intangible asset was determined at the time of acquisition using a discounted cash flow analysis, which incorporates various assumptions regarding the acquired business. The assumptions may include Level 3 fair value inputs, including long-range cash flow forecasts that extend for the estimated economic life of the hydrocarbon resource base served by the asset network, anticipated service contract renewals, resource base depletion rates and expected customer attrition rates.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recognition of customer relationships are supported by a variety of factors. In general, midstream infrastructure requires a significant investment, both in terms of initial construction costs and ongoing maintenance, and is generally supported by long-term contracts that establish a customer base. The level of expenditures and regulatory requirements involved in constructing new midstream asset networks can create significant economic barriers to entry that may limit potential competition. Furthermore, efficient, continuous operation of the acquired fixed assets not only supports the commercial relationships existing at the time of the acquisition, but it provides us with opportunities to establish new ones. These factors support the long-term value attributed to our customer relationship intangible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amortization periods, the duration of a basin-specific customer relationship is limited to the estimated economic life of the associated resource basin. The duration of our other customer relationships is typically limited to the term of the underlying service contracts, including assumed renewals. Amortization expense attributable to customer relationships is recorded in a manner that closely resembles the pattern in which we expect to benefit from such relationships.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carrying value of our portfolio of customer relationship intangible assets was $2.7 billion, the principal components of which were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1420" w:type="dxa"/>
            <w:vAlign w:val="bottom"/>
          </w:tcPr>
          <w:p>
            <w:pPr>
              <w:jc w:val="center"/>
              <w:ind w:right="128"/>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120" w:type="dxa"/>
            <w:vAlign w:val="bottom"/>
          </w:tcPr>
          <w:p>
            <w:pPr>
              <w:spacing w:after="0"/>
              <w:rPr>
                <w:sz w:val="10"/>
                <w:szCs w:val="10"/>
                <w:color w:val="auto"/>
              </w:rPr>
            </w:pPr>
          </w:p>
        </w:tc>
        <w:tc>
          <w:tcPr>
            <w:tcW w:w="1420" w:type="dxa"/>
            <w:vAlign w:val="bottom"/>
          </w:tcPr>
          <w:p>
            <w:pPr>
              <w:jc w:val="center"/>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0"/>
                <w:szCs w:val="10"/>
                <w:color w:val="auto"/>
              </w:rPr>
            </w:pPr>
          </w:p>
        </w:tc>
        <w:tc>
          <w:tcPr>
            <w:tcW w:w="1220" w:type="dxa"/>
            <w:vAlign w:val="bottom"/>
          </w:tcPr>
          <w:p>
            <w:pPr>
              <w:jc w:val="right"/>
              <w:ind w:right="548"/>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380" w:type="dxa"/>
            <w:vAlign w:val="bottom"/>
          </w:tcPr>
          <w:p>
            <w:pPr>
              <w:jc w:val="right"/>
              <w:ind w:right="30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0"/>
                <w:szCs w:val="10"/>
                <w:color w:val="auto"/>
              </w:rPr>
            </w:pPr>
          </w:p>
        </w:tc>
        <w:tc>
          <w:tcPr>
            <w:tcW w:w="1220" w:type="dxa"/>
            <w:vAlign w:val="bottom"/>
          </w:tcPr>
          <w:p>
            <w:pPr>
              <w:jc w:val="right"/>
              <w:ind w:right="38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FFFFFF"/>
              </w:rPr>
              <w:t>a</w:t>
            </w:r>
          </w:p>
        </w:tc>
        <w:tc>
          <w:tcPr>
            <w:tcW w:w="14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5"/>
                <w:szCs w:val="15"/>
                <w:color w:val="auto"/>
              </w:rPr>
            </w:pP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3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Basin-specific customer relationships:</w:t>
            </w:r>
          </w:p>
        </w:tc>
        <w:tc>
          <w:tcPr>
            <w:tcW w:w="1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EFS Midstream (acquired 2015)</w:t>
            </w:r>
          </w:p>
        </w:tc>
        <w:tc>
          <w:tcPr>
            <w:tcW w:w="14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18.4 years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Line and Fairplay (acquired 2010)</w:t>
            </w:r>
          </w:p>
        </w:tc>
        <w:tc>
          <w:tcPr>
            <w:tcW w:w="14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23.2 years</w:t>
            </w:r>
          </w:p>
        </w:tc>
        <w:tc>
          <w:tcPr>
            <w:tcW w:w="30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895</w:t>
            </w:r>
          </w:p>
        </w:tc>
        <w:tc>
          <w:tcPr>
            <w:tcW w:w="220" w:type="dxa"/>
            <w:vAlign w:val="bottom"/>
          </w:tcPr>
          <w:p>
            <w:pPr>
              <w:spacing w:after="0"/>
              <w:rPr>
                <w:sz w:val="18"/>
                <w:szCs w:val="18"/>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(302)</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Gathering (acquired 2004)</w:t>
            </w:r>
          </w:p>
        </w:tc>
        <w:tc>
          <w:tcPr>
            <w:tcW w:w="14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15.8 years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General customer relationships: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Oiltanking (acquired 2014)</w:t>
            </w:r>
          </w:p>
        </w:tc>
        <w:tc>
          <w:tcPr>
            <w:tcW w:w="14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20.0 years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2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EFS Midstream</w:t>
      </w:r>
      <w:r>
        <w:rPr>
          <w:rFonts w:ascii="Times New Roman" w:cs="Times New Roman" w:eastAsia="Times New Roman" w:hAnsi="Times New Roman"/>
          <w:sz w:val="18"/>
          <w:szCs w:val="18"/>
          <w:color w:val="auto"/>
        </w:rPr>
        <w:t xml:space="preserve"> customer relationships provide us with long-term access to condensate and natural gas producers in the Eagle Ford Shale served by our EFS Midstream System. The EFS Midstream System provides condensate gathering and processing services along with gathering, treating and compression services for associated natural gas.</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State Line and Fairplay</w:t>
      </w:r>
      <w:r>
        <w:rPr>
          <w:rFonts w:ascii="Times New Roman" w:cs="Times New Roman" w:eastAsia="Times New Roman" w:hAnsi="Times New Roman"/>
          <w:sz w:val="18"/>
          <w:szCs w:val="18"/>
          <w:color w:val="auto"/>
        </w:rPr>
        <w:t xml:space="preserve"> customer relationships provide us with long-term access to natural gas producers served by our Haynesville and Fairplay Gathering Systems. The Haynesville Gathering System gathers and treats natural gas produced from the Haynesville and Bossier Shale supply basins and the Cotton Valley and Taylor Sand formations in Louisiana and East Texas. The Fairplay Gathering System gathers natural gas produced from the Cotton Valley formation in East Texas.</w:t>
      </w:r>
    </w:p>
    <w:p>
      <w:pPr>
        <w:spacing w:after="0" w:line="179"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San Juan Gathering</w:t>
      </w:r>
      <w:r>
        <w:rPr>
          <w:rFonts w:ascii="Times New Roman" w:cs="Times New Roman" w:eastAsia="Times New Roman" w:hAnsi="Times New Roman"/>
          <w:sz w:val="18"/>
          <w:szCs w:val="18"/>
          <w:color w:val="auto"/>
        </w:rPr>
        <w:t xml:space="preserve"> customer relationships provide us with long-term access to natural gas producers in the San Juan Basin served by our San Juan Gathering System.</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Oiltanking</w:t>
      </w:r>
      <w:r>
        <w:rPr>
          <w:rFonts w:ascii="Times New Roman" w:cs="Times New Roman" w:eastAsia="Times New Roman" w:hAnsi="Times New Roman"/>
          <w:sz w:val="18"/>
          <w:szCs w:val="18"/>
          <w:color w:val="auto"/>
        </w:rPr>
        <w:t xml:space="preserve"> customer relationships provide us with long-term access to crude oil and refined products storage and terminal customers served at our Houston Ship Channel and Beaumont, Texas terminals.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Contract-based intangible assets</w:t>
      </w:r>
    </w:p>
    <w:p>
      <w:pPr>
        <w:spacing w:after="0" w:line="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Contract-based intangible assets represent specific commercial rights we acquired in connection with business combinations. These intangible assets are typically valued using an income approach that incorporate the terms of the agreements. At December 31, 2023, the carrying value of our portfolio of contract-based intangible assets was $1.1 billion, the principal components of which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tcPr>
          <w:p>
            <w:pPr>
              <w:spacing w:after="0"/>
              <w:rPr>
                <w:sz w:val="13"/>
                <w:szCs w:val="13"/>
                <w:color w:val="auto"/>
              </w:rPr>
            </w:pPr>
          </w:p>
        </w:tc>
        <w:tc>
          <w:tcPr>
            <w:tcW w:w="11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200" w:type="dxa"/>
            <w:vAlign w:val="bottom"/>
          </w:tcPr>
          <w:p>
            <w:pPr>
              <w:spacing w:after="0"/>
              <w:rPr>
                <w:sz w:val="10"/>
                <w:szCs w:val="10"/>
                <w:color w:val="auto"/>
              </w:rPr>
            </w:pPr>
          </w:p>
        </w:tc>
        <w:tc>
          <w:tcPr>
            <w:tcW w:w="11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548"/>
              <w:spacing w:after="0" w:line="124"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0"/>
                <w:szCs w:val="10"/>
                <w:color w:val="auto"/>
              </w:rPr>
            </w:pPr>
          </w:p>
        </w:tc>
        <w:tc>
          <w:tcPr>
            <w:tcW w:w="1420" w:type="dxa"/>
            <w:vAlign w:val="bottom"/>
          </w:tcPr>
          <w:p>
            <w:pPr>
              <w:jc w:val="right"/>
              <w:ind w:right="32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160" w:type="dxa"/>
            <w:vAlign w:val="bottom"/>
          </w:tcPr>
          <w:p>
            <w:pPr>
              <w:jc w:val="right"/>
              <w:ind w:right="348"/>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FFFFFF"/>
              </w:rPr>
              <w:t>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4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Navitas Midstream customer contracts</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 years</w:t>
            </w:r>
          </w:p>
        </w:tc>
        <w:tc>
          <w:tcPr>
            <w:tcW w:w="50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3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Jonah natural gas gathering agreements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18.0 years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 Basin natural gas processing contracts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 years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55" w:lineRule="auto"/>
        <w:tabs>
          <w:tab w:leader="none" w:pos="2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Navitas Midstream customer contracts</w:t>
      </w:r>
      <w:r>
        <w:rPr>
          <w:rFonts w:ascii="Times New Roman" w:cs="Times New Roman" w:eastAsia="Times New Roman" w:hAnsi="Times New Roman"/>
          <w:sz w:val="18"/>
          <w:szCs w:val="18"/>
          <w:color w:val="auto"/>
        </w:rPr>
        <w:t>, which we acquired in connection with our acquisition of Navitas Midstream Partners, LLC (“Navitas Midstream”) in February 2022, represents the estimated value we assigned to the acquired long-term contracts with customers that dedicate future lease production to our system. The estimated fair value of the acquired contract-based intangible assets was determined using an income approach, specifically a discounted cash flow analysis. The fair value estimate incorporates Level 3 inputs including: (i) management’s long-term forecast of cash flows generated by the Midland Basin System based on the estimated economic life of the hydrocarbon resource basin served and resource depletion rates; and (ii) a discount rate of 15.5%, which is based on a benchmarking analysis with reference to the implied rate of return on the Navitas Midstream acquisition and a market participant weighted average cost of capital. The estimated useful life of the acquired contract-based intangible asset is 30 years. Amortization expense attributable to these contracts is recorded using a units-of-production method based on gathering volumes.</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Jonah natural gas gathering agreements</w:t>
      </w:r>
      <w:r>
        <w:rPr>
          <w:rFonts w:ascii="Times New Roman" w:cs="Times New Roman" w:eastAsia="Times New Roman" w:hAnsi="Times New Roman"/>
          <w:sz w:val="18"/>
          <w:szCs w:val="18"/>
          <w:color w:val="auto"/>
        </w:rPr>
        <w:t xml:space="preserve"> represent the estimated value we assigned to natural gas gathering contracts acquired in 2001 associated with the Jonah Gathering System. Amortization expense attributable to these intangible assets is recorded using a units-of-production method based on gathering volumes.</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Delaware Basin natural gas processing contracts</w:t>
      </w:r>
      <w:r>
        <w:rPr>
          <w:rFonts w:ascii="Times New Roman" w:cs="Times New Roman" w:eastAsia="Times New Roman" w:hAnsi="Times New Roman"/>
          <w:sz w:val="18"/>
          <w:szCs w:val="18"/>
          <w:color w:val="auto"/>
        </w:rPr>
        <w:t xml:space="preserve"> represent the estimated value we assigned to natural gas processing contracts we acquired in 2018 in connection with our step acquisition of the remaining 50% member interest in Delaware Basin Gas Processing LLC. Amortization expense attributable to these contracts is recorded using a straight-line approach over the terms of the underlying contracts.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represents the cost of acquired businesses in excess of the fair value of their net assets at acquisition. The following table presents changes in the carrying amount of goodwill by business segment during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Petrochemical</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&amp; Refined</w:t>
            </w: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2021 </w:t>
            </w: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2,652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5,449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Goodwill related to acquisition (2)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2022 </w:t>
            </w: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5,608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2023 </w:t>
            </w:r>
            <w:r>
              <w:rPr>
                <w:rFonts w:ascii="Times New Roman" w:cs="Times New Roman" w:eastAsia="Times New Roman" w:hAnsi="Times New Roman"/>
                <w:sz w:val="14"/>
                <w:szCs w:val="14"/>
                <w:color w:val="auto"/>
              </w:rPr>
              <w:t>(1)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jc w:val="both"/>
        <w:ind w:left="400" w:hanging="392"/>
        <w:spacing w:after="0" w:line="229" w:lineRule="auto"/>
        <w:tabs>
          <w:tab w:leader="none" w:pos="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presented net of historical accumulated impairment losses of $296 million for the Natural Gas Pipelines &amp; Service segment and $1 million for the Petrochemical &amp; Refined Products Services segment. There have been no goodwill impairment charges recognized for the reporting units within the NGL Pipelines &amp; Services and Crude Oil Pipelines &amp; Services segments.</w:t>
      </w:r>
    </w:p>
    <w:p>
      <w:pPr>
        <w:ind w:left="400" w:hanging="392"/>
        <w:spacing w:after="0" w:line="239" w:lineRule="auto"/>
        <w:tabs>
          <w:tab w:leader="none" w:pos="4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the goodwill recognized in connection with our acquisition of Navitas Midstream in February 2022. In general, we attribute this goodwill to our ability to leverage the acquired business with our existing NGL asset base to create future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consolidated debt obligations (arranged by company and maturity date)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EPO senior debt obligations: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 Notes, variable-rates</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HH, 3.35% fixed-rate, due March 2023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JJ, 3.90% fixed-rate, due February 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2023 $1.5 Billion 364-Day Revolving Credit Agreement, variable-rate, due March 2024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MM, 3.75% fixed-rate, due February 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FFF, 5.05% fixed-rate, due January 2026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PP, 3.70% fixed-rate, due February 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SS, 3.95% fixed-rate, due February 2027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March 2023 $2.7 Billion Multi-Year Revolving Credit Agreement, variable-rate, due March 2028 (2)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WW, 4.15% fixed-rate, due October 2028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YY, 3.125% fixed-rate, due July 2029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AAA, 2.80% fixed-rate, due January 2030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GGG, 5.35% fixed-rate, due January 2033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D, 6.875% fixed-rate, due March 2033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H, 6.65% fixed-rate, due October 2034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J, 5.75% fixed-rate, due March 2035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W, 7.55% fixed-rate, due April 2038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R, 6.125% fixed-rate, due October 2039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Z, 6.45% fixed-rate, due September 2040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BB, 5.95% fixed-rate, due February 2041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DD, 5.70% fixed-rate, due February 2042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EE, 4.85% fixed-rate, due August 2042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GG, 4.45% fixed-rate, due February 2043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II, 4.85% fixed-rate, due March 2044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KK, 5.10% fixed-rate, due February 2045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QQ, 4.90% fixed-rate, due May 2046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UU, 4.25% fixed-rate, due February 2048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XX, 4.80% fixed-rate, due February 2049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ZZ, 4.20% fixed-rate, due January 2050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BBB, 3.70% fixed-rate, due January 2051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DDD, 3.20% fixed-rate, due February 2052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EEE, 3.30% fixed-rate, due February 2053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Senior Notes NN, 4.95% fixed-rate, due October 2054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CCC, 3.95% fixed-rate, due January 2060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principal amount of senior debt obligations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C, variable-rate, due June 2067 </w:t>
            </w:r>
            <w:r>
              <w:rPr>
                <w:rFonts w:ascii="Times New Roman" w:cs="Times New Roman" w:eastAsia="Times New Roman" w:hAnsi="Times New Roman"/>
                <w:sz w:val="14"/>
                <w:szCs w:val="14"/>
                <w:color w:val="auto"/>
              </w:rPr>
              <w:t>(3)(7)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D, variable-rate, due August 2077 </w:t>
            </w:r>
            <w:r>
              <w:rPr>
                <w:rFonts w:ascii="Times New Roman" w:cs="Times New Roman" w:eastAsia="Times New Roman" w:hAnsi="Times New Roman"/>
                <w:sz w:val="14"/>
                <w:szCs w:val="14"/>
                <w:color w:val="auto"/>
              </w:rPr>
              <w:t>(4)(7)</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E, fixed/variable-rate, due August 2077 </w:t>
            </w:r>
            <w:r>
              <w:rPr>
                <w:rFonts w:ascii="Times New Roman" w:cs="Times New Roman" w:eastAsia="Times New Roman" w:hAnsi="Times New Roman"/>
                <w:sz w:val="14"/>
                <w:szCs w:val="14"/>
                <w:color w:val="auto"/>
              </w:rPr>
              <w:t>(5)(7)</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EPO Junior Subordinated Notes F, fixed/variable-rate, due February 2078 </w:t>
            </w:r>
            <w:r>
              <w:rPr>
                <w:rFonts w:ascii="Times New Roman" w:cs="Times New Roman" w:eastAsia="Times New Roman" w:hAnsi="Times New Roman"/>
                <w:sz w:val="14"/>
                <w:szCs w:val="14"/>
                <w:color w:val="auto"/>
              </w:rPr>
              <w:t>(6)(7)</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TEPPCO Junior Subordinated Notes, variable-rate, due June 2067 </w:t>
            </w:r>
            <w:r>
              <w:rPr>
                <w:rFonts w:ascii="Times New Roman" w:cs="Times New Roman" w:eastAsia="Times New Roman" w:hAnsi="Times New Roman"/>
                <w:sz w:val="14"/>
                <w:szCs w:val="14"/>
                <w:color w:val="auto"/>
              </w:rPr>
              <w:t>(3)(7)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principal amount of senior and junior debt obligations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28,566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non-principal amounts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(273)</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Less current maturities of debt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long-term debt</w:t>
            </w: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agreement, EPO may borrow up to $1.5 billion (which may be increased by up to $200 million to $1.7 billion at EPO’s election provided certain conditions are met).</w:t>
      </w:r>
    </w:p>
    <w:p>
      <w:pPr>
        <w:spacing w:after="0" w:line="13"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agreement, EPO may borrow up to $2.7 billion (which may be increased by up to $500 million to $3.2 billion at EPO’s election provided certain conditions are met).</w:t>
      </w:r>
    </w:p>
    <w:p>
      <w:pPr>
        <w:ind w:left="340" w:right="20" w:hanging="332"/>
        <w:spacing w:after="0"/>
        <w:tabs>
          <w:tab w:leader="none" w:pos="3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Variable rate is reset quarterly and based on 3-month Chicago Mercantile Exchange (“CME”) Term Secured Overnight Financing Rate (“SOFR”) plus (a) a 0.26161% tenor spread adjustment and (b) 2.778%.</w:t>
      </w:r>
    </w:p>
    <w:p>
      <w:pPr>
        <w:spacing w:after="0" w:line="147"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Variable rate is reset quarterly and based on 3-month CME Term SOFR plus (a) a 0.26161% tenor spread adjustment and (b) 2.986%.</w:t>
      </w:r>
    </w:p>
    <w:p>
      <w:pPr>
        <w:ind w:left="340" w:hanging="332"/>
        <w:spacing w:after="0"/>
        <w:tabs>
          <w:tab w:leader="none" w:pos="3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Fixed rate of 5.250% through August 15, 2027; thereafter, a variable rate reset quarterly and based on 3-month CME Term SOFR plus (a) a 0.26161% tenor spread adjustment and (b) 3.033%.</w:t>
      </w:r>
    </w:p>
    <w:p>
      <w:pPr>
        <w:ind w:left="340" w:hanging="332"/>
        <w:spacing w:after="0"/>
        <w:tabs>
          <w:tab w:leader="none" w:pos="3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Fixed rate of 5.375% through February 14, 2028; thereafter, a variable rate reset quarterly and based on 3-month CME Term SOFR plus (a) a 0.26161% tenor spread adjustment and (b) 2.57%.</w:t>
      </w:r>
    </w:p>
    <w:p>
      <w:pPr>
        <w:ind w:left="340" w:hanging="332"/>
        <w:spacing w:after="0" w:line="255" w:lineRule="auto"/>
        <w:tabs>
          <w:tab w:leader="none" w:pos="3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July 1, 2023, all series of our junior subordinated notes subject to a variable interest rate replaced the 3-month London Interbank Offered Rate (“LIBOR”) with 3-month CME Term SOFR plus a 0.26161% tenor spread adjustment. See discussion below in “Variable Interest Rates” regarding the LIBOR replacement and LIBOR replacement rate.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“TEPPCO” mean TEPPCO Partners, L.P. prior to its merger with one of our wholly owned subsidiaries in October 2009.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Rates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range of interest rates and weighted-average interest rates paid on our consolidated variable-rate debt during the year ended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Interest</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80"/>
        </w:trPr>
        <w:tc>
          <w:tcPr>
            <w:tcW w:w="662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Rates Paid</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Paid</w:t>
            </w: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Commercial Paper Notes</w:t>
            </w:r>
          </w:p>
        </w:tc>
        <w:tc>
          <w:tcPr>
            <w:tcW w:w="2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4.59% to 5.65%</w:t>
            </w:r>
          </w:p>
        </w:tc>
        <w:tc>
          <w:tcPr>
            <w:tcW w:w="2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5.38%</w:t>
            </w: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EPO Junior Subordinated Notes C and TEPPCO Junior Subordinated Notes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7.54% to 8.45%</w:t>
            </w: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8.08%</w:t>
            </w: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EPO Junior Subordinated Notes D</w:t>
            </w:r>
          </w:p>
        </w:tc>
        <w:tc>
          <w:tcPr>
            <w:tcW w:w="2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7.63% to 8.64%</w:t>
            </w:r>
          </w:p>
        </w:tc>
        <w:tc>
          <w:tcPr>
            <w:tcW w:w="2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8.23%</w:t>
            </w:r>
          </w:p>
        </w:tc>
      </w:tr>
    </w:tbl>
    <w:p>
      <w:pPr>
        <w:spacing w:after="0" w:line="2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Amounts borrowed under EPO’s March 2023 $1.5 Billion 364-Day Revolving Credit Agreement and March 2023 $2.7 Billion Multi-Year Revolving Credit Agreement bear interest, at EPO’s election, equal to: (i) SOFR, plus an additional variable spread; or (ii) an alternate base rate, which is the greatest of (a) the Prime Rate in effect on such day, (b) the Federal Funds Effective Rate in effect on such day plus 0.5%, or (c) Adjusted Term SOFR for an interest period of one month in effect on such day plus 1%, and a variable spread. The applicable spreads are determined based on EPO's debt ratings.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In July 2017, the Financial Conduct Authority in the U.K. announced a desire to phase out LIBOR as a benchmark by the end of June 2023. In December 2022, the Board of Governors of the Federal Reserve System approved a final rule to implement the Adjustable Interest Rate (LIBOR) Act, which established benchmark replacements for certain contracts that reference various tenors of LIBOR and do not provide an alternative rate or would result in a rate that is expressed in terms of the last known value of LIBOR (typically referred to as a “frozen LIBOR” provision). The final rule became effective during the first quarter of 2023. As a result of the LIBOR Act, our Junior Subordinated Notes C and D and the TEPPCO Junior Subordinated Notes, which were subject to a variable rate (as defined by the applicable agreement) based on three-month LIBOR (in each case, a “LIBOR Rate”) through June 30, 2023, replaced the applicable LIBOR Rate with a variable rate based on the three-month CME Term SOFR as administered by the CME Group Benchmark Administration, Ltd. plus a 0.26161% tenor spread adjustment beginning on July 1, 2023. Additionally, our Junior Subordinated Notes E and F, which would have been subject to a variable rate (as defined by the applicable agreement) based on three-month LIBOR beginning in August 2027 and February 2028, respectively, will replace the applicable LIBOR Rate with the three-month CME Term SOFR plus a 0.26161% tenor spread adjustment. The foregoing tenor spread adjustment will be in addition to the applicable spread under the terms of each series of Junior Subordinated Notes. We do not expect the transition from LIBOR to have a material financial impact on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Scheduled Maturities of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scheduled maturities of principal amounts of EPO’s consolidated debt obligations at December 31, 2023 for the next five years, and in total thereafter: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Scheduled Maturities of Debt</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9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9"/>
                <w:szCs w:val="19"/>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 Notes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1,625</w:t>
            </w:r>
          </w:p>
        </w:tc>
        <w:tc>
          <w:tcPr>
            <w:tcW w:w="8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575</w:t>
            </w:r>
          </w:p>
        </w:tc>
        <w:tc>
          <w:tcPr>
            <w:tcW w:w="7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21,075</w:t>
            </w: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Notes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2,296</w:t>
            </w:r>
          </w:p>
        </w:tc>
      </w:tr>
      <w:tr>
        <w:trPr>
          <w:trHeight w:val="27"/>
        </w:trPr>
        <w:tc>
          <w:tcPr>
            <w:tcW w:w="19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29,021</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1,150</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1,625</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575</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23,371</w:t>
            </w:r>
          </w:p>
        </w:tc>
      </w:tr>
      <w:tr>
        <w:trPr>
          <w:trHeight w:val="20"/>
        </w:trPr>
        <w:tc>
          <w:tcPr>
            <w:tcW w:w="1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EPO Debt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Paper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EPO maintains a commercial paper program under which it may issue (and have outstanding at any time) up to $3.0 billion in aggregate principal amount of short-term notes. As a back-stop to the program, we intend to maintain a minimum aggregate available borrowing capacity under EPO’s revolving credit facilities equal to the aggregate amount outstanding under our commercial paper notes. All commercial paper notes issued under the program are senior unsecured obligations of EPO that are unconditionally guaranteed by the Partnership. As of December 31, 2023, EPO had $450 million aggregate principal amount of short-term notes outstanding under its commercial paper program.</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2023 $1.5 Billion 364-Day Revolving Credit Agreement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2023, EPO entered into a new $1.5 billion 364-Day Revolving Credit Agreement (the “March 2023 $1.5 Billion 364-Day Revolving Credit Agreement”) that replaced its September 2022 364-day revolving credit agreement. There were no principal amounts outstanding under the September 2022 364-day revolving credit agreement when it was replaced by the March 2023 $1.5 Billion 364-Day Revolving Credit Agreement. As of December 31, 2023, there were no principal amounts outstanding under the March 2023 $1.5 Billion 364-Day Revolving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March 2023 $1.5 Billion 364-Day Revolving Credit Agreement, EPO may borrow up to $1.5 billion (which may be increased by up to $200 million to $1.7 billion at EPO’s election, provided certain conditions are met) at a variable interest rate for a term of up to 364 days, subject to the terms and conditions set forth therein. The March 2023 $1.5 Billion 364-Day Revolving Credit Agreement matures in March 2024. To the extent that principal amounts are outstanding at the maturity date, EPO may elect to have the entire principal balance then outstanding continued as non-revolving term loans for a period of one additional year, payable in March 2025. Borrowings under the March 2023 $1.5 Billion 364-Day Revolving Credit Agreement may be used for working capital, capital expenditures, acquisitions and general company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March 2023 $1.5 Billion 364-Day Revolving Credit Agreement contains customary representations, warranties, covenants (affirmative and negative) and events of default, the occurrence of which would permit the lenders to accelerate the maturity date of any amounts borrowed under this credit agreement. The March 2023 $1.5 Billion 364-Day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EPO’s obligations under the March 2023 $1.5 Billion 364-Day Revolving Credit Agreement are not secured by any collateral; however, they are guaranteed by the Partnership.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2023 $2.7 Billion Multi-Year Revolving Credit Agreement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2023, EPO entered into a new revolving credit agreement that matures in March 2028 (the “March 2023 $2.7 Billion Multi-Year Revolving Credit Agreement”). The March 2023 $2.7 Billion Multi-Year Revolving Credit Agreement replaced EPO’s prior multi-year revolving credit agreement that was scheduled to mature in September 2026. There were no principal amounts outstanding under the prior multi-year revolving credit agreement when it was replaced by the March 2023 $2.7 Billion Multi-Year Revolving Credit Agreement. As of December 31, 2023, there were no principal amounts outstanding under the March 2023 $2.7 Billion Multi-Year Revolving Credit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March 2023 $2.7 Billion Multi-Year Revolving Credit Agreement, EPO may borrow up to $2.7 billion (which may be increased by up to $500 million to $3.2 billion at EPO’s election, provided certain conditions are met) at a variable interest rate for a term of five years, subject to the terms and conditions set forth therein. The March 2023 $2.7 Billion Multi-Year Revolving Credit Agreement matures in March 2028, although the maturity date may be extended at EPO’s request (up to two requests) for a one-year extension of the maturity date by delivering a request prior to the maturity date and with the consent of required lenders as set forth under the March 2023 $2.7 Billion Multi-Year Revolving Credit Agreement. Borrowings under the March 2023 $2.7 Billion Multi-Year Revolving Credit Agreement may be used for working capital, capital expenditures, acquisitions and general company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March 2023 $2.7 Billion Multi-Year Revolving Credit Agreement contains customary representations, warranties, covenants (affirmative and negative) and events of default, the occurrence of which would permit the lenders to accelerate the maturity date of any amounts borrowed under this credit agreement. The March 2023 $2.7 Billion Multi-Year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EPO’s obligations under the March 2023 $2.7 Billion Multi-Year Revolving Credit Agreement are not secured by any collateral; however, they are guaranteed by the Partnership.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EPO’s fixed-rate senior notes are unsecured obligations of EPO that rank equal with its existing and future unsecured and unsubordinated indebtedness. They are senior to any existing and future subordinated indebtedness of EPO. EPO’s senior notes are subject to make-whole redemption rights and were issued under indentures containing certain covenants, which generally restrict its ability (with certain exceptions) to incur debt secured by liens and engage in sale and leaseback transactions. In total, EPO issued $1.75 billion and $1.0 billion of senior notes during the years ended December 31, 2023 and 2021, respectively. EPO did not issue any senior notes during the year ended December 31,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EPO issued $1.75 billion aggregate principal amount of senior notes comprised of (i) $750 million principal amount of senior notes due January 2026 (“Senior Notes FFF”) and (ii) $1.0 billion principal amount of senior notes due January 2033 (“Senior Notes GGG”). Net proceeds from this offering were used by EPO for general company purposes, including for growth capital investments, and the repayment of debt (including the repayment of all of our $1.25 billion principal amount of 3.35% Senior Notes HH at their maturity in March 2023 and amounts outstanding under our commercial paper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EPO’s senior notes are unconditionally guaranteed on an unsecured and unsubordinated basis by the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Subsequent Events, for information regarding the issuance of Senior Notes HHH and III in January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EPO Junior Subordinated Notes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EPO’s payment obligations under its junior subordinated notes (“junior notes”) are subordinated to all of its current and future senior indebtedness. The indenture agreement governing the junior notes allows EPO to defer interest payments on one or more occasions for up to ten consecutive years subject to certain conditions. Subject to certain exceptions, during any period in which interest payments are deferred, neither the Partnership nor EPO can declare or make any distributions on any of our respective equity securities or make any payments on indebtedness or other obligations that rank equal with or are subordinate to the junior notes. Each series of EPO’s junior notes rank equal with each other and generally are not redeemable by EPO while such notes bear interest at a fixed annual rate.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EPO’s Junior Subordinated Notes C, EPO entered into a Replacement Capital Covenant in favor of covered debt holders (as defined in the underlying documents) pursuant to which EPO agreed, for the benefit of such debt holders, that it would not redeem or repurchase such junior notes unless such redemption or repurchase is made using proceeds from the issuance of certain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EPO’s junior notes are unconditionally guaranteed on an unsecured and subordinated basis by the Partnership.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EPO had $152 million of letters of credit outstanding primarily related to our commodity hedging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Lender Financial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the financial covenants of our consolidated debt agreements at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Parent-Subsidiary Guarantor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acts as guarantor of the consolidated debt obligations of EPO, with the exception of the remaining debt obligations of TEPPCO. If EPO were to default on any of its guaranteed debt, the Partnership would be responsible for full and unconditional repayment of such obligations.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Limited Partner Interests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number of our common units outstanding since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2,182,308,958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unit repurchases under 2019 Buyback Program</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(9,891,956)</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units issued in connection with the vesting of phantom unit awards,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3,936,437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26,148</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2,176,379,587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unit repurchases under 2019 Buyback Program</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(10,166,923)</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units issued in connection with the vesting of phantom unit awards,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4,571,333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2,170,806,347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unit repurchases under 2019 Buyback Program</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(7,244,540)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units issued in connection with the vesting of phantom unit awards,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4,662,539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2,168,245,238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Partnership’s common units represent limited partner interests that give the holders thereof the right to participate in distributions and to exercise the other rights or privileges available to them under our Seventh Amended and Restated Agreement of Limited Partnership (as amended from time to time, the “Partnership Agreement”). In accordance with the Partnership Agreement, capital accounts are maintained for our limited partners. The capital account provisions of our Partnership Agreement incorporate principles established for U.S. federal income tax purposes and are not comparable to the equity balances presented in our consolidated financial statements prepared in accordance with GAAP. Partnership earnings and cash distributions are allocated to holders of our common units in accordance with their respective percentage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 universal shelf registration statement on file with the SEC which allows the Partnership and EPO (each on a standalone basis) to issue an unlimited amount of equity and debt securities, respectively.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Partnership has a registration statement on file with the SEC covering the issuance of up to $2.5 billion of its common units in amounts, at prices and on terms based on market conditions and other factors at the time of such offerings (referred to as the Partnership’s at-the-market (“ATM”) program). The Partnership did not issue any common units under its ATM program during the three years ended December 31, 2023. The Partnership’s capacity to issue additional common units under the ATM program remains at $2.5 billion as of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additional equity and debt securities to assist us in meeting our future liquidity requirements, including those related to capital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 Repurchases Under 2019 Buyback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2019, we announced that the Board had approved a $2.0 billion multi-year unit buyback program (the “2019 Buyback Program”), which provides the Partnership with an additional method to return capital to investors. The 2019 Buyback Program authorizes the Partnership to repurchase its common units from time to time, including through open market purchases and negotiated transactions. No time limit has been set for completion of the program, and it may be suspended or discontinued at any time.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repurchased 7,244,540, 10,166,923 and 9,891,956 common units under the 2019 Buyback Program through open market purchases during the years ended December 31, 2023, 2022 and 2021, respectively. The total cost of these repurchases, including commissions and fees, was $188 million, $250 million and $214 million, respectively. Common units repurchased under the 2019 Buyback Program are immediately cancelled upon acquisition. At December 31, 2023, the remaining available capacity under the 2019 Buyback Program was $1.1 billion.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Units Delivered Under DRIP and EUPP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 has a registration statement on file with the SEC authorizing the issuance or other delivery of our common units in connection with a distribution reinvestment plan (“DRIP”). The DRIP provides unitholders of record and beneficial owners of our common units a voluntary means by which they can increase the number of our common units they own by reinvesting the quarterly cash distributions they receive from us into the purchase of additional common units. In addition to the DRIP, we have registration statements on file with the SEC authorizing the issuance or other delivery of up to 23,000,000 of our common units in connection with an employee unit purchase plan (“EUPP”).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the sole discretion to determine whether common units purchased under the DRIP and EUPP will come from our authorized but unissued common units or from common units purchased on the open market by each plan’s administrator. During each of the years ended December 31, 2023, 2022 and 2021, the Partnership used common units purchased on the open market, rather than issuing new common units, to satisfy its delivery obligations under the DRIP and EUPP. This election is subject to change in future quarters depending on the Partnership’s need for equity capital. Agents of the Partnership purchased 6,560,588, 6,392,846 and 6,363,197 common units on the open market and delivered them to participants in the DRIP and EUPP during the years ended December 31, 2023, 2022 and 2021, respectively. Apart from $3 million attributable to the plan discount available to all participants in the EUPP during each of the years ended December 31, 2023, 2022 and 2021, the funds used to effect these purchases were sourced from the DRIP and EUPP participants. No other Partnership funds were used to satisfy these obligations. We used open market purchases to satisfy DRIP and EUPP reinvestments in connection with the distribution paid on February 14, 2024.</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taking into account the number of common units delivered under the DRIP through December 31, 2023, we have the capacity to deliver an additional 34,589,287 common units under this plan. Likewise, we have the capacity to deliver an additional 15,027,935 common units under the EUPP.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Units Issued in Connection With the Vesting of Phantom Unit Awards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taking into account tax withholding requirements, the Partnership issued 4,662,539, 4,571,333 and 3,936,437 new common units to employees in connection with the vesting of phantom unit awards during the years ended December 31, 2023, 2022 and 2021, respectively. See Note 13 for information regarding our phantom unit awards.</w:t>
      </w:r>
    </w:p>
    <w:p>
      <w:pPr>
        <w:sectPr>
          <w:pgSz w:w="11900" w:h="16838" w:orient="portrait"/>
          <w:cols w:equalWidth="0" w:num="1">
            <w:col w:w="11240"/>
          </w:cols>
          <w:pgMar w:left="320" w:top="118"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Limited Partner Interests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changes in the number of our preferred units outstanding since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units outstanding at December 31, 2020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Paid-in kind distribution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units outstanding at December 31,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units outstanding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units outstanding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50,138</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6350</wp:posOffset>
            </wp:positionV>
            <wp:extent cx="70294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50,412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6350</wp:posOffset>
            </wp:positionV>
            <wp:extent cx="70294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50,412</w:t>
      </w:r>
    </w:p>
    <w:p>
      <w:pPr>
        <w:spacing w:after="0" w:line="200" w:lineRule="exact"/>
        <w:rPr>
          <w:sz w:val="20"/>
          <w:szCs w:val="20"/>
          <w:color w:val="auto"/>
        </w:rPr>
      </w:pPr>
    </w:p>
    <w:p>
      <w:pPr>
        <w:sectPr>
          <w:pgSz w:w="11900" w:h="16838" w:orient="portrait"/>
          <w:cols w:equalWidth="0" w:num="2">
            <w:col w:w="10020" w:space="720"/>
            <w:col w:w="500"/>
          </w:cols>
          <w:pgMar w:left="320" w:top="118" w:right="339" w:bottom="1440" w:gutter="0" w:footer="0" w:header="0"/>
          <w:type w:val="continuous"/>
        </w:sectPr>
      </w:pP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2020, the Partnership issued and sold an aggregate of 50,000 Series A Cumulative Convertible Preferred Units in a private placement transaction. The preferred units represent a new class of limited partner interests authorized under the Partnership Agreement. The stated value of each preferred unit is $1,000 per unit.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the Partnership exchanged all of the 54,807,352 Partnership common units owned directly by a wholly owned subsidiary, OTA Holdings, Inc. (“OTA”) for 855,915 of the Partnership’s new preferred units having an equivalent value. The preferred units held by OTA, like the common units OTA held prior to the exchange, are accounted for as treasury units by the Partnership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a privately held affiliate of EPCO sold its entire ownership interest in the Partnership’s preferred units to third parties.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the Partnership Agreement, key terms of the preferred units include the following:</w:t>
      </w:r>
    </w:p>
    <w:p>
      <w:pPr>
        <w:spacing w:after="0" w:line="225" w:lineRule="exact"/>
        <w:rPr>
          <w:sz w:val="20"/>
          <w:szCs w:val="20"/>
          <w:color w:val="auto"/>
        </w:rPr>
      </w:pPr>
    </w:p>
    <w:p>
      <w:pPr>
        <w:jc w:val="both"/>
        <w:ind w:left="500" w:hanging="330"/>
        <w:spacing w:after="0" w:line="258" w:lineRule="auto"/>
        <w:tabs>
          <w:tab w:leader="none" w:pos="500" w:val="left"/>
        </w:tabs>
        <w:numPr>
          <w:ilvl w:val="0"/>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With respect to distribution and liquidation rights, the preferred units rank senior to the Partnership’s common units. Preferred units held by persons other than the Partnership, its subsidiaries and its affiliates generally will vote on an as-converted basis with the Partnership’s common units and have certain class voting rights with respect to certain protective matters.</w:t>
      </w:r>
    </w:p>
    <w:p>
      <w:pPr>
        <w:spacing w:after="0" w:line="182" w:lineRule="exact"/>
        <w:rPr>
          <w:rFonts w:ascii="Calibri" w:cs="Calibri" w:eastAsia="Calibri" w:hAnsi="Calibri"/>
          <w:sz w:val="18"/>
          <w:szCs w:val="18"/>
          <w:color w:val="auto"/>
        </w:rPr>
      </w:pPr>
    </w:p>
    <w:p>
      <w:pPr>
        <w:jc w:val="both"/>
        <w:ind w:left="500" w:hanging="330"/>
        <w:spacing w:after="0" w:line="253" w:lineRule="auto"/>
        <w:tabs>
          <w:tab w:leader="none" w:pos="500" w:val="left"/>
        </w:tabs>
        <w:numPr>
          <w:ilvl w:val="0"/>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Holders of the preferred units are entitled to receive cumulative quarterly distributions at a rate of 7.25% per annum. The Partnership is prohibited from paying distributions on its common units unless full cumulative distributions on the preferred units are paid or set aside for payment. The Partnership may satisfy its obligation to pay distributions to the preferred unitholders through the issuance, in whole or in part, of additional preferred units (referred to as paid-in kind or “PIK” distributions), with the remainder in cash, subject to certain rights of a holder to elect all cash and other conditions as described in the Partnership Agreement. The exchange by OTA of its common units for PIK-eligible preferred units enables the Partnership to more effectively manage its consolidated cash balances.</w:t>
      </w:r>
    </w:p>
    <w:p>
      <w:pPr>
        <w:spacing w:after="0" w:line="189" w:lineRule="exact"/>
        <w:rPr>
          <w:rFonts w:ascii="Calibri" w:cs="Calibri" w:eastAsia="Calibri" w:hAnsi="Calibri"/>
          <w:sz w:val="18"/>
          <w:szCs w:val="18"/>
          <w:color w:val="auto"/>
        </w:rPr>
      </w:pPr>
    </w:p>
    <w:p>
      <w:pPr>
        <w:ind w:left="500"/>
        <w:spacing w:after="0" w:line="282"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During the year ended December 31, 2021, the Partnership made quarterly distributions to its third party and related party preferred unitholders valued at $3 million, consisting of PIK distributions of 274 new preferred units and $3 million in cash.</w:t>
      </w:r>
    </w:p>
    <w:p>
      <w:pPr>
        <w:spacing w:after="0" w:line="161" w:lineRule="exact"/>
        <w:rPr>
          <w:rFonts w:ascii="Calibri" w:cs="Calibri" w:eastAsia="Calibri" w:hAnsi="Calibri"/>
          <w:sz w:val="18"/>
          <w:szCs w:val="18"/>
          <w:color w:val="auto"/>
        </w:rPr>
      </w:pPr>
    </w:p>
    <w:p>
      <w:pPr>
        <w:ind w:left="500" w:right="20"/>
        <w:spacing w:after="0" w:line="282"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During each of the years ended December 31, 2022 and 2023, the Partnership made quarterly cash distributions to its preferred unitholders for $3 million.</w:t>
      </w:r>
    </w:p>
    <w:p>
      <w:pPr>
        <w:spacing w:after="0" w:line="161" w:lineRule="exact"/>
        <w:rPr>
          <w:rFonts w:ascii="Calibri" w:cs="Calibri" w:eastAsia="Calibri" w:hAnsi="Calibri"/>
          <w:sz w:val="18"/>
          <w:szCs w:val="18"/>
          <w:color w:val="auto"/>
        </w:rPr>
      </w:pPr>
    </w:p>
    <w:p>
      <w:pPr>
        <w:jc w:val="both"/>
        <w:ind w:left="500" w:hanging="330"/>
        <w:spacing w:after="0" w:line="253" w:lineRule="auto"/>
        <w:tabs>
          <w:tab w:leader="none" w:pos="500" w:val="left"/>
        </w:tabs>
        <w:numPr>
          <w:ilvl w:val="0"/>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Subject to certain limitations, each preferred unitholder may elect to convert its preferred units on or after September 30, 2025 into a number of the Partnership’s common units equal to (a) the number of preferred units to be converted multiplied by (b) the quotient of (i) $1,000 plus any accrued and unpaid distributions per preferred unit, divided by (ii) 92.5% of the volume-weighted average price of the Partnership’s common units at the time of conversion (as defined in the underlying agreements). In addition, each preferred unitholder may convert its preferred units into common units if EPO’s senior notes cease to have an investment grade rating or a Change of Control (as defined in the Partnership Agreement) occurs, in each case based on the conversion ratio specified in the Partnership Agreement.</w:t>
      </w:r>
    </w:p>
    <w:p>
      <w:pPr>
        <w:spacing w:after="0" w:line="189" w:lineRule="exact"/>
        <w:rPr>
          <w:rFonts w:ascii="Calibri" w:cs="Calibri" w:eastAsia="Calibri" w:hAnsi="Calibri"/>
          <w:sz w:val="18"/>
          <w:szCs w:val="18"/>
          <w:color w:val="auto"/>
        </w:rPr>
      </w:pPr>
    </w:p>
    <w:p>
      <w:pPr>
        <w:ind w:left="500" w:hanging="330"/>
        <w:spacing w:after="0" w:line="267" w:lineRule="auto"/>
        <w:tabs>
          <w:tab w:leader="none" w:pos="500" w:val="left"/>
        </w:tabs>
        <w:numPr>
          <w:ilvl w:val="0"/>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Partnership may elect to redeem the preferred units for cash, in whole or in part, based on a redemption price outlined in the following schedule, plus any accrued and unpaid distributions at the redemption date:</w:t>
      </w:r>
    </w:p>
    <w:p>
      <w:pPr>
        <w:spacing w:after="0" w:line="173" w:lineRule="exact"/>
        <w:rPr>
          <w:rFonts w:ascii="Calibri" w:cs="Calibri" w:eastAsia="Calibri" w:hAnsi="Calibri"/>
          <w:sz w:val="18"/>
          <w:szCs w:val="18"/>
          <w:color w:val="auto"/>
        </w:rPr>
      </w:pPr>
    </w:p>
    <w:p>
      <w:pPr>
        <w:ind w:left="980" w:hanging="324"/>
        <w:spacing w:after="0"/>
        <w:tabs>
          <w:tab w:leader="none" w:pos="980" w:val="left"/>
        </w:tabs>
        <w:numPr>
          <w:ilvl w:val="1"/>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$1,070 per preferred unit from September 30, 2022 through September 29, 2024;</w:t>
      </w:r>
    </w:p>
    <w:p>
      <w:pPr>
        <w:spacing w:after="0" w:line="14" w:lineRule="exact"/>
        <w:rPr>
          <w:rFonts w:ascii="Calibri" w:cs="Calibri" w:eastAsia="Calibri" w:hAnsi="Calibri"/>
          <w:sz w:val="18"/>
          <w:szCs w:val="18"/>
          <w:color w:val="auto"/>
        </w:rPr>
      </w:pPr>
    </w:p>
    <w:p>
      <w:pPr>
        <w:ind w:left="980" w:hanging="324"/>
        <w:spacing w:after="0" w:line="235" w:lineRule="auto"/>
        <w:tabs>
          <w:tab w:leader="none" w:pos="980" w:val="left"/>
        </w:tabs>
        <w:numPr>
          <w:ilvl w:val="1"/>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$1,030 per preferred unit from September 30, 2024 through September 29, 2025;</w:t>
      </w:r>
    </w:p>
    <w:p>
      <w:pPr>
        <w:ind w:left="980" w:hanging="324"/>
        <w:spacing w:after="0" w:line="235" w:lineRule="auto"/>
        <w:tabs>
          <w:tab w:leader="none" w:pos="980" w:val="left"/>
        </w:tabs>
        <w:numPr>
          <w:ilvl w:val="1"/>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$1,010 per preferred unit from September 30, 2025 through September 29, 2026; and</w:t>
      </w:r>
    </w:p>
    <w:p>
      <w:pPr>
        <w:ind w:left="980" w:hanging="324"/>
        <w:spacing w:after="0" w:line="235" w:lineRule="auto"/>
        <w:tabs>
          <w:tab w:leader="none" w:pos="980" w:val="left"/>
        </w:tabs>
        <w:numPr>
          <w:ilvl w:val="1"/>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$1,000 per preferred unit on or after September 30, 2026; however,</w:t>
      </w:r>
    </w:p>
    <w:p>
      <w:pPr>
        <w:ind w:left="980" w:hanging="324"/>
        <w:spacing w:after="0" w:line="235" w:lineRule="auto"/>
        <w:tabs>
          <w:tab w:leader="none" w:pos="980" w:val="left"/>
        </w:tabs>
        <w:numPr>
          <w:ilvl w:val="1"/>
          <w:numId w:val="109"/>
        </w:numPr>
        <w:rPr>
          <w:rFonts w:ascii="Calibri" w:cs="Calibri" w:eastAsia="Calibri" w:hAnsi="Calibri"/>
          <w:sz w:val="18"/>
          <w:szCs w:val="18"/>
          <w:color w:val="auto"/>
        </w:rPr>
      </w:pPr>
      <w:r>
        <w:rPr>
          <w:rFonts w:ascii="Times New Roman" w:cs="Times New Roman" w:eastAsia="Times New Roman" w:hAnsi="Times New Roman"/>
          <w:sz w:val="18"/>
          <w:szCs w:val="18"/>
          <w:color w:val="auto"/>
        </w:rPr>
        <w:t>if a Change of Control event occurs prior to September 30, 2026, the redemption price is $1,010 per preferred unit.</w:t>
      </w:r>
    </w:p>
    <w:p>
      <w:pPr>
        <w:spacing w:after="0" w:line="19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connection with a redemption at the Partnership’s election, the Partnership may convert up to 50% of the preferred units being redeemed into common units (and to pay cash with respect to the remainder), with each such preferred unit being converted on the applicable redemption date into a number of common units equal to (i) the then-applicable preferred unit redemption price divided by (ii) 92.5% of the volume-weighted average price of the Partnership’s common units at the time of conversion (as defined in the underlying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has agreed to prepare and file a registration statement that would permit or otherwise facilitate the public resale of any common units resulting from the conversion of the preferred units to common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Balance Sheet at December 31, 2023 presents the capital accounts of the third-party purchasers of the preferred units as mezzanine equity since the terms of the preferred units allow for cash redemption by the holders in a Change of Control event, without regard to the likelihood of such an event. The preferred units held by OTA are presented as treasury units in consolidation since their ultimate disposition remains under the control of the Partnership.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(loss) primarily reflects cumulative gain or loss on derivative instruments designated and qualified as cash flow hedges from inception less gains or losses previously reclassified from accumulated other comprehensive income (loss) into earnings. Gain or loss amounts related to cash flow hedges recorded in accumulated other comprehensive income (loss) are reclassified to earnings in the same period(s) in which the underlying hedged forecasted transactions affect earnings. If it becomes probable that a forecasted transaction will not occur, the related net gain or loss in accumulated other comprehensive income (loss) is immediately reclassified into earnings.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as reported on our Consolidated Balance Sheets at the dates indicated: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6"/>
        </w:trPr>
        <w:tc>
          <w:tcPr>
            <w:tcW w:w="5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for period,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Reclassification of losses (gains) to net income during period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other comprehensive income (loss) for period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6"/>
        </w:trPr>
        <w:tc>
          <w:tcPr>
            <w:tcW w:w="5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 for period,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Reclassification of losses (gains) to net income during period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other comprehensive income (loss) for period</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2023</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reclassifications of (income) loss out of accumulated other comprehensive income (loss) into net income during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5"/>
                <w:szCs w:val="15"/>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Losses (gains) on cash flow hedges:</w:t>
            </w:r>
          </w:p>
        </w:tc>
        <w:tc>
          <w:tcPr>
            <w:tcW w:w="106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28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Interest expense</w:t>
            </w:r>
          </w:p>
        </w:tc>
        <w:tc>
          <w:tcPr>
            <w:tcW w:w="2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28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Revenue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(181)</w:t>
            </w: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28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r>
      <w:tr>
        <w:trPr>
          <w:trHeight w:val="27"/>
        </w:trPr>
        <w:tc>
          <w:tcPr>
            <w:tcW w:w="3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w:t>
            </w:r>
          </w:p>
        </w:tc>
      </w:tr>
      <w:tr>
        <w:trPr>
          <w:trHeight w:val="21"/>
        </w:trPr>
        <w:tc>
          <w:tcPr>
            <w:tcW w:w="3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our interest rate and commodity derivative instruments, see Note 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third party ownership interests in our consolidated subsidiaries. The following table presents the components of noncontrolling interests as reported on our Consolidated Balance Sheets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Subsidiary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Breviloba LLC (“Breviloba”)(1)</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Whitethorn Pipeline Company LLC (“Whitethorn”)(2)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Enterprise Navigator Ethylene Terminal LLC (“ENET”)(3)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9"/>
                <w:szCs w:val="19"/>
                <w:color w:val="auto"/>
              </w:rPr>
            </w:pPr>
          </w:p>
        </w:tc>
      </w:tr>
      <w:tr>
        <w:trPr>
          <w:trHeight w:val="237"/>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noncontrolling interests in consolidated subsidiaries</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1,086</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1,079</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of Kinetik Holdings Inc. owns a noncontrolling 33% equity interest in Breviloba, which owns the Shin Oak NGL Pipeline.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of Western Midstream Partners, LP (“Western Midstream”) owns a noncontrolling 20% equity interest in Whitethorn, which owns the Midland-to-Sealy section of our Midland-to-ECHO 1 Pipeline.</w:t>
      </w:r>
    </w:p>
    <w:p>
      <w:pPr>
        <w:ind w:left="380" w:hanging="372"/>
        <w:spacing w:after="0" w:line="221" w:lineRule="auto"/>
        <w:tabs>
          <w:tab w:leader="none" w:pos="3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Navigator Ethylene Terminals LLC owns a noncontrolling 50% equity interest in ENET, which owns our ethylene export terminal located at Morgan’s Point on the Houston Ship Channel.</w:t>
      </w:r>
    </w:p>
    <w:p>
      <w:pPr>
        <w:ind w:left="380" w:hanging="372"/>
        <w:spacing w:after="0"/>
        <w:tabs>
          <w:tab w:leader="none" w:pos="3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noncontrolling equity interests in NGL fractionation and pipeline businesses.</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$125 million, $125 million and $117 million for the years ended December 31, 2023, 2022 and 2021,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16, 2024, we acquired the remaining noncontrolling interest of Whitethorn and Enterprise EF78 LLC (“EF78”) and entered into a definite agreement to acquire additional equity interests in Panola Pipeline Company, LLC (“Panola”). See Note 20, Subsequent Events, for information regarding these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Enterprise’s declared quarterly cash distribution rates per common unit with respect to the quarter indicated. Actual cash distributions are paid by Enterprise within 45 days after the end of each fiscal quarter.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Quarterly</w:t>
            </w: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Record</w:t>
            </w:r>
          </w:p>
        </w:tc>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 Per</w:t>
            </w:r>
          </w:p>
        </w:tc>
        <w:tc>
          <w:tcPr>
            <w:tcW w:w="328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0.4500</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4/30/2021</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5/12/2021</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0.4500</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7/30/2021</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8/12/2021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0.4500</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10/29/2021</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11/12/2021</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0.4650</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1/31/2022</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2/11/2022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0.4650</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4/29/2022</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5/12/2022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2nd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0.4750</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7/29/2022</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8/12/2022</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3rd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0.4750</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10/31/2022</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11/14/2022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0.4900</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1/31/2023</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0.4900</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4/28/2023</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5/12/2023</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7/31/2023</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8/14/2023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0.5000</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10/31/2023</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11/14/2023</w:t>
            </w:r>
          </w:p>
        </w:tc>
        <w:tc>
          <w:tcPr>
            <w:tcW w:w="0" w:type="dxa"/>
            <w:vAlign w:val="bottom"/>
          </w:tcPr>
          <w:p>
            <w:pPr>
              <w:spacing w:after="0"/>
              <w:rPr>
                <w:sz w:val="1"/>
                <w:szCs w:val="1"/>
                <w:color w:val="auto"/>
              </w:rPr>
            </w:pPr>
          </w:p>
        </w:tc>
      </w:tr>
      <w:tr>
        <w:trPr>
          <w:trHeight w:val="233"/>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0.5150</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1/31/2024</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2/14/2024</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8, 2024, we announced that the Board declared a quarterly cash distribution of $0.515 per common unit, or $2.06 per common unit on an annualized basis, to be paid to the Partnership’s common unitholders with respect to the fourth quarter of 2023. The quarterly distribution was paid on February 14, 2024 to unitholders of record as of the close of business on January 31, 2024. The total amount paid was $1.13 billion, which includes $10 million for distribution equivalent rights (“DERs”) on phantom unit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classify our revenues into sales of products and midstream services. Product sales relate primarily to our various marketing activities whereas midstream services represent our other integrated businesses (i.e., gathering, processing, transportation, fractionation, storage and terminaling). The following table presents our revenues by business segment, and further by revenue type, for the years indicated: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NGLs and related products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21,307</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13,716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Natural gas processing and fractionation</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1,036</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Transportation</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976</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Storage and terminals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574</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2,952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2,586</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NGL Pipelines &amp; Services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24,259</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16,302</w:t>
            </w:r>
          </w:p>
        </w:tc>
      </w:tr>
      <w:tr>
        <w:trPr>
          <w:trHeight w:val="216"/>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of crude oil</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17,301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9,519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Transportation</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929</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Storage and terminals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454</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1,383</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Crude Oil Pipelines &amp; Services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18,561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10,902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of natural gas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5,019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3,413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Transportation</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987</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987</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Natural Gas Pipelines &amp; Services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6,260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of petrochemicals and refined products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8,003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8,196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Fractionation and isomerization</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Transportation, including marine logistics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485</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Storage and terminals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247</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1,007</w:t>
            </w:r>
          </w:p>
        </w:tc>
      </w:tr>
      <w:tr>
        <w:trPr>
          <w:trHeight w:val="27"/>
        </w:trPr>
        <w:tc>
          <w:tcPr>
            <w:tcW w:w="73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Petrochemical &amp; Refined Products Services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9,203</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58,186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40,807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our revenues are derived from contracts with customers as defined within ASC 606. The following information describes the nature of our significant revenue streams by segment and type: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NGLs and related products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NGL marketing activities generate revenues from spot and term sales of NGLs and related products that we take title to through our natural gas processing activities (i.e., our equity NGL production) and open market and long-term contract purchases. Revenue from these sales contracts is recognized when the NGLs are sold and delivered to customers at market-based prices.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Natural gas processing utilizes service contracts that are either fee-based, commodity-based or a combination of the two. When a cash fee for natural gas processing services is stipulated by a contract, we record revenue when a producer’s natural gas has been processed and redelivered. Our commodity-based contracts include keepwhole, margin-band, percent-of-liquids, percent-of-proceeds and contracts featuring a combination of commodity and fee-based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midstream service revenues in connection with the equity NGL-equivalents we receive under commodity-based contracts (once the processing service has been performed and we are entitled to such volumes). The value assigned to this non-cash consideration and related inventory is based on the market value of the equity NGL-equivalents at the time the services are performed. As noted previously, we also recognize product sales revenue, along with a corresponding cost of sales, when these NGLs are delivered and sold to downstream customers under NGL marketing contracts.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NGL fractionation generates revenue using fee-based arrangements. These fees are contractually subject to adjustment for changes in certain fractionation expenses (e.g., fuel costs) and are recognized in the period services are provided.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NGL pipeline transportation contracts and tariffs generate revenue based on a fixed fee per gallon multiplied by the volume transported and delivered (or capacity reserved). Transportation fees charged to shippers are based on either tariffs regulated by governmental agencies or contractual arrangements. Under certain agreements, customers are required to ship a minimum volume with a provision that allows the shipper to make-up any volume shortfalls over an agreed-upon period (referred to as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NGL and related product storage contracts generate revenue from capacity reservations where we collect a fee for reserving storage capacity for customers in our underground storage wells and above-ground storage tanks. Under these agreements, revenue is recognized on a straight-line basis over the reservation period. In addition, we generally charge customers throughput fees based on volumes delivered into and subsequently withdrawn from storage, which are recognized as the service is provided.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NGL import and export terminaling activities generate revenue in the period services are provided. Customers are typically billed a fee per unit of volume loaded or unloaded.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crude oil</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Crude oil marketing activities generate revenues from the sale and delivery of crude oil purchased either directly from producers or on the open market. Revenue from these sales contracts is recognized when crude oil is sold and delivered to customers at market-based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Crude oil transportation contracts and tariffs generate revenue based upon a fixed fee per barrel multiplied by the volume transported and delivered (or capacity reserved). Transportation fees charged to shippers are based on either tariffs regulated by governmental agencies or contractual arrangements. Under certain agreements, customers are required to ship a minimum volume over an agreed-upon period, with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Crude oil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natural gas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Natural gas marketing activities generate revenue from the sale and delivery of natural gas purchased from producers, natural gas processing facilities, and on the open market. Revenue from these sales contracts is recognized when natural gas is sold and delivered to customers at market-based prices.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Natural gas transportation contracts generate revenues based on a fee per unit of volume transported multiplied by the volume gathered or delivered. Transportation fees charged to shippers are based on either tariffs regulated by governmental agencies or contractual arrangements. Revenues under transportation contracts are recognized when the volumes are transported and delivered to customers. In addition, certain of our natural gas pipelines offer firm capacity reservation services whereby the shipper pays a contractual fee based on the level of throughput capacity reserved. Revenues are recognized when the firm capacity services are provided to the shipper.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petrochemicals and refined products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petrochemical and refined products marketing activities generate revenue from the sale and delivery of products to customers at market-based prices.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products handled by these marketing groups include polymer grade propylene, octane additives, high purity isobutylene and various refined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Midstream services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Propylene fractionation units and butane isomerization facilities generate revenue through fee-based tolling arrangements with customers. Revenue from such agreements is recognized in the period the services are provided.</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Petrochemical and refined products transportation contracts generate revenue based upon a fixed fee per volume multiplied by the volume transported and delivered. Transportation fees charged to shippers are based on either tariffs regulated by governmental agencies or contractual arrangements.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Marine transportation contracts generate revenue based on set day rates or a set fee per cargo movement recognized over the transit time of individual tows. Additionally, we record revenue for the costs of fuel and other operating costs that are directly reimbursed by our marine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Petrochemicals and refined products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Revenue and Deferred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contract assets and contract liabilities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5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Contract Asset</w:t>
            </w:r>
          </w:p>
        </w:tc>
        <w:tc>
          <w:tcPr>
            <w:tcW w:w="420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9"/>
                <w:szCs w:val="19"/>
                <w:color w:val="auto"/>
              </w:rPr>
            </w:pP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Unbilled revenue (current amount)</w:t>
            </w:r>
          </w:p>
        </w:tc>
        <w:tc>
          <w:tcPr>
            <w:tcW w:w="42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9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Contract Liability</w:t>
            </w:r>
          </w:p>
        </w:tc>
        <w:tc>
          <w:tcPr>
            <w:tcW w:w="420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9"/>
                <w:szCs w:val="19"/>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 (current amount)</w:t>
            </w:r>
          </w:p>
        </w:tc>
        <w:tc>
          <w:tcPr>
            <w:tcW w:w="4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42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9"/>
                <w:szCs w:val="19"/>
                <w:color w:val="auto"/>
              </w:rPr>
            </w:pPr>
          </w:p>
        </w:tc>
      </w:tr>
      <w:tr>
        <w:trPr>
          <w:trHeight w:val="25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changes in our unbilled revenue and deferred revenue balances during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80"/>
        </w:trPr>
        <w:tc>
          <w:tcPr>
            <w:tcW w:w="86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4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 included in opening balance transferred to other accounts during period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recorded during period (2)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recorded during period transferred to other accounts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(262)</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(700)</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40" w:type="dxa"/>
            <w:vAlign w:val="bottom"/>
            <w:tcBorders>
              <w:top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included in opening balance transferred to other accounts during period (1)</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 recorded during period (2)</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recorded during period transferred to other accounts (1)</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tcBorders>
              <w:top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 included in opening balance transferred to other accounts during period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recorded during period (2)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recorded during period transferred to other accounts (1)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(656)</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changes</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4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60" w:hanging="352"/>
        <w:spacing w:after="0" w:line="233" w:lineRule="auto"/>
        <w:tabs>
          <w:tab w:leader="none" w:pos="3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Unbilled revenues are transferred to accounts receivable once we have an unconditional right to consideration from the customer. Deferred revenues are recognized as revenue upon satisfaction of our performance obligation to the customer.</w:t>
      </w:r>
    </w:p>
    <w:p>
      <w:pPr>
        <w:ind w:left="360" w:hanging="352"/>
        <w:spacing w:after="0" w:line="239" w:lineRule="auto"/>
        <w:tabs>
          <w:tab w:leader="none" w:pos="3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Unbilled revenue represents revenue that has been recognized upon satisfaction of a performance obligation, but cannot be contractually invoiced (or billed) to the customer at the balance sheet date until a future period. Deferred revenue is recorded when payment is received from a customer prior to our satisfaction of the associated performance obligation.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estimated fixed future consideration from revenue contracts that contain minimum volume commitments, deficiency and similar fees and the term of the contracts exceeds one year. These amounts represent the revenues we expect to recognize in future periods from these contracts as of December 31,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significant portion of our revenue, we bill customers a contractual rate for the services provided multiplied by the amount of volume handled in a given period. We have the right to invoice the customer in the amount that corresponds directly with the value of our performance completed to date. Therefore, we are not required to disclose information about the variable consideration of remaining performance obligations since we recognize revenue equal to the amount that we have the right to invoice.</w:t>
      </w:r>
    </w:p>
    <w:p>
      <w:pPr>
        <w:spacing w:after="0" w:line="16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2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Year Ended December 31, 2024</w:t>
            </w:r>
          </w:p>
        </w:tc>
        <w:tc>
          <w:tcPr>
            <w:tcW w:w="1540" w:type="dxa"/>
            <w:vAlign w:val="bottom"/>
            <w:tcBorders>
              <w:bottom w:val="single" w:sz="8" w:color="CCEEFF"/>
            </w:tcBorders>
            <w:gridSpan w:val="2"/>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One Year Ended December 31, 2025</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Year Ended December 31, 2026</w:t>
            </w:r>
          </w:p>
        </w:tc>
        <w:tc>
          <w:tcPr>
            <w:tcW w:w="1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One Year Ended December 31, 2027</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Year Ended December 31, 2028</w:t>
            </w:r>
          </w:p>
        </w:tc>
        <w:tc>
          <w:tcPr>
            <w:tcW w:w="1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9,405</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gridSpan w:val="2"/>
            <w:vMerge w:val="restart"/>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420" w:type="dxa"/>
            <w:vAlign w:val="bottom"/>
            <w:shd w:val="clear" w:color="auto" w:fill="CCEEFF"/>
          </w:tcPr>
          <w:p>
            <w:pPr>
              <w:spacing w:after="0"/>
              <w:rPr>
                <w:sz w:val="4"/>
                <w:szCs w:val="4"/>
                <w:color w:val="auto"/>
              </w:rPr>
            </w:pPr>
          </w:p>
        </w:tc>
        <w:tc>
          <w:tcPr>
            <w:tcW w:w="1540" w:type="dxa"/>
            <w:vAlign w:val="bottom"/>
            <w:gridSpan w:val="2"/>
            <w:vMerge w:val="continue"/>
            <w:shd w:val="clear" w:color="auto" w:fill="CCEEFF"/>
          </w:tcPr>
          <w:p>
            <w:pPr>
              <w:spacing w:after="0"/>
              <w:rPr>
                <w:sz w:val="4"/>
                <w:szCs w:val="4"/>
                <w:color w:val="auto"/>
              </w:rPr>
            </w:pPr>
          </w:p>
        </w:tc>
        <w:tc>
          <w:tcPr>
            <w:tcW w:w="760" w:type="dxa"/>
            <w:vAlign w:val="bottom"/>
            <w:tcBorders>
              <w:right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Segments and Related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information regarding these segments is evaluated regularly by our co-chief operating decision makers in deciding how to allocate resources and in assessing our operating and financial performance. The co-principal executive officers of our general partner have been identified as our co-chief operating decision makers. While these two officers evaluate results in a number of different ways, the business segment structure is the primary basis for which the allocation of resources and financial results are assessed.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the assets and operations of each business segment:</w:t>
      </w:r>
    </w:p>
    <w:p>
      <w:pPr>
        <w:spacing w:after="0" w:line="225" w:lineRule="exact"/>
        <w:rPr>
          <w:sz w:val="20"/>
          <w:szCs w:val="20"/>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NGL Pipelines &amp; Services business segment includes our natural gas processing and related NGL marketing activities, NGL pipelines, NGL fractionation facilities, NGL and related product storage facilities, and NGL marine terminals.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Crude Oil Pipelines &amp; Services business segment includes our crude oil pipelines, crude oil storage and marine terminals, and related crude oil marketing activities.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Pipelines &amp; Services business segment includes our natural gas pipeline systems that provide for the gathering, treating and transportation of natural gas. This segment also includes our natural gas marketing activities.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Petrochemical &amp; Refined Products Services business segment includes our (i) propylene production facilities, which include propylene fractionation units and PDH facilities, and related pipelines and marketing activities, (ii) butane isomerization complex and related deisobutanizer operations, (iii) octane enhancement, iBDH and HPIB production facilities, (iv) refined products pipelines, terminals and related marketing activities,</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ethylene export terminal and related operations; and (vi) marine transportation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plants, pipelines and other fixed assets are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Gross Operating Margin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 Gross operating margin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measurement of total segment gross operating margin for the years indicated. The GAAP financial measure most directly comparable to total segment gross operating margin is operating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6,907</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6,103</w:t>
            </w:r>
          </w:p>
        </w:tc>
        <w:tc>
          <w:tcPr>
            <w:tcW w:w="0" w:type="dxa"/>
            <w:vAlign w:val="bottom"/>
          </w:tcPr>
          <w:p>
            <w:pPr>
              <w:spacing w:after="0"/>
              <w:rPr>
                <w:sz w:val="1"/>
                <w:szCs w:val="1"/>
                <w:color w:val="auto"/>
              </w:rPr>
            </w:pPr>
          </w:p>
        </w:tc>
      </w:tr>
      <w:tr>
        <w:trPr>
          <w:trHeight w:val="124"/>
        </w:trPr>
        <w:tc>
          <w:tcPr>
            <w:tcW w:w="732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Adjustments to reconcile operating income to total segment gross operating margin</w:t>
            </w: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(addition or subtraction indicated by sign):</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 expense in operating costs and expenses (1)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2,107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16"/>
        </w:trPr>
        <w:tc>
          <w:tcPr>
            <w:tcW w:w="7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impairment charges in operating costs and expenses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26"/>
        </w:trPr>
        <w:tc>
          <w:tcPr>
            <w:tcW w:w="73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Net losses (gains) attributable to asset sales and related matters in operating costs and</w:t>
            </w:r>
          </w:p>
        </w:tc>
        <w:tc>
          <w:tcPr>
            <w:tcW w:w="7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expenses</w:t>
            </w:r>
          </w:p>
        </w:tc>
        <w:tc>
          <w:tcPr>
            <w:tcW w:w="7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Non-refundable payments received from shippers attributable to make-up rights (2)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Subsequent recognition of revenues attributable to make-up rights (3)</w:t>
            </w: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gross operating margin</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9,356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8,508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which are a component of gross operating margin.</w:t>
      </w:r>
    </w:p>
    <w:p>
      <w:pPr>
        <w:spacing w:after="0" w:line="3" w:lineRule="exact"/>
        <w:rPr>
          <w:rFonts w:ascii="Times New Roman" w:cs="Times New Roman" w:eastAsia="Times New Roman" w:hAnsi="Times New Roman"/>
          <w:sz w:val="14"/>
          <w:szCs w:val="14"/>
          <w:color w:val="auto"/>
        </w:rPr>
      </w:pPr>
    </w:p>
    <w:p>
      <w:pPr>
        <w:ind w:left="420" w:hanging="412"/>
        <w:spacing w:after="0" w:line="221" w:lineRule="auto"/>
        <w:tabs>
          <w:tab w:leader="none" w:pos="4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make-up rights entail a future performance obligation by the pipeline to the shipper, these receipts are recorded as deferred revenue for GAAP purposes; however, these receipts are included in gross operating margin in the period of receipt since they are nonrefundable to the shipper.</w:t>
      </w:r>
    </w:p>
    <w:p>
      <w:pPr>
        <w:ind w:left="420" w:right="20" w:hanging="412"/>
        <w:spacing w:after="0" w:line="239" w:lineRule="auto"/>
        <w:tabs>
          <w:tab w:leader="none" w:pos="4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deferred revenues attributable to make-up rights are subsequently recognized as revenue under GAAP, gross operating margin must be adjusted to remove such amounts to prevent duplication since the associated non-refundable payments were previously included in gross operating margin.</w:t>
      </w: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operations from our liquids pipelines are primarily dependent upon the volumes transported and the associated fees we charge for such transportation services. Typically, pipeline transportation revenue is recognized when volumes are re-delivered to customers. However, under certain pipeline transportation agreements, customers are required to ship a minimum volume over an agreed-upon period. These arrangements may entail the shipper paying a transportation fee based on a minimum volume commitment, with a provision that allows the shipper to make-up any volume shortfalls over the agreed-upon period (referred to as shipper “make-up rights”). Revenue pursuant to such agreements is initially deferred and subsequently recognized under GAAP at the earlier of when the deficiency volume is shipped, when the likelihood of the shipper’s ability to meet the minimum volume commitment becomes remote, or when the pipeline is otherwise released from its performance obligation.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management includes deferred transportation revenues relating to the “make-up rights” of committed shippers when reviewing the financial results of certain pipelines (Texas Express Pipeline, Front Range Pipeline, ATEX, Aegis Ethane Pipeline, and Seaway Pipeline). From an internal (and segment) reporting standpoint, management considers the transportation fees paid by committed shippers on these pipelines, including any non-refundable revenues that may be deferred under GAAP related to make-up rights, to be important in assessing the financial performance of these pipeline assets. Although the adjustments for make-up rights are included in segment gross operating margin, our consolidated revenues do not reflect any deferred revenues until the conditions for recognizing such revenues are met in accordance with GAAP.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by segment is calculated by subtracting segment operating costs and expenses from segment revenues, with both segment totals reflecting the adjustments noted in the preceding table, as applicable, and before the elimination of intercompany transactions. The following table presents gross operating margin by segment for the years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Gross operating margin by segment:</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5,142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4,316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1,655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1,517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1,357</w:t>
            </w: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gross operating margin</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9,356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8,508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Segment Financial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by business segment, together with reconciliations to amounts presented on, or included in, our Statements of Consolidated Operations, is presented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Reportable Business Segments</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NGL</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0" w:type="dxa"/>
            <w:vAlign w:val="bottom"/>
          </w:tcPr>
          <w:p>
            <w:pPr>
              <w:spacing w:after="0"/>
              <w:rPr>
                <w:sz w:val="10"/>
                <w:szCs w:val="10"/>
                <w:color w:val="auto"/>
              </w:rPr>
            </w:pPr>
          </w:p>
        </w:tc>
        <w:tc>
          <w:tcPr>
            <w:tcW w:w="1000" w:type="dxa"/>
            <w:vAlign w:val="bottom"/>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Petrochemical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&amp; Refined</w:t>
            </w: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4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3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from third parties: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17,635</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49,654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24,244</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18,548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6,229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9,106</w:t>
            </w: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58,127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16,293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10,849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9,203</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40,727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from related parties: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Intersegment and intrasegment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45,490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57,122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18,882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(122,021)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65,760</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46,625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18,304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(131,577)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55,796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29,985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(108,541)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63,135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76,458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27,840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(122,021)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49,715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90,019</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65,186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7,148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27,410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(131,577)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58,186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72,098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40,887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31,313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(108,541)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40,807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 in income of unconsolidated affiliates: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Segment revenues include intersegment and intrasegment transactions, which are generally based on transactions made at market-based rates. Our consolidated revenues reflect the elimination of intercompany transactions.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include equity in income of unconsolidated affiliates in our measurement of segment gross operating margin and operating income. Equity investments with industry partners are a significant component of our business strategy. They are a means by which we conduct our operations to align our interests with those of customers and/or suppliers. This method of operation enables us to achieve favorable economies of scale relative to the level of investment and business risk assumed. Many of these businesses perform supporting or complementary roles to our other midstream business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integrated midstream energy asset network (including the midstream energy assets owned by our unconsolidated affiliates) provides services to producers and consumers of natural gas, NGLs, crude oil, refined products and certain petrochemicals. In general, hydrocarbons may enter our asset system in a number of ways, such as through a natural gas gathering pipeline, natural gas processing facility, a crude oil pipeline or terminal, an NGL fractionator, an NGL storage facility or an NGL gathering or transportation pipeline. The assets of many of our equity investees are included within our integrated midstream network. For example, we use the Front Range Pipeline and Texas Express Pipeline to transport mixed NGLs to our Chambers County NGL fractionation and storage complex and the Seaway Pipeline to transport crude oil to our terminals in the Houston, Texas area. Given the integral nature of these equity method investees to our operations, we believe the presentation of equity earnings from such investees as a component of gross operating margin and operating income is meaningful and appropriate.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by business segment, together with reconciliations to our Consolidated Balance Sheet totals, is presented in the following table: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Reportable Business Segments</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NGL</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0" w:type="dxa"/>
            <w:vAlign w:val="bottom"/>
          </w:tcPr>
          <w:p>
            <w:pPr>
              <w:spacing w:after="0"/>
              <w:rPr>
                <w:sz w:val="10"/>
                <w:szCs w:val="10"/>
                <w:color w:val="auto"/>
              </w:rPr>
            </w:pPr>
          </w:p>
        </w:tc>
        <w:tc>
          <w:tcPr>
            <w:tcW w:w="1000" w:type="dxa"/>
            <w:vAlign w:val="bottom"/>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Petrochemical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&amp; Refined</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Pipelines</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4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Property, plant and equipment, net: </w:t>
            </w:r>
            <w:r>
              <w:rPr>
                <w:rFonts w:ascii="Times New Roman" w:cs="Times New Roman" w:eastAsia="Times New Roman" w:hAnsi="Times New Roman"/>
                <w:sz w:val="14"/>
                <w:szCs w:val="14"/>
                <w:color w:val="auto"/>
              </w:rPr>
              <w:t>(see Note 4)</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2023</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17,541</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45,804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17,283</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6,760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9,721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44,401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17,202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6,974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42,088</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Investments in unconsolidated affiliates: </w:t>
            </w:r>
            <w:r>
              <w:rPr>
                <w:rFonts w:ascii="Times New Roman" w:cs="Times New Roman" w:eastAsia="Times New Roman" w:hAnsi="Times New Roman"/>
                <w:sz w:val="14"/>
                <w:szCs w:val="14"/>
                <w:color w:val="auto"/>
              </w:rPr>
              <w:t>(see Note</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612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1,681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640</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1,677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656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2,428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Intangible assets, net: </w:t>
            </w:r>
            <w:r>
              <w:rPr>
                <w:rFonts w:ascii="Times New Roman" w:cs="Times New Roman" w:eastAsia="Times New Roman" w:hAnsi="Times New Roman"/>
                <w:sz w:val="14"/>
                <w:szCs w:val="14"/>
                <w:color w:val="auto"/>
              </w:rPr>
              <w:t>(see Note 6)</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1,673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865</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1,776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Goodwill: </w:t>
            </w:r>
            <w:r>
              <w:rPr>
                <w:rFonts w:ascii="Times New Roman" w:cs="Times New Roman" w:eastAsia="Times New Roman" w:hAnsi="Times New Roman"/>
                <w:sz w:val="14"/>
                <w:szCs w:val="14"/>
                <w:color w:val="auto"/>
              </w:rPr>
              <w:t>(see Note 6)</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5,608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2,811</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1,841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2,652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5,449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21,792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11,822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57,512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 December 31, 2022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21,599</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12,054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10,959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56,326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December 31, 2021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20,827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12,413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53,116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assets consist of property, plant and equipment, investments in unconsolidated affiliates, intangible assets and goodwill. The carrying values of such amounts are assigned to each segment based on each asset’s or investment’s principal operations and contribution to the gross operating margin of that particular segment. Since construction-in-progress (a component of property, plant and equipment) does not contribute to segment gross operating margin, such amounts are excluded from segment asset totals until the underlying assets are placed in service. Intangible assets and goodwill are assigned to each segment based on the classification of the assets to which they relate. The remainder of our consolidated total assets, which consist primarily of working capital assets, are excluded from segment assets since these amounts are not attributable to one specific segment (e.g., cash).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Revenue and Expense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our consolidated revenues and costs and expenses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revenues: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24,259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16,302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18,561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10,902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6,260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9,203</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49,715</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58,186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40,807</w:t>
            </w:r>
          </w:p>
        </w:tc>
      </w:tr>
      <w:tr>
        <w:trPr>
          <w:trHeight w:val="209"/>
        </w:trPr>
        <w:tc>
          <w:tcPr>
            <w:tcW w:w="73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costs and expenses: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Cost of sales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45,836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29,887</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operating costs and expenses (1)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3,454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2,915</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of assets other than goodwill</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losses (gains) attributable to asset sales and related matters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209</w:t>
            </w:r>
          </w:p>
        </w:tc>
      </w:tr>
      <w:tr>
        <w:trPr>
          <w:trHeight w:val="27"/>
        </w:trPr>
        <w:tc>
          <w:tcPr>
            <w:tcW w:w="7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 costs and expenses</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51,743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35,287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line="261" w:lineRule="auto"/>
        <w:tabs>
          <w:tab w:leader="none" w:pos="3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cost of operating our plants, pipelines and other fixed assets excluding: depreciation, amortization and accretion charges; asset impairment charges; and net losses (gains) attributable to asset sales and related matters.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our product sales revenues and cost of sales amounts are explained in large part by changes in energy commodity prices. In general, higher energy commodity prices result in an increase in our revenues attributable to product sales; however, these higher commodity prices would also be expected to increase the associated cost of sales as purchase costs are higher. The same type of relationship would be true in the case of lower energy commodity sales prices and purchase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our consolidated revenues are earned in the U.S. and derived from a wide customer base. For the years ended December 31, 2023 and 2022, Vitol Holding B.V. and its affiliates (collectively, “Vitol”) accounted for $7.87 billion, or 15.8%, and $5.92 billion, or 10.2%, respectively, of our consolidated revenues. Vitol is a global energy and commodity trading company. Revenues earned from Vitol during 2023 and 2022 are included within each of our four business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accounted for 10% or more of our consolidated revenues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Unit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calculation of basic and diluted earnings per common unit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EARNINGS PER COMMON UNIT</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5,487</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Earnings allocated to phantom unit awards (1)</w:t>
            </w: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allocated to common unitholders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5,441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4,597</w:t>
            </w:r>
          </w:p>
        </w:tc>
      </w:tr>
      <w:tr>
        <w:trPr>
          <w:trHeight w:val="209"/>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weighted-average number of common units outstanding</w:t>
            </w: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2,178</w:t>
            </w: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2,183</w:t>
            </w:r>
          </w:p>
        </w:tc>
      </w:tr>
      <w:tr>
        <w:trPr>
          <w:trHeight w:val="209"/>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per common unit</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w:t>
            </w:r>
          </w:p>
        </w:tc>
      </w:tr>
      <w:tr>
        <w:trPr>
          <w:trHeight w:val="209"/>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DILUTED EARNINGS PER COMMON UNIT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5,487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4,634</w:t>
            </w: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attributable to preferred units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r>
      <w:tr>
        <w:trPr>
          <w:trHeight w:val="27"/>
        </w:trPr>
        <w:tc>
          <w:tcPr>
            <w:tcW w:w="7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limited partners</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5,490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4,638</w:t>
            </w:r>
          </w:p>
        </w:tc>
      </w:tr>
      <w:tr>
        <w:trPr>
          <w:trHeight w:val="20"/>
        </w:trPr>
        <w:tc>
          <w:tcPr>
            <w:tcW w:w="7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weighted-average number of units outstanding:</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Distribution-bearing common units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2,183</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Phantom units (2)</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units (2)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r>
      <w:tr>
        <w:trPr>
          <w:trHeight w:val="27"/>
        </w:trPr>
        <w:tc>
          <w:tcPr>
            <w:tcW w:w="7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2,199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2,203</w:t>
            </w:r>
          </w:p>
        </w:tc>
      </w:tr>
      <w:tr>
        <w:trPr>
          <w:trHeight w:val="20"/>
        </w:trPr>
        <w:tc>
          <w:tcPr>
            <w:tcW w:w="7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common unit</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r>
      <w:tr>
        <w:trPr>
          <w:trHeight w:val="20"/>
        </w:trPr>
        <w:tc>
          <w:tcPr>
            <w:tcW w:w="7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Phantom units are considered participating securities for purposes of computing basic earnings per unit. See Note 13 for information regarding the phantom units.</w:t>
      </w:r>
    </w:p>
    <w:p>
      <w:pPr>
        <w:spacing w:after="0" w:line="3" w:lineRule="exact"/>
        <w:rPr>
          <w:rFonts w:ascii="Times New Roman" w:cs="Times New Roman" w:eastAsia="Times New Roman" w:hAnsi="Times New Roman"/>
          <w:sz w:val="14"/>
          <w:szCs w:val="14"/>
          <w:color w:val="auto"/>
        </w:rPr>
      </w:pPr>
    </w:p>
    <w:p>
      <w:pPr>
        <w:ind w:left="340" w:hanging="332"/>
        <w:spacing w:after="0" w:line="239" w:lineRule="auto"/>
        <w:tabs>
          <w:tab w:leader="none" w:pos="3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the “if-converted method” to determine the potential dilutive effect of the vesting of phantom unit awards and the conversion of preferred units outstanding. See Note 8 for information regarding preferred units.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Business Combinations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an affiliate of Enterprise acquired all of the member interests in Navitas Midstream Partners, LLC (“Navitas Midstream”) for $3.2 billion in cash. We funded the cash consideration using proceeds from the issuance of short-term notes under EPO’s commercial paper program and cash on hand.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Navitas Midstream's assets (the “Midland Basin System”) include approximately 1,750 miles of pipelines and over 1.0 Bcf/d of cryogenic natural gas processing capacity. The acquired business expands our natural gas processing and NGL businesses to the Midland Basin in West Texas.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of Navitas Midstream was accounted for under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preliminary allocation of purchase consideration was based upon the estimated fair value of the tangible and identifiable intangible assets acquired and liabilities assumed in the acquisition. The preliminary allocation was made to major categories of assets and liabilities based on management’s best estimates and supported by an independent third-party analysis.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engaged an independent third party business valuation expert to assist us in estimating the fair values of the tangible and intangible assets of Navitas Midstream. The following table summarizes the final fair value allocation of assets acquired and liabilities assumed in the acquisition at February 17, 2022 (the effective date of the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Purchase price for 100% interest in Navitas Midstream</w:t>
            </w: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Recognized amounts of identifiable assets acquired and liabilities assumed:</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Contract-based intangible asset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Assumed liabilities, net of acquired other assets (1)</w:t>
            </w:r>
          </w:p>
        </w:tc>
        <w:tc>
          <w:tcPr>
            <w:tcW w:w="4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00" w:hanging="392"/>
        <w:spacing w:after="0" w:line="261" w:lineRule="auto"/>
        <w:tabs>
          <w:tab w:leader="none" w:pos="4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liabilities primarily include accounts payable, other current liabilities, lease liabilities and asset retirement obligations. Acquired other assets primarily include accounts receivable, other current assets and ROU assets. None of these amounts were considered individually 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contribution of this newly acquired business to our consolidated revenues and net income was not material during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acquisition related costs were not material during the year ended December 31,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historical pro forma basis, our revenues, costs and expenses, operating income, net income attributable to common unitholders and earnings per unit for the years ended December 31, 2022 and 2021 would not have differed materially from those we actually reported had the acquisition been completed on January 1, 2021 rather than February 17,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Equity-Based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allocated portion of the fair value of EPCO’s equity-based awards is charged to us under the ASA. The following table summarizes compensation expense we recognized in connection with equity-based awards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Equity-classified awards: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Phantom unit awards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Profits interest awards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equity-classified awards is amortized to earnings over the requisite service or vesting period. Equity-classified awards are expected to result in the issuance of the Partnership’s common units upon vesting.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2008 Enterprise Products Long-Term Incentive Plan (Fourth Amendment and Restatement) (referred to as the “2008 Plan”) is a plan under which any non-employee director, employee or consultants of EPCO, the Partnership or its affiliates providing services, directly or indirectly, for the Partnership or its subsidiaries may receive incentive compensation awards in the form of options, restricted units, phantom units, distribution equivalent rights, unit appreciation rights, unit awards, other unit-based awards or substitute awards.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number of the Partnership’s common units authorized for issuance under the 2008 Plan was 165,000,000 at December 31, 2023. The 2008 Plan is effective until November 22, 2032 or, if earlier, until (i) the time that all available common units under the 2008 Plan have been delivered to participants or (ii) the time of termination of the 2008 Plan by the Board of Directors of EPCO or by the Incentive Plan Administration Subcommittee of the Governance Committee of the Board of Enterprise GP. After giving effect to awards granted under the 2008 Plan through December 31, 2023, a total of 109,102,487 additional common units were available for issuance. After taking into account tax withholding requirements, we issued 4,662,539, 4,571,333 and 3,936,437 common units in connection with the vesting of phantom unit awards in the years ended December 31, 2023, 2022 and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Unit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customary forfeiture provisions, phantom unit awards allow recipients to acquire the Partnership’s common units once a defined vesting period expires (at no cost to the recipient apart from fulfilling required service and other conditions). We expect phantom units to result in the issuance of common units upon vesting; therefore, these grants are accounted for as equity-classified awards. Phantom unit awards generally vest at a rate of 25% per year beginning one year after the grant date and are non-vested until the required service periods expire.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a phantom unit award is based on the market price per unit of the Partnership’s common units on the date of grant. Compensation expense is recognized based on the grant date fair value, net of an allowance for estimated forfeitures, over the requisite service or vesting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phantom unit award activity for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0"/>
        </w:trPr>
        <w:tc>
          <w:tcPr>
            <w:tcW w:w="8680" w:type="dxa"/>
            <w:vAlign w:val="bottom"/>
          </w:tcPr>
          <w:p>
            <w:pPr>
              <w:spacing w:after="0"/>
              <w:rPr>
                <w:sz w:val="15"/>
                <w:szCs w:val="15"/>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15,669,442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 (2)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7,720,645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(5,648,281)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26.98</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(570,887)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17,170,919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 (3)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7,968,880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(6,616,741)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(540,113)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17,982,945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 (4)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8,904,445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(6,786,085)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24.81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(544,054)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19,557,251</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40" w:hanging="432"/>
        <w:spacing w:after="0"/>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by dividing the aggregate grant date fair value of awards (before an allowance for forfeitures) by the number of awards issued.</w:t>
      </w:r>
    </w:p>
    <w:p>
      <w:pPr>
        <w:spacing w:after="0" w:line="3" w:lineRule="exact"/>
        <w:rPr>
          <w:rFonts w:ascii="Times New Roman" w:cs="Times New Roman" w:eastAsia="Times New Roman" w:hAnsi="Times New Roman"/>
          <w:sz w:val="14"/>
          <w:szCs w:val="14"/>
          <w:color w:val="auto"/>
        </w:rPr>
      </w:pPr>
    </w:p>
    <w:p>
      <w:pPr>
        <w:ind w:left="440" w:right="20" w:hanging="432"/>
        <w:spacing w:after="0" w:line="221" w:lineRule="auto"/>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phantom unit awards issued during 2021 was $164 million based on a grant date market price of the Partnership’s common units ranging from $20.79 to $22.05 per unit. An estimated annual forfeiture rate of 2.0% was applied to these awards.</w:t>
      </w:r>
    </w:p>
    <w:p>
      <w:pPr>
        <w:ind w:left="440" w:right="20" w:hanging="432"/>
        <w:spacing w:after="0" w:line="221" w:lineRule="auto"/>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phantom unit awards issued during 2022 was $192 million based on a grant date market price of the Partnership’s common units ranging from $24.10 to $26.62 per unit. An estimated annual forfeiture rate of 2.1% was applied to these awards.</w:t>
      </w:r>
    </w:p>
    <w:p>
      <w:pPr>
        <w:ind w:left="440" w:right="20" w:hanging="432"/>
        <w:spacing w:after="0" w:line="239" w:lineRule="auto"/>
        <w:tabs>
          <w:tab w:leader="none" w:pos="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phantom unit awards issued during 2023 was $230 million based on a grant date market price of the Partnership’s common units ranging from $25.80 to $26.70 per unit. An estimated annual forfeiture rate of 2.0% was applied to these awards.</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2008 Plan provides for the issuance of DERs in connection with phantom unit awards. A DER entitles the participant to nonforfeitable cash payments equal to the product of the number of phantom unit awards outstanding for the participant and the cash distribution per common unit paid by the Partnership to its common unitholders. Cash payments made in connection with DERs are charged to partners’ equity when the phantom unit award is expected to result in the issuance of common units; otherwise, such amounts are expensed.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phantom unit awards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payments made in connection with DERs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Total intrinsic value of phantom unit awards that vested during period</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w:t>
            </w:r>
          </w:p>
        </w:tc>
      </w:tr>
    </w:tbl>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EPCO group of companies, the unrecognized compensation cost associated with phantom unit awards was $179 million at December 31, 2023, of which our share of such cost is currently estimated to be $144 million. Due to the graded vesting provisions of these awards, we expect to recognize our share of the unrecognized compensation cost for these awards over a weighted-average period of 2.1 years.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EPCO Holdings Inc. (“EPCO Holdings”), a privately held affiliate of EPCO, contributed a portion of the Partnership’s common units it owned to form EPD 2018 Unit IV L.P. (“EPD IV”) and EPCO Unit II L.P. (“EPCO II”) (collectively referred to as “Employee Partnerships”) that serve as long-term incentive arrangements for key employees of EPCO by providing them a “profits interest” (in the form of a Class B limited partner interest) in an Employee Partnership.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6, 2023, the partners of EPD IV and EPCO II amended their respective Employee Partnership’s limited partnership agreement to provide that the Class B limited partner interests therein will vest on the earliest of (i) December 3, 2027, (ii) the first date on or after November 6, 2023 for which the closing sale price of the Partnership’s common units on the NYSE is equal to or greater than $29.02 per unit (subject to certain adjustments), (iii) a change of control, or (iv) dissolution of such Employee Partnership. As a result of these modifications, EPD IV and EPCO II will recognize incremental compensation cost of $13 million and $3 million, respectively, over the requisite service period of the awards.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exchange for the contributions of the Partnership’s common units, EPCO Holdings was admitted as the Class A limited partner of each Employee Partnership. Also on the applicable contribution date, certain key EPCO employees were issued Class B limited partner interests (i.e., profits interest awards) and admitted as Class B limited partners of each Employee Partnership, all without any capital contribution by such employees. EPCO serves as the general partner of each Employee Partnership.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quarter, the Employee Partnerships, as owners of the Partnership’s common units, receive a cash distribution from the Partnership as do the Partnership’s other common unitholders. The cash received by the Employee Partnership is first used to pay the Class A limited partner a cash distribution equal to the product of (i) the number of the Partnership’s common units owned by the Employee Partnership and (ii) the Class A Preference Return (subject to equitable adjustment in order to reflect any equity split, equity distribution or dividend, reverse split, combination, reclassification, recapitalization or other similar event affecting such common units). To the extent that the Employee Partnership has cash remaining after making this quarterly payment to the Class A limited partner, the residual cash is distributed to the Class B limited partners on a quarterly basis as a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liquidation of an Employee Partnership, assets having a then current fair market value equal to the Class A limited partner’s capital base in such Employee Partnership will be distributed to the Class A limited partner. Any remaining assets of such Employee Partnership will be distributed to the Class B limited partners of such Employee Partnership as a residual profits interest, which represents the appreciation in value of the Employee Partnership’s assets since the date of EPCO Holdings’ contribution to it, as described above.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agreed to by EPCO and a majority in interest of the limited partners of each Employee Partnership, such Employee Partnership will terminate at the earliest to occur of (i) 30 days following its vesting date, (ii) a change of control or (iii) a dissolution of the Employee Partnership.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Individually, each Class B limited partner interest is subject to forfeiture if the participating employee’s employment with EPCO is terminated prior to vesting, with customary exceptions for death, disability and certain retirements. The risk of forfeiture will also lapse upon certain change of control events. Forfeited individual Class B limited partner interests are allocated to the remaining Class B limited partners.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elements of each Employee Partnership as of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15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0" w:type="dxa"/>
            <w:vAlign w:val="bottom"/>
          </w:tcPr>
          <w:p>
            <w:pPr>
              <w:spacing w:after="0"/>
              <w:rPr>
                <w:sz w:val="1"/>
                <w:szCs w:val="1"/>
                <w:color w:val="auto"/>
              </w:rPr>
            </w:pPr>
          </w:p>
        </w:tc>
      </w:tr>
      <w:tr>
        <w:trPr>
          <w:trHeight w:val="148"/>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1580" w:type="dxa"/>
            <w:vAlign w:val="bottom"/>
            <w:vMerge w:val="continue"/>
          </w:tcPr>
          <w:p>
            <w:pPr>
              <w:spacing w:after="0"/>
              <w:rPr>
                <w:sz w:val="12"/>
                <w:szCs w:val="12"/>
                <w:color w:val="auto"/>
              </w:rPr>
            </w:pPr>
          </w:p>
        </w:tc>
        <w:tc>
          <w:tcPr>
            <w:tcW w:w="14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Contributed by</w:t>
            </w:r>
          </w:p>
        </w:tc>
        <w:tc>
          <w:tcPr>
            <w:tcW w:w="15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4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Profits Interest</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80"/>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EPCO Holdings</w:t>
            </w: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 xml:space="preserve">Base </w:t>
            </w:r>
            <w:r>
              <w:rPr>
                <w:rFonts w:ascii="Times New Roman" w:cs="Times New Roman" w:eastAsia="Times New Roman" w:hAnsi="Times New Roman"/>
                <w:sz w:val="14"/>
                <w:szCs w:val="14"/>
                <w:color w:val="auto"/>
              </w:rPr>
              <w:t>(1)</w:t>
            </w:r>
          </w:p>
        </w:tc>
        <w:tc>
          <w:tcPr>
            <w:tcW w:w="14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(2)</w:t>
            </w: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color w:val="auto"/>
              </w:rPr>
              <w:t>(3)</w:t>
            </w:r>
          </w:p>
        </w:tc>
        <w:tc>
          <w:tcPr>
            <w:tcW w:w="1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EPD IV</w:t>
            </w: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6,400,000</w:t>
            </w:r>
          </w:p>
        </w:tc>
        <w:tc>
          <w:tcPr>
            <w:tcW w:w="158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4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$0.4325</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2024</w:t>
            </w:r>
          </w:p>
        </w:tc>
        <w:tc>
          <w:tcPr>
            <w:tcW w:w="150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8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EPCO II</w:t>
            </w:r>
          </w:p>
        </w:tc>
        <w:tc>
          <w:tcPr>
            <w:tcW w:w="2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1,600,000</w:t>
            </w:r>
          </w:p>
        </w:tc>
        <w:tc>
          <w:tcPr>
            <w:tcW w:w="1580" w:type="dxa"/>
            <w:vAlign w:val="bottom"/>
            <w:shd w:val="clear" w:color="auto" w:fill="CCEEFF"/>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44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$0.4325</w:t>
            </w:r>
          </w:p>
        </w:tc>
        <w:tc>
          <w:tcPr>
            <w:tcW w:w="1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2024</w:t>
            </w:r>
          </w:p>
        </w:tc>
        <w:tc>
          <w:tcPr>
            <w:tcW w:w="1500" w:type="dxa"/>
            <w:vAlign w:val="bottom"/>
            <w:shd w:val="clear" w:color="auto" w:fill="CCEEFF"/>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460" w:hanging="452"/>
        <w:spacing w:after="0"/>
        <w:tabs>
          <w:tab w:leader="none" w:pos="4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market value of the Partnership’s common units contributed to each Employee Partnership at the applicable contribution date.</w:t>
      </w:r>
    </w:p>
    <w:p>
      <w:pPr>
        <w:spacing w:after="0" w:line="3" w:lineRule="exact"/>
        <w:rPr>
          <w:rFonts w:ascii="Times New Roman" w:cs="Times New Roman" w:eastAsia="Times New Roman" w:hAnsi="Times New Roman"/>
          <w:sz w:val="14"/>
          <w:szCs w:val="14"/>
          <w:color w:val="auto"/>
        </w:rPr>
      </w:pPr>
    </w:p>
    <w:p>
      <w:pPr>
        <w:ind w:left="460" w:hanging="452"/>
        <w:spacing w:after="0" w:line="221" w:lineRule="auto"/>
        <w:tabs>
          <w:tab w:leader="none" w:pos="4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expected vesting/liquidation date based on the requisite service period (as derived using a Monte Carlo model) for each Employee Partnership.</w:t>
      </w:r>
    </w:p>
    <w:p>
      <w:pPr>
        <w:ind w:left="460" w:hanging="452"/>
        <w:spacing w:after="0" w:line="221" w:lineRule="auto"/>
        <w:tabs>
          <w:tab w:leader="none" w:pos="4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fair value of the profits interest awards awarded to the Class B limited partners of each Employee Partnership irrespective of how such costs will be allocated between us and EPCO and its privately held affiliates. The fair value is as of the plan modification date.</w:t>
      </w:r>
    </w:p>
    <w:p>
      <w:pPr>
        <w:ind w:left="460" w:hanging="452"/>
        <w:spacing w:after="0"/>
        <w:tabs>
          <w:tab w:leader="none" w:pos="4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expected share of the unrecognized compensation cost at December 31, 2023, which we expect to recognize over a weighted-average period of 0.8 years.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value of each Employee Partnership as of the modification date is based on (i) the estimated value (as determined using a Black-Scholes option pricing model or Monte Carlo model, as applicable) of such Employee Partnership’s assets that would be distributed to the Class B limited partners thereof upon liquidation and (ii) the value, based on a discounted cash flow analysis, of the residual quarterly cash amounts that such Class B limited partners are expected to receive over the life of the Employee Partnership.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we used in applying a Black-Scholes option pricing model or Monte Carlo model, as applicable, to derive that portion of the estimated fair value of the profits interest awards (at either the grant date or modification date) for each Employee Partnership: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4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Expected Life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Risk-Free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Unit</w:t>
            </w:r>
          </w:p>
        </w:tc>
        <w:tc>
          <w:tcPr>
            <w:tcW w:w="0" w:type="dxa"/>
            <w:vAlign w:val="bottom"/>
          </w:tcPr>
          <w:p>
            <w:pPr>
              <w:spacing w:after="0"/>
              <w:rPr>
                <w:sz w:val="1"/>
                <w:szCs w:val="1"/>
                <w:color w:val="auto"/>
              </w:rPr>
            </w:pPr>
          </w:p>
        </w:tc>
      </w:tr>
      <w:tr>
        <w:trPr>
          <w:trHeight w:val="149"/>
        </w:trPr>
        <w:tc>
          <w:tcPr>
            <w:tcW w:w="2400" w:type="dxa"/>
            <w:vAlign w:val="bottom"/>
            <w:vMerge w:val="continue"/>
          </w:tcPr>
          <w:p>
            <w:pPr>
              <w:spacing w:after="0"/>
              <w:rPr>
                <w:sz w:val="12"/>
                <w:szCs w:val="12"/>
                <w:color w:val="auto"/>
              </w:rPr>
            </w:pPr>
          </w:p>
        </w:tc>
        <w:tc>
          <w:tcPr>
            <w:tcW w:w="24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 Award</w:t>
            </w: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24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24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from Grant Date</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Volatility</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EPD IV</w:t>
            </w:r>
          </w:p>
        </w:tc>
        <w:tc>
          <w:tcPr>
            <w:tcW w:w="242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5.9 years</w:t>
            </w:r>
          </w:p>
        </w:tc>
        <w:tc>
          <w:tcPr>
            <w:tcW w:w="2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0.2% to 4.9%</w:t>
            </w:r>
          </w:p>
        </w:tc>
        <w:tc>
          <w:tcPr>
            <w:tcW w:w="21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6.5% to 8.4%</w:t>
            </w:r>
          </w:p>
        </w:tc>
        <w:tc>
          <w:tcPr>
            <w:tcW w:w="22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 to 39%</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EPCO II</w:t>
            </w:r>
          </w:p>
        </w:tc>
        <w:tc>
          <w:tcPr>
            <w:tcW w:w="24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5.9 years</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 to 4.9%</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 to 8.4%</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 to 36%</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attributable to the profits interest awards is based on the estimated fair value of each award. A portion of the fair value of these equity-based awards is allocated to us under the ASA as a non-cash expense. We are not responsible for reimbursing EPCO for any expenses of the Employee Partnerships, including the value of any contributions of units made by EPCO Holdings.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Hedging Activities and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options and other instruments with similar characteristics. Substantially all of our derivatives are used for non-trading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Treasury Locks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treasury lock is an agreement that fixes the price (or yield) of a specified U.S. treasury security for an established period of time. We use treasury lock agreements to hedge our exposure to interest rate changes and to reduce the volatility of financing costs on an expected future debt issuance. Each of our treasury lock transactions was designated as a cash flow hedge of the interest payments associated with an anticipated debt issuance.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entered into three treasury lock transactions to fix the ten-year treasury rate at a weighted-average rate of approximately 4.48% on an aggregate notional amount of $600 million. In January 2024, we entered into two additional treasury lock transactions to fix the ten-year treasury rate at 3.97% on a notional amount of $400 million and to fix the three-year treasury rate at 4.11% on a notional amount of $750 million. The purpose of these transactions was to hedge the underlying interest rate risk associated with debt issuances expected to occur in January 2024 (see Note 20). In January 2024, we terminated all of the treasury lock transactions simultaneously with our issuance of the three-year and ten-year notes and made total cash payments of $29 million. As cash flow hedges, losses on these derivative instruments are reflected as a component of accumulated other comprehensive income and will be amortized to earnings as a component of interest expense over the full term of each issuance.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upon issuance of Senior Notes FFF and GGG (see Note 7), we terminated and settled treasury lock transactions with a combined notional amount of $1.5 billion and received total cash proceeds of $21 million. As cash flow hedges, the gain realized on these derivative instruments was reflected as a component of accumulated other comprehensive income and is amortized to earnings as a reduction to interest expense over the full term of each issuance.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Forward-Starting Swaps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Forward-starting swaps hedge the risk of an increase in underlying benchmark interest rates during the period of time between the inception date of the swap agreement and the future date of a debt issuance. Under the terms of the forward-starting swaps, we pay to the counterparties (at the expected settlement dates of the instruments) amounts based on a fixed interest rate applied to a notional amount and receive from the counterparties an amount equal to a variable interest rate on the same notional amount.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we terminated an aggregate $1.1 billion notional amount of forward-starting swaps, which resulted in net cash proceeds of $75 million. Since the original swaptions associated with certain of these forward-starting swaps were not designated as hedging instruments and were subject to mark-to-market accounting, we previously incurred an unrealized, mark-to-market loss at inception of the forward starting swaps of $48 million that was reflected as an increase in interest expense in 2019. Immediately following exercise of the swaptions and being put into the forward-starting swaps, these instruments were designated as cash flow hedges. For the period from inception through the termination date in March 2021, we recognized cumulative gains on the forward-starting swaps of $123 million in accumulated other comprehensive income, of which $99 million is being reclassified to earnings (as a decrease in interest expense) over the 30-year life of the associated debt through February 2053 and $22 million is being reclassified to earnings (as a decrease in interest expense) over the cumulative life of the associated Senior Notes GGG (see Note 7) and future debt obligations. We reclassified $2 million of the cumulative gain as a decrease in interest expense in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prices of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w:t>
      </w:r>
    </w:p>
    <w:p>
      <w:pPr>
        <w:spacing w:after="0" w:line="176" w:lineRule="exact"/>
        <w:rPr>
          <w:sz w:val="20"/>
          <w:szCs w:val="20"/>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anticipated future commodity purchases and sales hedging program is to hedge the margins of certain transportation, storage, blending and operational activities by locking in purchase and sale prices through the use of derivative instruments and related contracts.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natural gas processing hedging program is to hedge an amount of earnings associated with these activities. We achieve this objective by executing fixed-price sales for a portion of our expected equity production using derivative instruments and related contracts. For certain natural gas processing contracts, the hedging of expected equity NGL production also involves the purchase of natural gas for plant thermal reduction, which is hedged using derivative instruments and related contracts.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inventory hedging program is to hedge the fair value of commodity products currently held in inventory by locking in the sales price of the inventory through the use of derivative instruments and related contracts.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commercial energy hedging program is to hedge anticipated future purchases of power for certain operations in Southeast Texas by locking in purchase prices through the use of derivative instruments and related contracts.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portfolio of commodity derivative instruments outstanding at December 31, 2023 (volume measures as noted):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14"/>
                <w:szCs w:val="14"/>
                <w:color w:val="auto"/>
              </w:rPr>
              <w:t>(1)</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Accounting</w:t>
            </w:r>
          </w:p>
        </w:tc>
      </w:tr>
      <w:tr>
        <w:trPr>
          <w:trHeight w:val="156"/>
        </w:trPr>
        <w:tc>
          <w:tcPr>
            <w:tcW w:w="6740" w:type="dxa"/>
            <w:vAlign w:val="bottom"/>
            <w:tcBorders>
              <w:bottom w:val="single" w:sz="8" w:color="auto"/>
            </w:tcBorders>
            <w:gridSpan w:val="3"/>
          </w:tcPr>
          <w:p>
            <w:pPr>
              <w:ind w:left="27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Purpose</w:t>
            </w:r>
          </w:p>
        </w:tc>
        <w:tc>
          <w:tcPr>
            <w:tcW w:w="1000" w:type="dxa"/>
            <w:vAlign w:val="bottom"/>
            <w:tcBorders>
              <w:bottom w:val="single" w:sz="8" w:color="auto"/>
            </w:tcBorders>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Current </w:t>
            </w:r>
            <w:r>
              <w:rPr>
                <w:rFonts w:ascii="Times New Roman" w:cs="Times New Roman" w:eastAsia="Times New Roman" w:hAnsi="Times New Roman"/>
                <w:sz w:val="14"/>
                <w:szCs w:val="14"/>
                <w:color w:val="auto"/>
              </w:rPr>
              <w:t>(2)</w:t>
            </w:r>
          </w:p>
        </w:tc>
        <w:tc>
          <w:tcPr>
            <w:tcW w:w="1700" w:type="dxa"/>
            <w:vAlign w:val="bottom"/>
            <w:tcBorders>
              <w:bottom w:val="single" w:sz="8" w:color="auto"/>
            </w:tcBorders>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Long-Term </w:t>
            </w:r>
            <w:r>
              <w:rPr>
                <w:rFonts w:ascii="Times New Roman" w:cs="Times New Roman" w:eastAsia="Times New Roman" w:hAnsi="Times New Roman"/>
                <w:sz w:val="14"/>
                <w:szCs w:val="14"/>
                <w:color w:val="auto"/>
              </w:rPr>
              <w:t>(2)</w:t>
            </w:r>
          </w:p>
        </w:tc>
        <w:tc>
          <w:tcPr>
            <w:tcW w:w="1800" w:type="dxa"/>
            <w:vAlign w:val="bottom"/>
            <w:tcBorders>
              <w:bottom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Treatment</w:t>
            </w:r>
          </w:p>
        </w:tc>
      </w:tr>
      <w:tr>
        <w:trPr>
          <w:trHeight w:val="203"/>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9"/>
        </w:trPr>
        <w:tc>
          <w:tcPr>
            <w:tcW w:w="2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Natural gas processing:</w:t>
            </w:r>
          </w:p>
        </w:tc>
        <w:tc>
          <w:tcPr>
            <w:tcW w:w="38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Forecasted natural gas purchases for plant thermal reduction (Bcf)</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7.1</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Forecasted sales of natural gas (Bcf)</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36.5</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Forecasted sales of NGLs (MMBbls)</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2.7</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Octane enhancement:</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Forecasted sales of octane enhancement products (MMBbls)</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4.9</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0.4</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Natural gas marketing:</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Natural gas storage inventory management activities (Bcf)</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1.0</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Fair value hedge</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NGL marketing:</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48"/>
        </w:trPr>
        <w:tc>
          <w:tcPr>
            <w:tcW w:w="674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purchases of NGLs and related hydrocarbon products (MMBbls)</w:t>
            </w:r>
          </w:p>
        </w:tc>
        <w:tc>
          <w:tcPr>
            <w:tcW w:w="1000" w:type="dxa"/>
            <w:vAlign w:val="bottom"/>
            <w:shd w:val="clear" w:color="auto" w:fill="CCEEFF"/>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70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800" w:type="dxa"/>
            <w:vAlign w:val="bottom"/>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148"/>
        </w:trPr>
        <w:tc>
          <w:tcPr>
            <w:tcW w:w="674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sales of NGLs and related hydrocarbon products (MMBbls)</w:t>
            </w:r>
          </w:p>
        </w:tc>
        <w:tc>
          <w:tcPr>
            <w:tcW w:w="10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17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w w:val="97"/>
              </w:rPr>
              <w:t>11.2</w:t>
            </w:r>
          </w:p>
        </w:tc>
        <w:tc>
          <w:tcPr>
            <w:tcW w:w="18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Refined products marketing:</w:t>
            </w: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Forecasted purchases of refined products (MMBbls)</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1.2</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0.1</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Crude oil marketing:</w:t>
            </w:r>
          </w:p>
        </w:tc>
        <w:tc>
          <w:tcPr>
            <w:tcW w:w="10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48"/>
        </w:trPr>
        <w:tc>
          <w:tcPr>
            <w:tcW w:w="674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purchases of crude oil (MMBbls)</w:t>
            </w:r>
          </w:p>
        </w:tc>
        <w:tc>
          <w:tcPr>
            <w:tcW w:w="10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7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148"/>
        </w:trPr>
        <w:tc>
          <w:tcPr>
            <w:tcW w:w="674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Forecasted sales of crude oil (MMBbls)</w:t>
            </w:r>
          </w:p>
        </w:tc>
        <w:tc>
          <w:tcPr>
            <w:tcW w:w="1000" w:type="dxa"/>
            <w:vAlign w:val="bottom"/>
            <w:shd w:val="clear" w:color="auto" w:fill="CCEEFF"/>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70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Petrochemical marketing:</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Forecasted sales of petrochemical products (MMBbls)</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0.1</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Commercial energy:</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Forecasted purchases of power related to asset operations (terawatt hours (“TWh”))</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1.4</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1.5</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Cash flow hedge</w:t>
            </w:r>
          </w:p>
        </w:tc>
      </w:tr>
      <w:tr>
        <w:trPr>
          <w:trHeight w:val="203"/>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42"/>
        </w:trPr>
        <w:tc>
          <w:tcPr>
            <w:tcW w:w="6740" w:type="dxa"/>
            <w:vAlign w:val="bottom"/>
            <w:gridSpan w:val="3"/>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Natural gas risk management activities (Bcf) (3)</w:t>
            </w:r>
          </w:p>
        </w:tc>
        <w:tc>
          <w:tcPr>
            <w:tcW w:w="1000" w:type="dxa"/>
            <w:vAlign w:val="bottom"/>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19.1</w:t>
            </w:r>
          </w:p>
        </w:tc>
        <w:tc>
          <w:tcPr>
            <w:tcW w:w="170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Mark-to-market</w:t>
            </w:r>
          </w:p>
        </w:tc>
      </w:tr>
      <w:tr>
        <w:trPr>
          <w:trHeight w:val="216"/>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NGL risk management activities (MMBbls) (3)</w:t>
            </w: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12.5</w:t>
            </w:r>
          </w:p>
        </w:tc>
        <w:tc>
          <w:tcPr>
            <w:tcW w:w="170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7.8</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Mark-to-market</w:t>
            </w:r>
          </w:p>
        </w:tc>
      </w:tr>
      <w:tr>
        <w:trPr>
          <w:trHeight w:val="216"/>
        </w:trPr>
        <w:tc>
          <w:tcPr>
            <w:tcW w:w="6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Refined products risk management activities (MMBbls) (3)</w:t>
            </w:r>
          </w:p>
        </w:tc>
        <w:tc>
          <w:tcPr>
            <w:tcW w:w="10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5.1</w:t>
            </w:r>
          </w:p>
        </w:tc>
        <w:tc>
          <w:tcPr>
            <w:tcW w:w="17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80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Mark-to-market</w:t>
            </w:r>
          </w:p>
        </w:tc>
      </w:tr>
      <w:tr>
        <w:trPr>
          <w:trHeight w:val="188"/>
        </w:trPr>
        <w:tc>
          <w:tcPr>
            <w:tcW w:w="67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Crude oil risk management activities (MMBbls) (3)</w:t>
            </w:r>
          </w:p>
        </w:tc>
        <w:tc>
          <w:tcPr>
            <w:tcW w:w="10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102.5</w:t>
            </w:r>
          </w:p>
        </w:tc>
        <w:tc>
          <w:tcPr>
            <w:tcW w:w="170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7"/>
              </w:rPr>
              <w:t>25.2</w:t>
            </w:r>
          </w:p>
        </w:tc>
        <w:tc>
          <w:tcPr>
            <w:tcW w:w="18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Mark-to-market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p>
      <w:pPr>
        <w:ind w:left="420" w:right="20" w:hanging="412"/>
        <w:spacing w:after="0" w:line="233" w:lineRule="auto"/>
        <w:tabs>
          <w:tab w:leader="none" w:pos="4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for derivatives designated as hedging instruments reflects the total amount of volumes hedged whereas volume for derivatives not designated as hedging instruments reflects the absolute value of derivative notional volumes.</w:t>
      </w:r>
    </w:p>
    <w:p>
      <w:pPr>
        <w:ind w:left="420" w:right="20" w:hanging="412"/>
        <w:spacing w:after="0" w:line="221" w:lineRule="auto"/>
        <w:tabs>
          <w:tab w:leader="none" w:pos="4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term for derivatives designated as cash flow hedges, derivatives designated as fair value hedges and derivatives not designated as hedging instruments is December 2025, February 2024 and December 2025, respectively.</w:t>
      </w:r>
    </w:p>
    <w:p>
      <w:pPr>
        <w:ind w:left="420" w:hanging="412"/>
        <w:spacing w:after="0"/>
        <w:tabs>
          <w:tab w:leader="none" w:pos="4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use of derivative instruments to manage risks associated with our transportation, processing and storage assets.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our inventories subject to fair value hedges was $2 million and $12 million at December 31, 2023 and 2022, respectively.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basis swaps and other derivative instruments not designated as hedging instruments are used to manage market risks associated with anticipated purchases and sales of commodity products. There is some uncertainty involved in the timing of these transactions often due to the development of more favorable profit opportunities or when spreads are insufficient to cover variable costs thus reducing the likelihood that the transactions will occur during the periods originally forecasted. In accordance with derivatives accounting guidance, these instruments do not qualify for hedge accounting even though they are effective at managing the risk exposures of the underlying assets. Due to volatility in commodity prices, any non-cash, mark-to-market earnings variability cannot be predicted.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Tabular Presentation of Fair Value Amounts, and Gains and Losses 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Related Hedged Items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balance sheet overview of our derivative assets and liabilities at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5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6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920" w:type="dxa"/>
            <w:vAlign w:val="bottom"/>
          </w:tcPr>
          <w:p>
            <w:pPr>
              <w:jc w:val="center"/>
              <w:ind w:left="10"/>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0"/>
                <w:szCs w:val="10"/>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920" w:type="dxa"/>
            <w:vAlign w:val="bottom"/>
          </w:tcPr>
          <w:p>
            <w:pPr>
              <w:jc w:val="center"/>
              <w:ind w:left="3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9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920" w:type="dxa"/>
            <w:vAlign w:val="bottom"/>
            <w:shd w:val="clear" w:color="auto" w:fill="CCEEFF"/>
          </w:tcPr>
          <w:p>
            <w:pPr>
              <w:jc w:val="center"/>
              <w:ind w:left="10"/>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660" w:type="dxa"/>
            <w:vAlign w:val="bottom"/>
            <w:gridSpan w:val="2"/>
            <w:vMerge w:val="restart"/>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660" w:type="dxa"/>
            <w:vAlign w:val="bottom"/>
            <w:vMerge w:val="restart"/>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w:t>
            </w:r>
          </w:p>
        </w:tc>
        <w:tc>
          <w:tcPr>
            <w:tcW w:w="10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1080" w:type="dxa"/>
            <w:vAlign w:val="bottom"/>
            <w:tcBorders>
              <w:right w:val="single" w:sz="8" w:color="CCEEFF"/>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Current</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assets</w:t>
            </w:r>
          </w:p>
        </w:tc>
        <w:tc>
          <w:tcPr>
            <w:tcW w:w="66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assets</w:t>
            </w:r>
          </w:p>
        </w:tc>
        <w:tc>
          <w:tcPr>
            <w:tcW w:w="66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tcPr>
          <w:p>
            <w:pPr>
              <w:jc w:val="center"/>
              <w:ind w:left="10"/>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66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5"/>
              </w:rPr>
              <w:t>118</w:t>
            </w: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6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422</w:t>
            </w:r>
          </w:p>
        </w:tc>
        <w:tc>
          <w:tcPr>
            <w:tcW w:w="10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136</w:t>
            </w: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Current</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assets</w:t>
            </w:r>
          </w:p>
        </w:tc>
        <w:tc>
          <w:tcPr>
            <w:tcW w:w="66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assets</w:t>
            </w: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shd w:val="clear" w:color="auto" w:fill="CCEEFF"/>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Other assets</w:t>
            </w:r>
          </w:p>
        </w:tc>
        <w:tc>
          <w:tcPr>
            <w:tcW w:w="6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80" w:type="dxa"/>
            <w:vAlign w:val="bottom"/>
            <w:tcBorders>
              <w:righ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149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491</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202</w:t>
            </w: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tcPr>
          <w:p>
            <w:pPr>
              <w:jc w:val="center"/>
              <w:ind w:left="10"/>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66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5"/>
              </w:rPr>
              <w:t>229</w:t>
            </w:r>
          </w:p>
        </w:tc>
        <w:tc>
          <w:tcPr>
            <w:tcW w:w="9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6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104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229</w:t>
            </w:r>
          </w:p>
        </w:tc>
        <w:tc>
          <w:tcPr>
            <w:tcW w:w="10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Current</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assets</w:t>
            </w:r>
          </w:p>
        </w:tc>
        <w:tc>
          <w:tcPr>
            <w:tcW w:w="66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assets</w:t>
            </w: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Other assets</w:t>
            </w:r>
          </w:p>
        </w:tc>
        <w:tc>
          <w:tcPr>
            <w:tcW w:w="6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301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301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commodity derivative instruments are subject to master netting arrangements or similar agreements. The following tables present our derivative instruments subject to such arrangements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7"/>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Offsetting of Financial Assets and Derivative Assets</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gridSpan w:val="6"/>
          </w:tcPr>
          <w:p>
            <w:pPr>
              <w:jc w:val="center"/>
              <w:ind w:left="828"/>
              <w:spacing w:after="0" w:line="124"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820" w:type="dxa"/>
            <w:vAlign w:val="bottom"/>
          </w:tcPr>
          <w:p>
            <w:pPr>
              <w:spacing w:after="0"/>
              <w:rPr>
                <w:sz w:val="9"/>
                <w:szCs w:val="9"/>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Amounts That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Assets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Would Have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3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Been Presented</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On Net Basis</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(i)</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3"/>
              </w:rPr>
              <w:t>(ii)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(iii) = (i) – (ii)</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(v) = (iii) + (iv)</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w:t>
            </w:r>
          </w:p>
        </w:tc>
        <w:tc>
          <w:tcPr>
            <w:tcW w:w="11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(450)</w:t>
            </w:r>
          </w:p>
        </w:tc>
        <w:tc>
          <w:tcPr>
            <w:tcW w:w="108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0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11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233"/>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486</w:t>
            </w:r>
          </w:p>
        </w:tc>
        <w:tc>
          <w:tcPr>
            <w:tcW w:w="112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486</w:t>
            </w:r>
          </w:p>
        </w:tc>
        <w:tc>
          <w:tcPr>
            <w:tcW w:w="2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w:t>
            </w:r>
          </w:p>
        </w:tc>
        <w:tc>
          <w:tcPr>
            <w:tcW w:w="106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8"/>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Offsetting of Financial Liabilities and Derivative Liabilities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gridSpan w:val="7"/>
          </w:tcPr>
          <w:p>
            <w:pPr>
              <w:jc w:val="center"/>
              <w:ind w:left="828"/>
              <w:spacing w:after="0" w:line="124"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Amounts That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Liabilities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Amounts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Would Have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3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Been Presented</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0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On Net Basis</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0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(i)</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3"/>
              </w:rPr>
              <w:t>(ii)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(iii) = (i) – (ii)</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98"/>
              </w:rPr>
              <w:t>(iv)</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(v) = (iii) + (iv)</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0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11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31</w:t>
            </w:r>
          </w:p>
        </w:tc>
        <w:tc>
          <w:tcPr>
            <w:tcW w:w="0" w:type="dxa"/>
            <w:vAlign w:val="bottom"/>
          </w:tcPr>
          <w:p>
            <w:pPr>
              <w:spacing w:after="0"/>
              <w:rPr>
                <w:sz w:val="1"/>
                <w:szCs w:val="1"/>
                <w:color w:val="auto"/>
              </w:rPr>
            </w:pPr>
          </w:p>
        </w:tc>
      </w:tr>
      <w:tr>
        <w:trPr>
          <w:trHeight w:val="216"/>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471</w:t>
            </w:r>
          </w:p>
        </w:tc>
        <w:tc>
          <w:tcPr>
            <w:tcW w:w="112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471</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(450)</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10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derivatives</w:t>
            </w:r>
          </w:p>
        </w:tc>
        <w:tc>
          <w:tcPr>
            <w:tcW w:w="10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412</w:t>
            </w:r>
          </w:p>
        </w:tc>
        <w:tc>
          <w:tcPr>
            <w:tcW w:w="11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(411)</w:t>
            </w:r>
          </w:p>
        </w:tc>
        <w:tc>
          <w:tcPr>
            <w:tcW w:w="112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 assets and liabilities recorded on our Consolidated Balance Sheets are presented on a gross basis and determined at the individual transaction level. This presentation method is applied regardless of whether the respective exchange clearing agreements, counterparty contracts or master netting agreements contain netting language often referred to as “rights of offset.” Although derivative amounts are presented on a gross basis, having rights of offset enable the settlement of a net as opposed to gross receivable or payable amount under a counterparty default or liquidation scenario.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is paid and received as collateral under certain agreements, particularly for those associated with exchange transactions. For any cash collateral payments or receipts, corresponding assets or liabilities are recorded to reflect the variation margin deposits or receipts with exchange clearing brokers and customers. These balances are also presented on a gross basis on our Consolidated Balance Sheets.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tabular presentation above provides a means for comparing the gross amount of derivative assets and liabilities, excluding associated accounts payable and receivable, to the net amount that would likely be receivable or payable under a default scenario based on the existence of rights of offset in the respective derivative agreements. Any cash collateral paid or received is reflected in these tables, but only to the extent that it represents variation margins. Any amounts associated with derivative prepayments or initial margins that are not influenced by the derivative asset or liability amounts or those that are determined solely on their volumetric notional amounts are excluded from these tables.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 of our derivative instruments designated as fair value hedges on our Statements of Consolidated Operations for the years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Derivatives in Fair Value</w:t>
            </w:r>
          </w:p>
        </w:tc>
        <w:tc>
          <w:tcPr>
            <w:tcW w:w="1520" w:type="dxa"/>
            <w:vAlign w:val="bottom"/>
          </w:tcPr>
          <w:p>
            <w:pPr>
              <w:spacing w:after="0"/>
              <w:rPr>
                <w:sz w:val="13"/>
                <w:szCs w:val="13"/>
                <w:color w:val="auto"/>
              </w:rPr>
            </w:pPr>
          </w:p>
        </w:tc>
        <w:tc>
          <w:tcPr>
            <w:tcW w:w="3500" w:type="dxa"/>
            <w:vAlign w:val="bottom"/>
            <w:gridSpan w:val="2"/>
            <w:vMerge w:val="restart"/>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5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Revenue</w:t>
            </w:r>
          </w:p>
        </w:tc>
        <w:tc>
          <w:tcPr>
            <w:tcW w:w="35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8"/>
                <w:szCs w:val="18"/>
                <w:color w:val="auto"/>
              </w:rPr>
            </w:pPr>
          </w:p>
        </w:tc>
        <w:tc>
          <w:tcPr>
            <w:tcW w:w="350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3"/>
        </w:trPr>
        <w:tc>
          <w:tcPr>
            <w:tcW w:w="31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Derivatives in Fair Value</w:t>
            </w:r>
          </w:p>
        </w:tc>
        <w:tc>
          <w:tcPr>
            <w:tcW w:w="1520" w:type="dxa"/>
            <w:vAlign w:val="bottom"/>
          </w:tcPr>
          <w:p>
            <w:pPr>
              <w:spacing w:after="0"/>
              <w:rPr>
                <w:sz w:val="24"/>
                <w:szCs w:val="24"/>
                <w:color w:val="auto"/>
              </w:rPr>
            </w:pPr>
          </w:p>
        </w:tc>
        <w:tc>
          <w:tcPr>
            <w:tcW w:w="3500" w:type="dxa"/>
            <w:vAlign w:val="bottom"/>
            <w:gridSpan w:val="2"/>
            <w:vMerge w:val="restart"/>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5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on Hedged Item</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Revenue</w:t>
            </w:r>
          </w:p>
        </w:tc>
        <w:tc>
          <w:tcPr>
            <w:tcW w:w="35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8"/>
                <w:szCs w:val="18"/>
                <w:color w:val="auto"/>
              </w:rPr>
            </w:pPr>
          </w:p>
        </w:tc>
        <w:tc>
          <w:tcPr>
            <w:tcW w:w="350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 (loss) corresponding to the hedge ineffectiveness on the fair value hedges was negligible for all periods presented. The remaining gain (loss) for each period presented is primarily attributable to prompt-to-forward month price differentials that were excluded from the assessment of hedge effectiveness.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our derivative instruments designated as cash flow hedges on our Statements of Consolidated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Consolidated Comprehensive Income for the years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Value Recognized in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4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80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 – Revenue (1)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 – Operating costs and expenses (1)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8"/>
                <w:szCs w:val="18"/>
                <w:color w:val="auto"/>
              </w:rPr>
            </w:pP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60" w:hanging="352"/>
        <w:spacing w:after="0"/>
        <w:tabs>
          <w:tab w:leader="none" w:pos="3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these derivative instruments will be reclassified to their respective locations on the Statement of Consolidated Operations when the forecasted transactions affect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4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vMerge w:val="continue"/>
          </w:tcPr>
          <w:p>
            <w:pPr>
              <w:spacing w:after="0"/>
              <w:rPr>
                <w:sz w:val="12"/>
                <w:szCs w:val="12"/>
                <w:color w:val="auto"/>
              </w:rPr>
            </w:pPr>
          </w:p>
        </w:tc>
        <w:tc>
          <w:tcPr>
            <w:tcW w:w="424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40" w:type="dxa"/>
            <w:vAlign w:val="bottom"/>
          </w:tcPr>
          <w:p>
            <w:pPr>
              <w:spacing w:after="0"/>
              <w:rPr>
                <w:sz w:val="12"/>
                <w:szCs w:val="12"/>
                <w:color w:val="auto"/>
              </w:rPr>
            </w:pPr>
          </w:p>
        </w:tc>
        <w:tc>
          <w:tcPr>
            <w:tcW w:w="23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42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 to Income</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4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Interest expense</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4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Revenue</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181</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4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240" w:type="dxa"/>
            <w:vAlign w:val="bottom"/>
          </w:tcPr>
          <w:p>
            <w:pPr>
              <w:spacing w:after="0"/>
              <w:rPr>
                <w:sz w:val="18"/>
                <w:szCs w:val="18"/>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201</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next twelve months, we expect to reclassify $9 million of gains attributable to interest rate derivative instruments from accumulated other comprehensive income to earnings as a decrease in interest expense. Likewise, we expect to reclassify $146 million of net gains attributable to commodity derivative instruments from accumulated other comprehensive income to earnings, with $161 million as an increase in revenue and $15 million as an increase in operating costs and expenses.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our derivative instruments not designated as hedging instruments on our Statements of Consolidated Operations for the years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336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6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3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Revenue</w:t>
            </w:r>
          </w:p>
        </w:tc>
        <w:tc>
          <w:tcPr>
            <w:tcW w:w="16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3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3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$213 million net gain recognized for the year ended December 31, 2023 (as noted in the preceding table) from derivatives not designated as hedging instruments consists of $246 million of net realized gains and $33 million of net unrealized mark-to-market losses attributable to commodity derivatives.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total and inclusive of both fair value hedges and derivatives not designated as hedging instruments, unrealized mark-to-market gains (losses) included in gross operating margin were as follows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Mark-to-market gains (losses) in gross operating margin:</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mark-to-market impact on gross operating margin</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by level within the Level 1, 2 and 3 fair value hierarchy (see Note 2), the carrying values of our financial assets and liabilities at the dates indicated. These assets and liabilities are measured on a recurring basis and are classified based on the lowest level of input used to estimate their fair value. Our assessment of the relative significance of such inputs requires judgment.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values for commodity derivatives are presented before and after the application of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431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284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284</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317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85"/>
              </w:rPr>
              <w:t>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85"/>
              </w:rPr>
              <w:t>295</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 the aggregate, the fair value of our commodity hedging portfolios at December 31, 2023 was a net derivative asset of $103 million prior to the impact of CME Rule 814.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derivatives: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Impact of CME Rule 814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recorded on the balance sheet at December 31, 2023 and 2022 using significant unobservable inputs (Level 3) and changes in the fair value of our recurring Level 3 financial assets and liabilities on a combined basis during the related periods were not material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carrying amounts of cash and cash equivalents (including restricted cash balances), accounts receivable, commercial paper notes and accounts payable approximate their fair values based on their short-term nature. The estimated total fair value of our fixed-rate debt obligations was $26.7 billion and $24.2 billion at December 31, 2023 and 2022, respectively. The aggregate carrying value of these debt obligations was $28.0 billion and $27.5 billion at December 31, 2023 and 2022, respectively. These values are primarily based on quoted market prices for such debt or debt of similar terms and maturities (Level 2) and our credit standing. Changes in market rates of interest affect the fair value of our fixed-rate debt. The carrying values of our variable-rate long-term debt obligations approximate their fair values since the associated interest rates are market-based. We do not have any long-term investments in debt or equity securities recorded at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related party transactions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 related parties: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w:t>
            </w:r>
          </w:p>
        </w:tc>
      </w:tr>
      <w:tr>
        <w:trPr>
          <w:trHeight w:val="210"/>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Costs and expenses – related parties:</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EPCO and its privately held affiliates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1,353</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w:t>
            </w: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1,498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9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our related party accounts receivable and accounts payable balances at the dates indicated: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Accounts receivable - related parties: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EPCO and its privately held affiliates</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9"/>
                <w:szCs w:val="19"/>
                <w:color w:val="auto"/>
              </w:rPr>
            </w:pPr>
          </w:p>
        </w:tc>
      </w:tr>
      <w:tr>
        <w:trPr>
          <w:trHeight w:val="257"/>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r>
      <w:tr>
        <w:trPr>
          <w:trHeight w:val="209"/>
        </w:trPr>
        <w:tc>
          <w:tcPr>
            <w:tcW w:w="86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Accounts payable - related parties: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EPCO and its privately held affiliates</w:t>
            </w:r>
          </w:p>
        </w:tc>
        <w:tc>
          <w:tcPr>
            <w:tcW w:w="760" w:type="dxa"/>
            <w:vAlign w:val="bottom"/>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221</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r>
      <w:tr>
        <w:trPr>
          <w:trHeight w:val="20"/>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believe that the terms and provisions of our related party agreements are fair to us; however, such agreements and transactions may not be as favorable to us as we could have obtained from unaffiliated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EPCO and Affiliates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an extensive and ongoing relationship with EPCO and its privately held affiliates (including Enterprise GP, our general partner), which are not a part of our consolidated group of companies.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2023, EPCO and its privately held affiliates (including Dan Duncan LLC and certain Duncan family trusts) beneficially owned the following limited partner interests in us:</w:t>
      </w:r>
    </w:p>
    <w:p>
      <w:pPr>
        <w:spacing w:after="0" w:line="143"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7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Total Number of Limited Partner Interests Held</w:t>
            </w:r>
          </w:p>
        </w:tc>
        <w:tc>
          <w:tcPr>
            <w:tcW w:w="17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702,209,694 common units</w:t>
            </w:r>
          </w:p>
        </w:tc>
        <w:tc>
          <w:tcPr>
            <w:tcW w:w="170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Of the total number of Partnership common units held by EPCO and its privately held affiliates, 62,976,464 have been pledged as security under the separate credit facilities of EPCO and its privately held affiliates at December 31, 2023. These credit facilities contain customary and other events of default, including defaults by us and other affiliates of EPCO. An event of default, followed by a foreclosure on the pledged collateral, could ultimately result in a change in ownership of these units and affect the market price of the Partnership’s common units.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 and Enterprise GP are both separate legal entities apart from each other and apart from EPCO and its other affiliates, with assets and liabilities that are also separate from those of EPCO and its other affiliates. EPCO and its privately held affiliates use cash on hand and cash distributions they receive from us and other investments to fund their other activities and to meet their respective debt obligations, if any. During the years ended December 31, 2023, 2022 and 2021, we paid EPCO and its privately held affiliates cash distributions totaling $1.3 billion, $1.3 billion and $1.2 billion,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office space from privately held affiliates of EPCO at rental rates that approximate market rates. For each of the years ended December 31, 2023, 2022 and 2021, we recognized $13 million of related party operating lease expense in connection with these office space leases.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EPCO ASA</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no employees. All of our administrative and operating functions are provided either by employees of EPCO (pursuant to the ASA) or by other service providers. We and our general partner are parties to the ASA.</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ASA, EPCO provides us with the administrative and operating services deemed necessary to manage and operate our businesses, properties and assets (all in accordance with prudent industry practices). Our operating costs and expenses include amounts paid to EPCO for the actual direct and indirect costs it incurs to operate our facilities, including the compensation of its employees. Likewise, our general and administrative costs include amounts paid to EPCO for management and other administrative services, including the compensation of its employees. In general, our reimbursement to EPCO for administrative services is either (i) on an actual basis for direct expenses it may incur on our behalf (e.g., the purchase of office supplies) or (ii) based on an allocation of such charges between the various parties to the ASA based on the estimated use of such services by each party (e.g., the allocation of legal or accounting salaries based on estimates of time spent on each entity’s business and affairs). In addition, we have agreed to pay all sales, use, excise, value added or similar taxes, if any, that may be applicable from time to time with respect to the services provided to us by EPCO.</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ASA allows us to participate as a named insured in EPCO’s overall insurance program, with the associated premiums and other costs being allocated to us. See Note 18 for additional information regarding our insurance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related party costs and expenses attributable to the ASA with EPCO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1,189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1,146</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vast majority of such expenses are charged to us on an actual basis (i.e., no mark-up is charged or subsidy is received), we believe that such expenses are representative of what the amounts would have been on a standalone basis. With respect to allocated costs, we believe that the proportional direct allocation method employed by EPCO is reasonable and reflective of the estimated level of costs we would have incurred on a standalone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Relationships with Unconsolidated Affiliates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unconsolidated affiliates perform supporting or complementary roles to our other business operations. The following information summarizes significant related party transactions with our unconsolidated affiliates: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2022 and 2021, we paid Seaway $27 million, $20 million and $104 million, respectively, for pipeline transportation and storage services in connection with our crude oil marketing activities. Revenues from Seaway were $25 million, $15 million and $43 million for the years ended December 31, 2023, 2022 and 2021, respectively.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2022 and 2021, we purchased $80 million, $107 million and $94 million, respectively, of NGLs from</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VESCO.</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Promix for the transportation, storage and fractionation of NGLs. Expenses with Promix were $36 million, $41 million and $27 million for the years ended December 31, 2023, 2022 and 2021, respectively. In addition, we sell natural gas to Promix for its plant fuel requirements. Revenues from Promix were $11 million, $22 million and $12 million for the years ended December 31, 2023, 2022 and 2021, respectively.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2022 and 2021, we paid Texas Express $27 million, $31 million and $28 million, respectively, for pipeline transportation services.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management services for certain of our unconsolidated affiliates. We charged such affiliates $11 million, $12 million and $13 million for the years ended December 31, 2023, 2022 and 2021,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Publicly traded partnerships like ours are treated as corporations unless they have 90% or more in “qualifying income” (as that term is defined in the Internal Revenue Code). We satisfied this requirement in each of the years ended December 31, 2023, 2022 and 2021 and, as a result, are not subject to federal income tax. However, our partners are individually responsible for paying federal income tax on their share of our taxable income. Net earnings for financial reporting purposes may differ significantly from taxable income reportable to our unitholders as a result of differences between the tax basis and financial reporting basis of certain assets and liabilities and other factors. We do not have access to information regarding each partner’s individual tax basis in our limited partner interests.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Accounting guidance provides that a tax benefit from an uncertain tax position may be recognized when it is more likely than not that the position will be sustained upon examination, including resolutions of any related appeals or litigation processes, based on the technical merits. We did not rely on any uncertain tax positions in recording our income tax-related amounts during the years ended December 31, 2023, 2022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Tabular Disclosures Regarding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federal, state and foreign income tax benefit (provision) is summarized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940" w:type="dxa"/>
            <w:vAlign w:val="bottom"/>
          </w:tcPr>
          <w:p>
            <w:pPr>
              <w:spacing w:after="0"/>
              <w:rPr>
                <w:sz w:val="19"/>
                <w:szCs w:val="19"/>
                <w:color w:val="auto"/>
              </w:rPr>
            </w:pPr>
          </w:p>
        </w:tc>
        <w:tc>
          <w:tcPr>
            <w:tcW w:w="4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income tax provision:</w:t>
            </w:r>
          </w:p>
        </w:tc>
        <w:tc>
          <w:tcPr>
            <w:tcW w:w="33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418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3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r>
      <w:tr>
        <w:trPr>
          <w:trHeight w:val="27"/>
        </w:trPr>
        <w:tc>
          <w:tcPr>
            <w:tcW w:w="39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portion</w:t>
            </w:r>
          </w:p>
        </w:tc>
        <w:tc>
          <w:tcPr>
            <w:tcW w:w="3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portion of income tax provision:</w:t>
            </w:r>
          </w:p>
        </w:tc>
        <w:tc>
          <w:tcPr>
            <w:tcW w:w="3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3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39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deferred portion</w:t>
            </w:r>
          </w:p>
        </w:tc>
        <w:tc>
          <w:tcPr>
            <w:tcW w:w="3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r>
      <w:tr>
        <w:trPr>
          <w:trHeight w:val="27"/>
        </w:trPr>
        <w:tc>
          <w:tcPr>
            <w:tcW w:w="39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3380" w:type="dxa"/>
            <w:vAlign w:val="bottom"/>
          </w:tcPr>
          <w:p>
            <w:pPr>
              <w:spacing w:after="0"/>
              <w:rPr>
                <w:sz w:val="18"/>
                <w:szCs w:val="18"/>
                <w:color w:val="auto"/>
              </w:rPr>
            </w:pP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r>
      <w:tr>
        <w:trPr>
          <w:trHeight w:val="20"/>
        </w:trPr>
        <w:tc>
          <w:tcPr>
            <w:tcW w:w="39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4180" w:type="dxa"/>
            <w:vAlign w:val="bottom"/>
            <w:gridSpan w:val="2"/>
          </w:tcPr>
          <w:p>
            <w:pPr>
              <w:jc w:val="right"/>
              <w:ind w:right="2248"/>
              <w:spacing w:after="0"/>
              <w:rPr>
                <w:sz w:val="20"/>
                <w:szCs w:val="20"/>
                <w:color w:val="auto"/>
              </w:rPr>
            </w:pPr>
            <w:r>
              <w:rPr>
                <w:rFonts w:ascii="Times New Roman" w:cs="Times New Roman" w:eastAsia="Times New Roman" w:hAnsi="Times New Roman"/>
                <w:sz w:val="18"/>
                <w:szCs w:val="18"/>
                <w:color w:val="auto"/>
              </w:rPr>
              <w:t>F-61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3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with amounts determined by applying the statutory U.S. federal income tax rate to income before income taxes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Net Book Income (“NBI”)</w:t>
            </w:r>
          </w:p>
        </w:tc>
        <w:tc>
          <w:tcPr>
            <w:tcW w:w="272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5,701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5,697</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4,825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Texas Margin Tax (1)</w:t>
            </w: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 provision, net of federal benefit</w:t>
            </w: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5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Federal income tax provision computed by applying the</w:t>
            </w:r>
          </w:p>
        </w:tc>
        <w:tc>
          <w:tcPr>
            <w:tcW w:w="19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0"/>
                <w:szCs w:val="10"/>
                <w:color w:val="auto"/>
              </w:rPr>
            </w:pPr>
          </w:p>
        </w:tc>
        <w:tc>
          <w:tcPr>
            <w:tcW w:w="11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federal statutory rate to NBI of corporate entities</w:t>
            </w:r>
          </w:p>
        </w:tc>
        <w:tc>
          <w:tcPr>
            <w:tcW w:w="1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 (2)</w:t>
            </w: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72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40" w:right="20" w:hanging="332"/>
        <w:spacing w:after="0" w:line="233" w:lineRule="auto"/>
        <w:tabs>
          <w:tab w:leader="none" w:pos="3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Texas Margin Tax is not considered a state income tax, it has the characteristics of an income tax since it is determined by applying a tax rate to a base that considers our Texas-sourced revenues and expenses.</w:t>
      </w:r>
    </w:p>
    <w:p>
      <w:pPr>
        <w:ind w:left="340" w:hanging="332"/>
        <w:spacing w:after="0" w:line="239" w:lineRule="auto"/>
        <w:tabs>
          <w:tab w:leader="none" w:pos="3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management concluded that it is more likely than not that the deferred tax assets attributable to OTA will be fully realizable. As a result, for the year-end December 31, 2023, we recorded a full release of the valuation allowance against OTA’s deferred tax assets.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income taxes are determined based on the temporary differences between the financial statement and income tax bases of assets and liabilities as measured by the enacted tax rates, which will be in effect when these differences reverse.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deferred tax assets and deferred tax liabilities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Attributable to investment in OTA (1)</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Attributable to property, plant and equipment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Attributable to investments in other entities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9"/>
                <w:szCs w:val="19"/>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604</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operating loss carryovers (2)</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Temporary differences related to Texas Margin Tax</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Valuation allowance</w:t>
            </w:r>
          </w:p>
        </w:tc>
        <w:tc>
          <w:tcPr>
            <w:tcW w:w="760" w:type="dxa"/>
            <w:vAlign w:val="bottom"/>
          </w:tcPr>
          <w:p>
            <w:pPr>
              <w:spacing w:after="0"/>
              <w:rPr>
                <w:sz w:val="19"/>
                <w:szCs w:val="19"/>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net deferred tax liabilities</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r>
      <w:tr>
        <w:trPr>
          <w:trHeight w:val="20"/>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deferred tax liability balance held by our wholly owned subsidiary, OTA, which we acquired in March 2020.</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amount presented as of December 31, 2023 has an indefinite carryover period. All losses are subject to limitations on their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normal business activities, we may be named as defendants in legal proceedings, including those arising from regulatory and environmental matters. Although we are insured against various risks to the extent we believe it is prudent, there is no assurance that the nature and amount of such insurance will be adequate, in every case, to fully indemnify us against losses arising from future legal proceedings. We will vigorously defend the Partnership in litigation matters.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regular quarterly litigation reviews, including updates from legal counsel, to assess the possible need for accounting recognition and disclosure of these contingencies. We accrue an undiscounted liability for those contingencies where the loss is probable and the amount can be reasonably estimated. If a range of probable loss amounts can be reasonably estimated and no amount within the range is a better estimate than any other amount, then the minimum amount in the range is accrued.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 Based on a consideration of all relevant known facts and circumstances, we do not believe that the ultimate outcome of any currently pending litigation directed against us will have a material impact on our consolidated financial statements either individually at the claim level or in the aggregate.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accruals for litigation contingencies at December 31, 2023 and 2022, respectively. We classify our accruals for litigation contingencies in our Consolidated Balance Sheets as a component of “Other current liabilities” or “Other long-term liabilities” based on management’s estimate regarding the timing of settlement. Our evaluation of litigation contingencies is based on the facts and circumstances of each case and predicting the outcome of these matters involves uncertainties. In the event the assumptions we use to evaluate these matters change in future periods or new information becomes available, we may be required to record additional accruals. In an effort to mitigate expenses associated with litigation, we may settle legal proceedings out of court.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Under Equity Compensation Plans of EPCO</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our agreements with EPCO, we reimburse EPCO for our share of its compensation expense attributable to employees who perform management, administrative and operating functions for us. See Notes 13 and 15 for additional information regarding our accounting for equity-based awards and related party information,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various contractual obligations at December 31, 2023. A description of each type of contractual obligation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Payment or Settlement due by Period</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5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9"/>
                <w:szCs w:val="19"/>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Scheduled maturities of debt obligations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29,021</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23,371</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cash interest payments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26,940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1,160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20,888</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482</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222</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obligations: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Product purchase commitments: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Estimated payment obligations: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Natural gas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6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NGLs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2,909</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433</w:t>
            </w:r>
          </w:p>
        </w:tc>
      </w:tr>
      <w:tr>
        <w:trPr>
          <w:trHeight w:val="216"/>
        </w:trPr>
        <w:tc>
          <w:tcPr>
            <w:tcW w:w="2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Crude oil</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8,922</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1,842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1,442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1,105</w:t>
            </w:r>
          </w:p>
        </w:tc>
      </w:tr>
      <w:tr>
        <w:trPr>
          <w:trHeight w:val="216"/>
        </w:trPr>
        <w:tc>
          <w:tcPr>
            <w:tcW w:w="26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Petrochemicals and refined products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216"/>
        </w:trPr>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 payment commitments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247</w:t>
            </w:r>
          </w:p>
        </w:tc>
      </w:tr>
      <w:tr>
        <w:trPr>
          <w:trHeight w:val="216"/>
        </w:trPr>
        <w:tc>
          <w:tcPr>
            <w:tcW w:w="26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33"/>
        </w:trPr>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Capital expenditure commitments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Scheduled Maturities of Debt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long-term and short-term payment obligations under debt agreements. Amounts shown in the preceding table represent our scheduled future maturities of debt principal for the years indicated. See Note 7 for additional information regarding our consolidated debt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Estimated Cash Interest Payments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estimated cash payments for interest are based on the principal amount of our consolidated debt obligations outstanding at December 31, 2023, the contractually scheduled maturities of such balances, and the applicable interest rates. Our estimated cash payments for interest are influenced by the long-term maturities of our $2.3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2023, as applicable, for each note through the respective maturity date. See Note 7 for information regarding fixed and weighted-average variable interest rates charged in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Lease Obligations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lease certain property, plant and equipment under noncancelable and cancelable operating leases. Amounts shown in the preceding table represent minimum cash lease payment obligations under our operating leases with terms in excess of one year.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lease agreements consist of (i) land held pursuant to property leases, (ii) the lease of underground storage caverns for natural gas, NGLs and ethylene, (iii) the lease of compressors and transportation equipment used in our operations and (iv) office space leased from affiliates of EPCO. These lease agreements have terms that range from 5 to 30 years. The agreements to lease office space from affiliates of EPCO and those relating to underground NGL storage caverns we lease from a third party include renewal options that could extend these contracts for up to an additional 20 years. The remainder of our significant lease agreements do not provide for additional renewal terms.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expense is charged to operating costs and expenses on a straight-line basis over the period of expected economic benefit. Contingent rental payments are expensed as incurred. We are generally required to perform routine maintenance on the underlying leased assets. In addition, certain leases give us the option to make leasehold improvements. Maintenance and repairs of leased assets resulting from our operations are charged to expense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operating leases where we are the lessee at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ROU</w:t>
            </w:r>
          </w:p>
        </w:tc>
        <w:tc>
          <w:tcPr>
            <w:tcW w:w="240" w:type="dxa"/>
            <w:vAlign w:val="bottom"/>
          </w:tcPr>
          <w:p>
            <w:pPr>
              <w:spacing w:after="0"/>
              <w:rPr>
                <w:sz w:val="13"/>
                <w:szCs w:val="13"/>
                <w:color w:val="auto"/>
              </w:rPr>
            </w:pPr>
          </w:p>
        </w:tc>
        <w:tc>
          <w:tcPr>
            <w:tcW w:w="8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9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240" w:type="dxa"/>
            <w:vAlign w:val="bottom"/>
          </w:tcPr>
          <w:p>
            <w:pPr>
              <w:spacing w:after="0"/>
              <w:rPr>
                <w:sz w:val="12"/>
                <w:szCs w:val="12"/>
                <w:color w:val="auto"/>
              </w:rPr>
            </w:pPr>
          </w:p>
        </w:tc>
        <w:tc>
          <w:tcPr>
            <w:tcW w:w="8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0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74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8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8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90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80"/>
        </w:trPr>
        <w:tc>
          <w:tcPr>
            <w:tcW w:w="37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color w:val="auto"/>
              </w:rPr>
              <w:t>(1)</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4"/>
                <w:szCs w:val="14"/>
                <w:color w:val="auto"/>
                <w:w w:val="98"/>
              </w:rPr>
              <w:t>(2)</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190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Storage and pipeline facilities</w:t>
            </w:r>
          </w:p>
        </w:tc>
        <w:tc>
          <w:tcPr>
            <w:tcW w:w="1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10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187</w:t>
            </w:r>
          </w:p>
        </w:tc>
        <w:tc>
          <w:tcPr>
            <w:tcW w:w="236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9 years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equipment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color w:val="auto"/>
              </w:rPr>
              <w:t>25</w:t>
            </w:r>
          </w:p>
        </w:tc>
        <w:tc>
          <w:tcPr>
            <w:tcW w:w="23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 years</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360" w:type="dxa"/>
            <w:vAlign w:val="bottom"/>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 and warehouse space</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186</w:t>
            </w:r>
          </w:p>
        </w:tc>
        <w:tc>
          <w:tcPr>
            <w:tcW w:w="2360" w:type="dxa"/>
            <w:vAlign w:val="bottom"/>
            <w:tcBorders>
              <w:bottom w:val="single" w:sz="8" w:color="CCEEFF"/>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13 years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100" w:type="dxa"/>
            <w:vAlign w:val="bottom"/>
            <w:gridSpan w:val="2"/>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color w:val="auto"/>
              </w:rPr>
              <w:t>398</w:t>
            </w:r>
          </w:p>
        </w:tc>
        <w:tc>
          <w:tcPr>
            <w:tcW w:w="2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 asset amounts are a component of “Other assets” on our Consolidated Balance Sheet.</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lease liabilities of $75 million and $323 million were included within “Other current liabilities” and “Other long-term liabilities,” respectively.</w:t>
      </w:r>
    </w:p>
    <w:p>
      <w:pPr>
        <w:ind w:left="380" w:right="20" w:hanging="372"/>
        <w:spacing w:after="0" w:line="239" w:lineRule="auto"/>
        <w:tabs>
          <w:tab w:leader="none" w:pos="3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for each category of assets represents the weighted average incremental borrowing rate adjusted for collateralization (if the implicit rate is not determinable). In general, the discount rates are based on either (i) information available at the lease commencement date or (ii) January 1, 2019 for leases existing at the adoption date for ASC 842.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total operating lease expense for the years indicated:</w:t>
      </w:r>
    </w:p>
    <w:p>
      <w:pPr>
        <w:spacing w:after="0" w:line="21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-3175</wp:posOffset>
            </wp:positionV>
            <wp:extent cx="24174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33"/>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Long-term operating leases: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9"/>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Fixed lease expense:</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expense (amortization of ROU assets)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r>
      <w:tr>
        <w:trPr>
          <w:trHeight w:val="216"/>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accretion expense on lease liability balances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fixed lease expense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Variable lease expense</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operating lease expense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Short-term operating leases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r>
      <w:tr>
        <w:trPr>
          <w:trHeight w:val="27"/>
        </w:trPr>
        <w:tc>
          <w:tcPr>
            <w:tcW w:w="7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expense</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lease expense is charged to earnings on a straight-line basis over the contractual term, with any variable lease payments expensed as incurred. Short-term operating lease expense is expensed as incurred. Cash paid for operating lease liabilities recorded on our balance sheet was $87 million, $65 million and $40 million for the years ended December 31, 2023, 2022 and 2021,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significant operating or direct financing leases where we are the lessor. Our operating lease income for the years ended December 31, 2023, 2022 and 2021 was $16 million, $14 million and $12 million, respectively. We do not have any sales-type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purchase obligations as agreements with remaining terms in excess of one year to purchase goods or services that are enforceable and legally binding (i.e., unconditional) on us that specify all significant terms, including (i) fixed or minimum quantities to be purchased, (ii) fixed, minimum or variable price provisions and (iii) the approximate timing of the transactions. We classify our unconditional purchase obligations into the following categories:</w:t>
      </w:r>
    </w:p>
    <w:p>
      <w:pPr>
        <w:spacing w:after="0" w:line="189" w:lineRule="exact"/>
        <w:rPr>
          <w:sz w:val="20"/>
          <w:szCs w:val="20"/>
          <w:color w:val="auto"/>
        </w:rPr>
      </w:pPr>
    </w:p>
    <w:p>
      <w:pPr>
        <w:jc w:val="both"/>
        <w:ind w:left="340" w:hanging="332"/>
        <w:spacing w:after="0" w:line="258"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purchase commitments – We have long-term product purchase obligations for natural gas, NGLs, crude oil, and petrochemicals and refined products with third party suppliers. The prices that we are obligated to pay under these contracts approximate market prices at the time we take delivery of the volumes. The preceding table presents our estimated future payment obligations under these contracts based on the contractual price in each agreement at December 31, 2023 applied to all future volume commitments. Actual future payment obligations may vary depending on prices at the time of delivery.</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payment commitments – We have long-term commitments to pay service providers, including those attributable to obligations under firm pipeline transportation contracts. Payment obligations vary by contract, but generally represent a price per unit of volume multiplied by a firm transportation volume commitment.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short-term payment obligations relating to our capital expenditures, including our share of the capital expenditures of unconsolidated affiliates. These commitments represent unconditional payment obligations for services to be rendered or products to be delivered in connection with capital projects.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“Other long-term liabilities” as presented on our Consolidated Balance Sheets at the dates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Noncurrent portion of AROs (see Note 4)</w:t>
            </w:r>
          </w:p>
        </w:tc>
        <w:tc>
          <w:tcPr>
            <w:tcW w:w="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revenues – non-current portion (see Note 9)</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liability – non-current portion</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941</w:t>
            </w:r>
          </w:p>
        </w:tc>
      </w:tr>
      <w:tr>
        <w:trPr>
          <w:trHeight w:val="21"/>
        </w:trPr>
        <w:tc>
          <w:tcPr>
            <w:tcW w:w="8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Significant Risks and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predominantly in the midstream energy industry, which includes gathering, transporting, processing, fractionating and storing natural gas, NGLs, crude oil, and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public health emergencies and government regulations affecting prices and production levels.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natural gas, NGL and crude oil volumes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logistics assets are located could result in a decrease in volumes handled by our assets, which could have a material adverse effect on our financial position, results of operations and cash flows.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crude oil and natural gas reserves exist in the areas served by our assets, we may not be chosen by producers in these areas to gather, transport, process, fractionate, store or otherwise handle the hydrocarbons extracted. We compete with other companies for such production on the basis of many factors, including, but not limited to, geographic proximity to the production, costs of connection, available capacity, rates and access to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incur credit risk to the extent counterparties do not fulfill their obligations to us in connection with our marketing of natural gas, NGLs, crude oil, and petrochemicals and refined products and under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such as those experienced in connection with the COVID-19 pandemic in 2020, may increase the risk of nonpayment and nonperformance by customers, particularly customers that have sub-investment grade credit ratings or small-scale companies. We manage our exposure to credit risk through credit analysis, credit approvals, credit limits and monitoring procedures, and for certain transactions may utilize letters of credit, prepayments, net out agreements and guarantees. However, these procedures and policies do not fully eliminate customer credit risk.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markets for our services are the Gulf Coast, Southwest, Rocky Mountain, Northeast and Midwest regions of the U.S. We have a concentration of trade receivables due from independent and major integrated oil and gas companies and other pipelines and wholesalers operating in these markets. These concentrations may affect our overall credit risk in that these energy industry customers may be similarly affected by adverse changes in economic, regulatory or other factors.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those situations where we are exposed to credit risk in our derivative instrument transactions, we analyze the counterparty’s financial condition prior to entering into an agreement, establish credit and/or margin limits and monitor the appropriateness of these limits on an ongoing basis. Generally, we do not require collateral for such transactions nor do we currently anticipate nonperformance by our material counterparties.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as a named insured in EPCO’s insurance program, which provides us with property damage, business interruption and other insurance coverage, the scope and amounts of which we believe are customary and prudent for the nature and extent of our operations. While we believe EPCO maintains adequate insurance coverage on our behalf, insurance may not fully cover every type of damage, interruption or other loss that might occur. If we were to incur a significant loss for which we were not fully insured, it could have a material adverse impact on our financial position, results of operations and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may be timing differences between amounts we accrue related to property damage expense, amounts we are required to pay in connection with a loss, and amounts we subsequently receive from insurance carriers as reimbursements. Any event that materially interrupts the revenues generated by our consolidated operations, or other losses that require us to make material expenditures not reimbursed by insurance, could reduce our ability to pay distributions to our unitholders and, accordingly, adversely affect the market price of the Partnership’s common units.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Involuntary conversions result from the loss of an asset due to some unforeseen event (e.g., destruction due to a fire). Some of these events are covered by insurance, thus resulting in a property damage insurance recovery. Amounts we receive from insurance carriers are net of any deductibles related to the covered event. We record a receivable from insurance to the extent we recognize a loss from an involuntary conversion event and the likelihood of our recovering such loss is deemed probable. To the extent that any of our insurance claim receivables are later judged not probable of recovery (e.g., due to new information), such amounts are expensed. We recognize gains on involuntary conversions when the amount received from insurance exceeds the net book value of the retired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do not recognize gains related to insurance recoveries until all contingencies related to such proceeds have been resolved, that is, a non-refundable cash payment is received from the insurance carrier or we have a binding settlement agreement with the carrier that clearly states that a non-refundable payment will be made. To the extent that an asset is rebuilt, the associated expenditures are capitalized, as appropriate, on our Consolidated Balance Sheets and presented as “Capital expenditures” on our Statements of Consolidated Cash Flows.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current insurance program, the standalone deductible for property damage claims is $30 million. We also have business interruption protection; however, such claims must involve physical damage and have a combined loss value in excess of $30 million and the period of interruption must exceed 60 days. With respect to named windstorm claims, the maximum amount of insurance coverage available to us for any single event is $200 million, after applying the appropriate deductibles. A named windstorm is a hurricane, typhoon, tropical storm or cyclone as declared by the U.S. National Weather Service.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April 2023, we maintain insurance coverage for general liability, excess liability, automotive liability and workers’ compensation that is separate from EPCO’s insurance program. For these policies, we are responsible to the extent that losses are within policy limits. We have reserves for both open claims asserted, and an estimate of claims incurred but not reported (“IBNR”). The IBNR reserve is estimated based on actuarial assumptions and analysis and is updated annually. Future events, such as the number of new claims to be filed each year, the average cost of disposing of claims, as well as the numerous uncertainties surrounding litigation and possible state and national legislative measures could cause the actual costs to be higher or lower than estimated. Accordingly, these claims, if resolved in a manner different from the estimate, could have a material adverse impact on our financial position, results of operations and cash flows. As of December 31, 2023, our reserve balance, which is a component of “Other Current Liabilities” on our Consolidated Balance Sheets, was $22 million.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Supplemental Cash Flow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net effect of changes in our operating accounts and cash payments for interest and income taxes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 trade</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 related parties</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 – trade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 related parties</w:t>
            </w: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product payables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effect of changes in operating accounts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payments for interest, net of $106, $90 and $80</w:t>
            </w:r>
          </w:p>
        </w:tc>
        <w:tc>
          <w:tcPr>
            <w:tcW w:w="760" w:type="dxa"/>
            <w:vAlign w:val="bottom"/>
            <w:vMerge w:val="restart"/>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240" w:type="dxa"/>
            <w:vAlign w:val="bottom"/>
            <w:vMerge w:val="restart"/>
            <w:shd w:val="clear" w:color="auto" w:fill="CCEEFF"/>
          </w:tcPr>
          <w:p>
            <w:pPr>
              <w:spacing w:after="0"/>
              <w:rPr>
                <w:sz w:val="10"/>
                <w:szCs w:val="10"/>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1,232</w:t>
            </w:r>
          </w:p>
        </w:tc>
        <w:tc>
          <w:tcPr>
            <w:tcW w:w="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1,231</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in 2023, 2022 and 2021, respectively</w:t>
            </w:r>
          </w:p>
        </w:tc>
        <w:tc>
          <w:tcPr>
            <w:tcW w:w="7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payments for federal and state income taxes</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liabilities for construction in progress that had not been paid at December 31, 2023, 2022 and 2021 of $400 million, $238 million and $183 million, respectively. Such amounts are not included under the caption “Capital expenditures” on the Statements of Consolidated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proceeds from asset sales and other matters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Recovery of construction costs (1)</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Sale of natural gas gathering system and related treating facility</w:t>
            </w:r>
          </w:p>
        </w:tc>
        <w:tc>
          <w:tcPr>
            <w:tcW w:w="8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 sales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r>
      <w:tr>
        <w:trPr>
          <w:trHeight w:val="27"/>
        </w:trPr>
        <w:tc>
          <w:tcPr>
            <w:tcW w:w="73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r>
      <w:tr>
        <w:trPr>
          <w:trHeight w:val="20"/>
        </w:trPr>
        <w:tc>
          <w:tcPr>
            <w:tcW w:w="7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reflect the portion of cash receipts from the settlement of claims attributable to the partial recovery of construction costs incurred on the associated capital project.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gains (losses) attributable to asset sales and related matters for the years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involuntary conversions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Net gains (losses) attributable to other asset sales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27"/>
        </w:trPr>
        <w:tc>
          <w:tcPr>
            <w:tcW w:w="7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$2.0 Billion of Senior Notes in January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EPO issued $2.0 billion aggregate principal amount of senior notes comprised of (i) $1.0 billion principal amount of senior notes due January 2027 (“Senior Notes HHH”) and (ii) $1.0 billion principal amount of senior notes due January 2034 (“Senior Notes III”). Net proceeds from this offering will be used by EPO for general company purposes, including for growth capital investments, and the repayment of debt (including the repayment of all or a portion of our $850 million principal amount of 3.90% Senior Notes JJ at their maturity in February 2024 and amounts outstanding under our commercial paper program).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Senior Notes HHH were issued at 99.897% of their principal amount and have a fixed interest rate of 4.60% per year. Senior Notes III were issued at 99.705% of their principal amount and have a fixed interest rate of 4.85% per year. The Partnership guaranteed these senior notes through an unconditional guarantee on an unsecured and unsubordinated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Equity Interests From Western Midstream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2024, we acquired the remaining 20% equity interest in Whitethorn and 25% equity interest in EF78 from affiliates of Western Midstream for total cash consideration of $375 million. We funded the cash consideration using cash on hand and proceeds from the issuance of short-term notes under EPO’s commercial paper program. As a result of these transactions, Whitethorn and EF78 are now our wholly owned subsidiaries. Since we had a controlling interest in these entities before and after the acquisition, the increase in our ownership interest in each entity will be accounted for as an equity transaction with no gain or loss recognized.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February 16, 2024, an affiliate of Enterprise entered into a definitive agreement to acquire an additional 15% equity interest in Panola from an affiliate of Western Midstream for $25 million in cash consideration. The acquisition is subject to the preferential purchase rights of other members in Panola to participate in the acquisition. Should other members exercise their preferential purchase rights, the equity interest we acquire and corresponding purchase price paid will be adjusted based on the ratio of our member interest to the total member interests of all participating members. This transaction, which is expected to close by April 1, 2024, will be funded using cash on hand and proceeds from the issuance of short-term notes under EPO’s commercial paper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18"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RETENTION BONUS AGREEMENT</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Retention Bonus Agreement (“Agreement”) is made and entered into effective as of April 15, 2019 (the “Effective Date”), between Enterprise Products Company (“Company”) and Richard Daniel Boss (“Employee”).</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the Company and Employee desire to enter into this Agreement to provide a contingent retention payment to encourage Employee (i) to remain employed with the Company through May 31, 2023 (the “Completion Date”), (ii) to continue to perform Employee’s duties in a highly effective manner, and (iii) to proactively support the business strategy of the Company and its Company Affiliates (as defined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covenants set forth herein, the parties hereby agree as follows:</w:t>
      </w:r>
    </w:p>
    <w:p>
      <w:pPr>
        <w:spacing w:after="0" w:line="216"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Retention Payment</w:t>
      </w:r>
    </w:p>
    <w:p>
      <w:pPr>
        <w:spacing w:after="0" w:line="215" w:lineRule="exact"/>
        <w:rPr>
          <w:rFonts w:ascii="Times New Roman" w:cs="Times New Roman" w:eastAsia="Times New Roman" w:hAnsi="Times New Roman"/>
          <w:sz w:val="20"/>
          <w:szCs w:val="20"/>
          <w:color w:val="auto"/>
        </w:rPr>
      </w:pPr>
    </w:p>
    <w:p>
      <w:pPr>
        <w:jc w:val="both"/>
        <w:ind w:firstLine="656"/>
        <w:spacing w:after="0" w:line="245" w:lineRule="auto"/>
        <w:tabs>
          <w:tab w:leader="none" w:pos="1141"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Employee shall have remained continuously employed as an active fulltime employee of Company from the Effective Date through the Completion Date (“Retention Period”), and provided that Employee continues to perform Employee’s duties during the Retention Period in a highly effective manner, as determined by the key executives (“Management”) of the Company (“Performance Requirement”), the Company shall pay Employee a cash retention bonus of $1,000,000, less all applicable withholding taxes and other required deductions on such payment, in a lump sum within seven business days following the Completion Date (“Retention Payment”).</w:t>
      </w:r>
    </w:p>
    <w:p>
      <w:pPr>
        <w:spacing w:after="0" w:line="184" w:lineRule="exact"/>
        <w:rPr>
          <w:rFonts w:ascii="Times New Roman" w:cs="Times New Roman" w:eastAsia="Times New Roman" w:hAnsi="Times New Roman"/>
          <w:sz w:val="20"/>
          <w:szCs w:val="20"/>
          <w:color w:val="auto"/>
        </w:rPr>
      </w:pPr>
    </w:p>
    <w:p>
      <w:pPr>
        <w:jc w:val="both"/>
        <w:ind w:firstLine="656"/>
        <w:spacing w:after="0" w:line="242" w:lineRule="auto"/>
        <w:tabs>
          <w:tab w:leader="none" w:pos="997"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 incurs a Qualifying Termination (as defined below) prior to the end of the Retention Period and Employee has met the Performance Requirement through Employee’s termination date, the Company shall pay Employee (or in the event of Employee’s death, Employee’s estate) a cash payment equal to a “pro-rata amount” of the Retention Payment, less all applicable withholding taxes and other required deductions on such payment, in a lump sum within seven business days following Employee’s Qualifying Termination date (the “Pro-rated Amount”). The Pro-rated Amount shall be determined based on the number of days Employee is employed during the Retention Period over the total number of days in the Retention Period. A “Qualifying Termination” means Employee’s employment with the Company and its Company Affiliates is terminated prior to the Completion Date (i) due to Employee’s death or Disability (as defined below), or (ii) by the Company other than for Cause (as defined below). Employee’s Qualifying Termination must constitute a “separation from service”, as such term is defined by the Treasury Regulations under Section 409A of the Internal Revenue Code of 1986, as amended (“Section 409A”).</w:t>
      </w:r>
    </w:p>
    <w:p>
      <w:pPr>
        <w:spacing w:after="0" w:line="192" w:lineRule="exact"/>
        <w:rPr>
          <w:rFonts w:ascii="Times New Roman" w:cs="Times New Roman" w:eastAsia="Times New Roman" w:hAnsi="Times New Roman"/>
          <w:sz w:val="20"/>
          <w:szCs w:val="20"/>
          <w:color w:val="auto"/>
        </w:rPr>
      </w:pPr>
    </w:p>
    <w:p>
      <w:pPr>
        <w:jc w:val="both"/>
        <w:ind w:firstLine="656"/>
        <w:spacing w:after="0" w:line="254" w:lineRule="auto"/>
        <w:tabs>
          <w:tab w:leader="none" w:pos="1057"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Employee’s employment with the Company and the Company Affiliates terminates prior to the Completion Date for any reason other than a Qualifying Termination, then, effective upon Employee’s termination of employment, Employee shall cease to have any rights under this Agreement and no payment shall be due or payable to Employee pursuant to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009"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determinations of whether there has been a Qualifying Termination of Employee’s employment and whether Employee has satisfied the Performance Requirement shall be determined by Management, in its good faith discretion, and such determination shall be binding for all purposes.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4" w:name="page205"/>
    <w:bookmarkEnd w:id="204"/>
    <w:p>
      <w:pPr>
        <w:ind w:left="660" w:hanging="652"/>
        <w:spacing w:after="0"/>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214" w:lineRule="exact"/>
        <w:rPr>
          <w:rFonts w:ascii="Times New Roman" w:cs="Times New Roman" w:eastAsia="Times New Roman" w:hAnsi="Times New Roman"/>
          <w:sz w:val="20"/>
          <w:szCs w:val="20"/>
          <w:color w:val="auto"/>
        </w:rPr>
      </w:pPr>
    </w:p>
    <w:p>
      <w:pPr>
        <w:jc w:val="both"/>
        <w:ind w:firstLine="656"/>
        <w:spacing w:after="0" w:line="242" w:lineRule="auto"/>
        <w:tabs>
          <w:tab w:leader="none" w:pos="99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for Cause under this Agreement shall mean a determination made in good faith by Management that Cause exists to terminate Employee. As used herein, “Cause” shall mean (i) an act of willful misconduct or gross negligence by Employee in the performance or non-performance of Employee’s duties, (ii) Employee’s appropriation (or attempted appropriation) of a business opportunity of the Company or any Company Affiliate, including attempting to secure or securing any personal gain in connection with any transaction entered into on behalf of the Company or any Company Affiliate, (iii) Employee’s misappropriation (or attempted misappropriation) of any funds or property of the Company or any Company Affiliate, (iv) Employee’s willful failure to perform any substantial duties of Employee’s position (other than any such failure resulting from Employee’s incapacity due to physical or mental illness or disability), (v) Employee’s failure to perform Employee’s duties at a satisfactory level, as determined in good faith by Management, or (vi) Employee’s conviction of, indictment for (or its procedural equivalent), or entering a guilty plea or a plea of no contest, with respect to any misdemeanor involving moral turpitude or any felony.</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031"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Affiliate” under this Agreement shall mean and include (i) EPCO Holdings, Inc., (ii) Enterprise Products OLPGP, Inc., (iii) Enterprise Products Partners, L.P. (“EPD”), (iv) Enterprise Products Holdings LLC, (v) Enterprise Products Operating LLC, (vi) the respective subsidiaries or affiliates of any of the foregoing entities, (vii) any other entity (A) which is controlled, directly or indirectly, individually, collectively or in any combination, by the Company or any of the foregoing entities or (B) in which any of the Company or any of the foregoing entities has a direct or indirect ownership interest, (viii) any other entity (a) which is controlled, directly or indirectly, by the Estate of Dan L. Duncan, Deceased, his spouse, his descendants or any trusts for any of their respective benefit, individually, collectively or in any combination, or (b) in which any of them has a direct or indirect ownership interest and (ix) any predecessors, subsidiaries, related entities, officers, directors, shareholders, parent companies, agents, attorneys, employees, successors, or assigns of any of the foregoing.</w:t>
      </w:r>
    </w:p>
    <w:p>
      <w:pPr>
        <w:spacing w:after="0" w:line="173" w:lineRule="exact"/>
        <w:rPr>
          <w:rFonts w:ascii="Times New Roman" w:cs="Times New Roman" w:eastAsia="Times New Roman" w:hAnsi="Times New Roman"/>
          <w:sz w:val="19"/>
          <w:szCs w:val="19"/>
          <w:color w:val="auto"/>
        </w:rPr>
      </w:pPr>
    </w:p>
    <w:p>
      <w:pPr>
        <w:jc w:val="both"/>
        <w:ind w:firstLine="656"/>
        <w:spacing w:after="0" w:line="254" w:lineRule="auto"/>
        <w:tabs>
          <w:tab w:leader="none" w:pos="100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under this Agreement shall mean Employee is unable to perform the duties of Employee’s position of employment or any substantially similar position of employment due to a medically determinable physical or mental impairment that is expected to result in death or last for a continuous period of not less than twelve months.</w:t>
      </w:r>
    </w:p>
    <w:p>
      <w:pPr>
        <w:spacing w:after="0" w:line="17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Agreement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Agreement shall terminate on the earliest to occur of (i) the date of payment of the Pro-rated Amount to Employee (or Employee’s estate) following a Qualifying Termination; (ii) the date of Employee’s termination of employment with the Company for any reason other than a Qualifying Termination; (iii) the date of payment of the Retention Payment following the Completion Date; or (iv) a violation of Section 4.A. or 4.F. by Employee.</w:t>
      </w:r>
    </w:p>
    <w:p>
      <w:pPr>
        <w:spacing w:after="0" w:line="180"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5" w:lineRule="exact"/>
        <w:rPr>
          <w:rFonts w:ascii="Times New Roman" w:cs="Times New Roman" w:eastAsia="Times New Roman" w:hAnsi="Times New Roman"/>
          <w:sz w:val="20"/>
          <w:szCs w:val="20"/>
          <w:color w:val="auto"/>
        </w:rPr>
      </w:pPr>
    </w:p>
    <w:p>
      <w:pPr>
        <w:jc w:val="both"/>
        <w:ind w:firstLine="656"/>
        <w:spacing w:after="0" w:line="254" w:lineRule="auto"/>
        <w:tabs>
          <w:tab w:leader="none" w:pos="99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shall not have any power to anticipate, pledge, assign, encumber or dispose of any right, title, or interest of Employee in any payment that may become payable to Employee under this Agreement, other than by will or the laws of descent and distribution. Any violation of this Paragraph A. shall automatically terminate this Agreement without any payment due Employee.</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05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binding upon and inure to the benefit of any successors to the Company and all persons lawfully claiming under Employee. Nothing in this Agreement shall confer on Employee any right to continued employment with the Company or affect in any way the right of the Company to terminate Employee’s employment at any time.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jc w:val="both"/>
        <w:ind w:firstLine="656"/>
        <w:spacing w:after="0" w:line="246" w:lineRule="auto"/>
        <w:tabs>
          <w:tab w:leader="none" w:pos="97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that may be made to Employee under this Agreement is not intended to be, and shall not be construed as being, an addition to Employee’s base salary (or included in any calculation of his base salary for increase purposes) or included in determining the amount of any benefits due Employee under any employee benefit plan of the Company, unless inclusion or consideration of such payment is expressly provided for in such employee benefit plan. Any payment made hereunder shall be in addition to any discretionary and/or incentive compensation that the Company or any Company Affiliate may, in its sole discretion, grant Employee from time to time.</w:t>
      </w:r>
    </w:p>
    <w:p>
      <w:pPr>
        <w:spacing w:after="0" w:line="184" w:lineRule="exact"/>
        <w:rPr>
          <w:rFonts w:ascii="Times New Roman" w:cs="Times New Roman" w:eastAsia="Times New Roman" w:hAnsi="Times New Roman"/>
          <w:sz w:val="20"/>
          <w:szCs w:val="20"/>
          <w:color w:val="auto"/>
        </w:rPr>
      </w:pPr>
    </w:p>
    <w:p>
      <w:pPr>
        <w:jc w:val="both"/>
        <w:ind w:firstLine="656"/>
        <w:spacing w:after="0" w:line="249" w:lineRule="auto"/>
        <w:tabs>
          <w:tab w:leader="none" w:pos="105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Texas, notwithstanding any conflict of law principles, and without regard to the place of execution or performance of Employee’s employment duties, or the residence of the parties. The parties hereby agree that the exclusive venue for any dispute relating to this Agreement shall be in Harris County, Texas and the parties hereby consent to the jurisdiction of the courts in such venue.</w:t>
      </w:r>
    </w:p>
    <w:p>
      <w:pPr>
        <w:spacing w:after="0" w:line="179" w:lineRule="exact"/>
        <w:rPr>
          <w:rFonts w:ascii="Times New Roman" w:cs="Times New Roman" w:eastAsia="Times New Roman" w:hAnsi="Times New Roman"/>
          <w:sz w:val="20"/>
          <w:szCs w:val="20"/>
          <w:color w:val="auto"/>
        </w:rPr>
      </w:pPr>
    </w:p>
    <w:p>
      <w:pPr>
        <w:jc w:val="both"/>
        <w:ind w:firstLine="656"/>
        <w:spacing w:after="0" w:line="244" w:lineRule="auto"/>
        <w:tabs>
          <w:tab w:leader="none" w:pos="97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payment to be made to Employee under this Agreement on or following Employee’s separation from service would fail to satisfy the requirements of the short-term deferral exception under Section 409A or otherwise constitute nonqualified deferred compensation subject to Section 409A, and Employee is at such time a “specified employee”, within the meaning of Section 409A (as determined by the Company in accordance with any method permitted under Section 409A), then, notwithstanding any provision of this Agreement to the contrary, such payment shall instead be paid in a lump sum (without interest) on the first business day of the seventh calendar month after Employee’s separation from service. This Agreement is intended, and its terms shall be interpreted as necessary, to comply with Section 409A.</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9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constitutes the entire agreement of the parties with regard to the specific subject matter hereof and contains all of the covenants, promises, representations, warranties and agreements between the parties with respect to such subject matter, and supersedes, replaces and terminates any prior or contemporaneous agreement, understanding or promise (oral or written) between Employee and the Company or any Company Affiliate with respect to this subject matter. Each party to this Agreement acknowledges that no representation, inducement, which is not embodied herein, and that no agreement, statement or promise relating to the subject matter that is not contained in this Agreement shall be valid or binding. Employee understands that the terms of this Agreement are confidential and Employee shall not disclose either the existence of this Agreement or the terms hereof. Should Employee violate the confidentiality provisions of this Agreement, Employee shall not be eligible or entitled to receive any payment that otherwise may become due under this Agreement.</w:t>
      </w:r>
    </w:p>
    <w:p>
      <w:pPr>
        <w:spacing w:after="0" w:line="173" w:lineRule="exact"/>
        <w:rPr>
          <w:rFonts w:ascii="Times New Roman" w:cs="Times New Roman" w:eastAsia="Times New Roman" w:hAnsi="Times New Roman"/>
          <w:sz w:val="19"/>
          <w:szCs w:val="19"/>
          <w:color w:val="auto"/>
        </w:rPr>
      </w:pPr>
    </w:p>
    <w:p>
      <w:pPr>
        <w:ind w:firstLine="656"/>
        <w:spacing w:after="0" w:line="269" w:lineRule="auto"/>
        <w:tabs>
          <w:tab w:leader="none" w:pos="100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executed by the parties effective for all purposes as of the Effective Date. No change in this Agreement shall be effective unless made in writing and executed by both parties.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w:t>
            </w:r>
          </w:p>
        </w:tc>
        <w:tc>
          <w:tcPr>
            <w:tcW w:w="390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EMPLOYEE</w:t>
            </w:r>
          </w:p>
        </w:tc>
      </w:tr>
      <w:tr>
        <w:trPr>
          <w:trHeight w:val="445"/>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Enterprise Products Company</w:t>
            </w: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615"/>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Randa L. Duncan</w:t>
            </w:r>
          </w:p>
        </w:tc>
        <w:tc>
          <w:tcPr>
            <w:tcW w:w="390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By: /s/ Richard Daniel Boss</w:t>
            </w:r>
          </w:p>
        </w:tc>
      </w:tr>
      <w:tr>
        <w:trPr>
          <w:trHeight w:val="20"/>
        </w:trPr>
        <w:tc>
          <w:tcPr>
            <w:tcW w:w="3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27"/>
        </w:trPr>
        <w:tc>
          <w:tcPr>
            <w:tcW w:w="39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Name: Randa L. Duncan</w:t>
            </w:r>
          </w:p>
        </w:tc>
        <w:tc>
          <w:tcPr>
            <w:tcW w:w="3900" w:type="dxa"/>
            <w:vAlign w:val="bottom"/>
            <w:gridSpan w:val="2"/>
          </w:tcPr>
          <w:p>
            <w:pPr>
              <w:ind w:left="1640"/>
              <w:spacing w:after="0" w:line="228" w:lineRule="exact"/>
              <w:rPr>
                <w:sz w:val="20"/>
                <w:szCs w:val="20"/>
                <w:color w:val="auto"/>
              </w:rPr>
            </w:pPr>
            <w:r>
              <w:rPr>
                <w:rFonts w:ascii="Times New Roman" w:cs="Times New Roman" w:eastAsia="Times New Roman" w:hAnsi="Times New Roman"/>
                <w:sz w:val="20"/>
                <w:szCs w:val="20"/>
                <w:color w:val="auto"/>
              </w:rPr>
              <w:t>Name: Richard Daniel Boss</w:t>
            </w:r>
          </w:p>
        </w:tc>
      </w:tr>
      <w:tr>
        <w:trPr>
          <w:trHeight w:val="230"/>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Chairman</w:t>
            </w:r>
          </w:p>
        </w:tc>
        <w:tc>
          <w:tcPr>
            <w:tcW w:w="390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Dated: April 3, 2019</w:t>
            </w:r>
          </w:p>
        </w:tc>
      </w:tr>
      <w:tr>
        <w:trPr>
          <w:trHeight w:val="258"/>
        </w:trPr>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Dated: April 10, 2019</w:t>
            </w:r>
          </w:p>
        </w:tc>
        <w:tc>
          <w:tcPr>
            <w:tcW w:w="19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592"/>
        </w:trPr>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2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3</w:t>
            </w:r>
          </w:p>
        </w:tc>
        <w:tc>
          <w:tcPr>
            <w:tcW w:w="198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LIST OF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Enterprise Products Partners L.P.</w:t>
      </w:r>
    </w:p>
    <w:p>
      <w:pPr>
        <w:jc w:val="center"/>
        <w:spacing w:after="0"/>
        <w:rPr>
          <w:sz w:val="20"/>
          <w:szCs w:val="20"/>
          <w:color w:val="auto"/>
        </w:rPr>
      </w:pPr>
      <w:r>
        <w:rPr>
          <w:rFonts w:ascii="Times New Roman" w:cs="Times New Roman" w:eastAsia="Times New Roman" w:hAnsi="Times New Roman"/>
          <w:sz w:val="20"/>
          <w:szCs w:val="20"/>
          <w:color w:val="auto"/>
        </w:rPr>
        <w:t>as of February 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120" w:type="dxa"/>
            <w:vAlign w:val="bottom"/>
            <w:tcBorders>
              <w:bottom w:val="single" w:sz="8" w:color="auto"/>
            </w:tcBorders>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rPr>
              <w:t>of Formation</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Ownership</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 Niente LLC</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1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Acadian Gas Pipeline System</w:t>
            </w:r>
          </w:p>
        </w:tc>
        <w:tc>
          <w:tcPr>
            <w:tcW w:w="212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MCN Acadian Gas Pipeline, LLC – 50%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Acadian Gas, LLC</w:t>
            </w:r>
          </w:p>
        </w:tc>
        <w:tc>
          <w:tcPr>
            <w:tcW w:w="212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Duncan Energy Partners L.P. – 100%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Adamana Land Company, LLC</w:t>
            </w:r>
          </w:p>
        </w:tc>
        <w:tc>
          <w:tcPr>
            <w:tcW w:w="212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Adnar Holdings LLC</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Alamos Terminal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Mapletree,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Arizona Gas, L.L.C. – 60%</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 Gas Storage, L.L.C.</w:t>
            </w:r>
          </w:p>
        </w:tc>
        <w:tc>
          <w:tcPr>
            <w:tcW w:w="212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Third Party – 40%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Bahia Pipeline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32.25%</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Baton Rouge Fractionators LLC</w:t>
            </w:r>
          </w:p>
        </w:tc>
        <w:tc>
          <w:tcPr>
            <w:tcW w:w="212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Third Parties – 67.75%</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Baton Rouge Pipeline LLC</w:t>
            </w:r>
          </w:p>
        </w:tc>
        <w:tc>
          <w:tcPr>
            <w:tcW w:w="212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Baton Rouge Fractionators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30%</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Baton Rouge Propylene Concentrator LLC</w:t>
            </w:r>
          </w:p>
        </w:tc>
        <w:tc>
          <w:tcPr>
            <w:tcW w:w="212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Third Parties – 70%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1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70%</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Baymark Pipeline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Third Party – 30%</w:t>
            </w:r>
          </w:p>
        </w:tc>
        <w:tc>
          <w:tcPr>
            <w:tcW w:w="0" w:type="dxa"/>
            <w:vAlign w:val="bottom"/>
          </w:tcPr>
          <w:p>
            <w:pPr>
              <w:spacing w:after="0"/>
              <w:rPr>
                <w:sz w:val="1"/>
                <w:szCs w:val="1"/>
                <w:color w:val="auto"/>
              </w:rPr>
            </w:pPr>
          </w:p>
        </w:tc>
      </w:tr>
      <w:tr>
        <w:trPr>
          <w:trHeight w:val="225"/>
        </w:trPr>
        <w:tc>
          <w:tcPr>
            <w:tcW w:w="3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Belle Rose NGL Pipeline, L.L.C.</w:t>
            </w:r>
          </w:p>
        </w:tc>
        <w:tc>
          <w:tcPr>
            <w:tcW w:w="2120" w:type="dxa"/>
            <w:vAlign w:val="bottom"/>
            <w:vMerge w:val="restart"/>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shd w:val="clear" w:color="auto" w:fill="CCEEFF"/>
          </w:tcPr>
          <w:p>
            <w:pPr>
              <w:ind w:left="80"/>
              <w:spacing w:after="0" w:line="225" w:lineRule="exact"/>
              <w:rPr>
                <w:sz w:val="20"/>
                <w:szCs w:val="20"/>
                <w:color w:val="auto"/>
              </w:rPr>
            </w:pPr>
            <w:r>
              <w:rPr>
                <w:rFonts w:ascii="Times New Roman" w:cs="Times New Roman" w:eastAsia="Times New Roman" w:hAnsi="Times New Roman"/>
                <w:sz w:val="18"/>
                <w:szCs w:val="18"/>
                <w:color w:val="auto"/>
              </w:rPr>
              <w:t xml:space="preserve">Enterprise NGL Pipelines,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41.67%</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vMerge w:val="continue"/>
            <w:shd w:val="clear" w:color="auto" w:fill="CCEEFF"/>
          </w:tcPr>
          <w:p>
            <w:pPr>
              <w:spacing w:after="0"/>
              <w:rPr>
                <w:sz w:val="20"/>
                <w:szCs w:val="20"/>
                <w:color w:val="auto"/>
              </w:rPr>
            </w:pPr>
          </w:p>
        </w:tc>
        <w:tc>
          <w:tcPr>
            <w:tcW w:w="2120" w:type="dxa"/>
            <w:vAlign w:val="bottom"/>
            <w:tcBorders>
              <w:bottom w:val="single" w:sz="8" w:color="auto"/>
            </w:tcBorders>
            <w:vMerge w:val="continue"/>
            <w:shd w:val="clear" w:color="auto" w:fill="CCEEFF"/>
          </w:tcPr>
          <w:p>
            <w:pPr>
              <w:spacing w:after="0"/>
              <w:rPr>
                <w:sz w:val="20"/>
                <w:szCs w:val="20"/>
                <w:color w:val="auto"/>
              </w:rPr>
            </w:pP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58.33%</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Belvieu Environmental Fuels GP,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Belvieu Environmental Fuels LLC</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Belvieu Environmental Fuels GP, LLC – 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Bluebonnet Pipeline LLC</w:t>
            </w:r>
          </w:p>
        </w:tc>
        <w:tc>
          <w:tcPr>
            <w:tcW w:w="212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67%</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Breviloba, LLC</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Third Party – 33%</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BTA ETG Gathering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BTA Gas Processing LLC</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Cajun Pipeline Company,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Calcasieu Gas Gathering System</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MCN Acadian Gas Pipeline, LLC – 50%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Canadian Enterprise Gas Products ULC</w:t>
            </w:r>
          </w:p>
        </w:tc>
        <w:tc>
          <w:tcPr>
            <w:tcW w:w="212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9"/>
              </w:rPr>
              <w:t>Alberta, Canada</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OTA Operating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TE Products Pipeline Company, LLC – 50%</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Centennial Pipeline LLC</w:t>
            </w:r>
          </w:p>
        </w:tc>
        <w:tc>
          <w:tcPr>
            <w:tcW w:w="212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Third Party – 50%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Cerato Terminal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Mapletree,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New Mexico Ventures, LLC – 75%</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Chama Gas Services, LLC</w:t>
            </w:r>
          </w:p>
        </w:tc>
        <w:tc>
          <w:tcPr>
            <w:tcW w:w="212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Third Party – 25%</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Channelview Fleeting Services,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Marine Services LLC – 100%</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5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Chaparral Pipeline Company, LLC</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Enterprise NGL Pipelines II LLC – 0.001%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Chunchula Pipeline Company, LLC</w:t>
            </w:r>
          </w:p>
        </w:tc>
        <w:tc>
          <w:tcPr>
            <w:tcW w:w="21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Operating LLC – 100%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CTCO of Texas, LLC</w:t>
            </w:r>
          </w:p>
        </w:tc>
        <w:tc>
          <w:tcPr>
            <w:tcW w:w="2120" w:type="dxa"/>
            <w:vAlign w:val="bottom"/>
            <w:tcBorders>
              <w:bottom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7"/>
              </w:rPr>
              <w:t>Texas</w:t>
            </w:r>
          </w:p>
        </w:tc>
        <w:tc>
          <w:tcPr>
            <w:tcW w:w="5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Enterprise Marine Services LLC – 100%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Cypress Gas Marketing, LLC</w:t>
            </w:r>
          </w:p>
        </w:tc>
        <w:tc>
          <w:tcPr>
            <w:tcW w:w="212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8"/>
              </w:rPr>
              <w:t>Delaware</w:t>
            </w:r>
          </w:p>
        </w:tc>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Acadian Gas, LLC – 100%</w:t>
            </w:r>
          </w:p>
        </w:tc>
        <w:tc>
          <w:tcPr>
            <w:tcW w:w="0" w:type="dxa"/>
            <w:vAlign w:val="bottom"/>
          </w:tcPr>
          <w:p>
            <w:pPr>
              <w:spacing w:after="0"/>
              <w:rPr>
                <w:sz w:val="1"/>
                <w:szCs w:val="1"/>
                <w:color w:val="auto"/>
              </w:rPr>
            </w:pPr>
          </w:p>
        </w:tc>
      </w:tr>
      <w:tr>
        <w:trPr>
          <w:trHeight w:val="341"/>
        </w:trPr>
        <w:tc>
          <w:tcPr>
            <w:tcW w:w="3960" w:type="dxa"/>
            <w:vAlign w:val="bottom"/>
          </w:tcPr>
          <w:p>
            <w:pPr>
              <w:spacing w:after="0"/>
              <w:rPr>
                <w:sz w:val="24"/>
                <w:szCs w:val="24"/>
                <w:color w:val="auto"/>
              </w:rPr>
            </w:pPr>
          </w:p>
        </w:tc>
        <w:tc>
          <w:tcPr>
            <w:tcW w:w="212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9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8"/>
        </w:trPr>
        <w:tc>
          <w:tcPr>
            <w:tcW w:w="4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r>
      <w:tr>
        <w:trPr>
          <w:trHeight w:val="24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Pipeline Company,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NGL Pipelines II LLC – 0.001%</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 Basin Gas Processing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GC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 Holdings,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 Offshore Port System,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Dixie Pipeline Company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GTM Holdings L.P. – 99.3%</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Duncan Energy Partners L.P.</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DEP Holdings, LLC – 0.700%</w:t>
            </w:r>
          </w:p>
        </w:tc>
      </w:tr>
      <w:tr>
        <w:trPr>
          <w:trHeight w:val="198"/>
        </w:trPr>
        <w:tc>
          <w:tcPr>
            <w:tcW w:w="4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Ford Pipeline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 Terminals Corpus Christi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Eagle Ford Terminals Corpus Christi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EFS Midstream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Acquisition Holdings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Electra Shipyard Services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Marine Services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Electric E Power Marketing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Ventures,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Colorado</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Acquisition Holdings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Appelt,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Houston Ship Channel, L.P.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Arizona Gas,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Field Services,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Blue Ivy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CLH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Crude GP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TCTM, L.P. – 100%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TCTM, L.P. – 99.99%</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Crude Oil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198"/>
        </w:trPr>
        <w:tc>
          <w:tcPr>
            <w:tcW w:w="4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TCTM, L.P. – 99.99%</w:t>
            </w:r>
          </w:p>
        </w:tc>
      </w:tr>
      <w:tr>
        <w:trPr>
          <w:trHeight w:val="24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Crude Pipeline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Crude Terminals and Storage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Custom Marketing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Texas Operating LLC – 75%</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EF78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25%</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Ethane Pipeline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Ethane Terminals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Ethylene Storage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Mont Belvieu Caverns,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Field Services (Offshore) LLC</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Field Services,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Fractionation,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Gas Liquids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Gas Processing,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Gathering II LLC</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Gathering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GC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GP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TE Partners L.P. – 100%</w:t>
            </w:r>
          </w:p>
        </w:tc>
      </w:tr>
      <w:tr>
        <w:trPr>
          <w:trHeight w:val="198"/>
        </w:trPr>
        <w:tc>
          <w:tcPr>
            <w:tcW w:w="4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GTM Holdings L.P.</w:t>
            </w:r>
          </w:p>
        </w:tc>
        <w:tc>
          <w:tcPr>
            <w:tcW w:w="19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GTMGP, LLC – 1%</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GTMGP, LLC</w:t>
            </w:r>
          </w:p>
        </w:tc>
        <w:tc>
          <w:tcPr>
            <w:tcW w:w="1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Houston Ship Channel GP, LLC</w:t>
            </w:r>
          </w:p>
        </w:tc>
        <w:tc>
          <w:tcPr>
            <w:tcW w:w="19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Terminaling Services, L.P. – 100%</w:t>
            </w:r>
          </w:p>
        </w:tc>
      </w:tr>
      <w:tr>
        <w:trPr>
          <w:trHeight w:val="198"/>
        </w:trPr>
        <w:tc>
          <w:tcPr>
            <w:tcW w:w="4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Terminaling Services, L.P. – 99%</w:t>
            </w:r>
          </w:p>
        </w:tc>
      </w:tr>
      <w:tr>
        <w:trPr>
          <w:trHeight w:val="24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Houston Ship Channel, L.P.</w:t>
            </w:r>
          </w:p>
        </w:tc>
        <w:tc>
          <w:tcPr>
            <w:tcW w:w="19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Houston Ship Channel GP, LLC – 1%</w:t>
            </w:r>
          </w:p>
        </w:tc>
      </w:tr>
      <w:tr>
        <w:trPr>
          <w:trHeight w:val="341"/>
        </w:trPr>
        <w:tc>
          <w:tcPr>
            <w:tcW w:w="4100" w:type="dxa"/>
            <w:vAlign w:val="bottom"/>
          </w:tcPr>
          <w:p>
            <w:pPr>
              <w:spacing w:after="0"/>
              <w:rPr>
                <w:sz w:val="24"/>
                <w:szCs w:val="24"/>
                <w:color w:val="auto"/>
              </w:rPr>
            </w:pP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w:t>
            </w:r>
          </w:p>
        </w:tc>
        <w:tc>
          <w:tcPr>
            <w:tcW w:w="5200" w:type="dxa"/>
            <w:vAlign w:val="bottom"/>
          </w:tcPr>
          <w:p>
            <w:pPr>
              <w:spacing w:after="0"/>
              <w:rPr>
                <w:sz w:val="24"/>
                <w:szCs w:val="24"/>
                <w:color w:val="auto"/>
              </w:rPr>
            </w:pPr>
          </w:p>
        </w:tc>
      </w:tr>
      <w:tr>
        <w:trPr>
          <w:trHeight w:val="44"/>
        </w:trPr>
        <w:tc>
          <w:tcPr>
            <w:tcW w:w="41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8"/>
        </w:trPr>
        <w:tc>
          <w:tcPr>
            <w:tcW w:w="4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Texas Operating LLC – 99%</w:t>
            </w:r>
          </w:p>
        </w:tc>
      </w:tr>
      <w:tr>
        <w:trPr>
          <w:trHeight w:val="241"/>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Hydrocarbons L.P.</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Hydrocarbons Marketing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Interstate Crude LLC</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GP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Intrastate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Jonah Gas Gathering Company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JV Operating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Enterprise Logistic Services LLC</w:t>
            </w:r>
          </w:p>
        </w:tc>
        <w:tc>
          <w:tcPr>
            <w:tcW w:w="1760" w:type="dxa"/>
            <w:vAlign w:val="bottom"/>
            <w:shd w:val="clear" w:color="auto" w:fill="CCEEFF"/>
          </w:tcPr>
          <w:p>
            <w:pPr>
              <w:spacing w:after="0"/>
              <w:rPr>
                <w:sz w:val="17"/>
                <w:szCs w:val="17"/>
                <w:color w:val="auto"/>
              </w:rPr>
            </w:pPr>
          </w:p>
        </w:tc>
        <w:tc>
          <w:tcPr>
            <w:tcW w:w="5200" w:type="dxa"/>
            <w:vAlign w:val="bottom"/>
            <w:shd w:val="clear" w:color="auto" w:fill="CCEEFF"/>
          </w:tcPr>
          <w:p>
            <w:pPr>
              <w:spacing w:after="0"/>
              <w:rPr>
                <w:sz w:val="17"/>
                <w:szCs w:val="17"/>
                <w:color w:val="auto"/>
              </w:rPr>
            </w:pPr>
          </w:p>
        </w:tc>
      </w:tr>
      <w:tr>
        <w:trPr>
          <w:trHeight w:val="241"/>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(DBA Enterprise Transportation Company)</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Lou-Tex NGL Pipeline L.P.</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HSC Pipeline Partnership, LLC – 1%</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Lou-Tex Propylene Pipeline LLC</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Louisiana Pipeline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Marine Services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TE Partners L.P. – 100%</w:t>
            </w:r>
          </w:p>
        </w:tc>
      </w:tr>
      <w:tr>
        <w:trPr>
          <w:trHeight w:val="198"/>
        </w:trPr>
        <w:tc>
          <w:tcPr>
            <w:tcW w:w="4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Partners L.P. – 99.999%</w:t>
            </w:r>
          </w:p>
        </w:tc>
      </w:tr>
      <w:tr>
        <w:trPr>
          <w:trHeight w:val="24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Midstream Companies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GP LLC – 0.001%</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Mont Belvieu Program Company</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Natural Gas Pipeline LLC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198"/>
        </w:trPr>
        <w:tc>
          <w:tcPr>
            <w:tcW w:w="4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Navigator Ethylene Terminal LLC</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Navitas Holdings LLC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Navitas Midstream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Navitas Midstream Partners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Navitas Midstream Management, Inc.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Navitas Midstream LLC – 100%</w:t>
            </w:r>
          </w:p>
        </w:tc>
      </w:tr>
      <w:tr>
        <w:trPr>
          <w:trHeight w:val="198"/>
        </w:trPr>
        <w:tc>
          <w:tcPr>
            <w:tcW w:w="4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Navitas Midstream LLC – 99.9%</w:t>
            </w:r>
          </w:p>
        </w:tc>
      </w:tr>
      <w:tr>
        <w:trPr>
          <w:trHeight w:val="216"/>
        </w:trPr>
        <w:tc>
          <w:tcPr>
            <w:tcW w:w="4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Navitas Midstream Management,</w:t>
            </w:r>
          </w:p>
        </w:tc>
      </w:tr>
      <w:tr>
        <w:trPr>
          <w:trHeight w:val="241"/>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Navitas Midstream Management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 – 0.1%</w:t>
            </w: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Navitas Midstream Midland Basin</w:t>
            </w:r>
          </w:p>
        </w:tc>
        <w:tc>
          <w:tcPr>
            <w:tcW w:w="176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24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Holdings LLC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Navitas Midstream LLC – 100%</w:t>
            </w:r>
          </w:p>
        </w:tc>
      </w:tr>
      <w:tr>
        <w:trPr>
          <w:trHeight w:val="198"/>
        </w:trPr>
        <w:tc>
          <w:tcPr>
            <w:tcW w:w="4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Navitas Midstream Midland Basin</w:t>
            </w:r>
          </w:p>
        </w:tc>
      </w:tr>
      <w:tr>
        <w:trPr>
          <w:trHeight w:val="241"/>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Navitas Midstream Midland Basin LLC</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Holdings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Navitas Midstream Partners LLC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Navitas Holdings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Navitas Pipeline Texas LLC</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Navitas Midstream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New Mexico Ventures, LLC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Field Services,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NGL Pipelines II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Midstream Companies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NGL Pipelines, LLC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NGL Private Lines &amp; Storage,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Offshore Port System,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Pathfinder,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GTM Holdings L.P. – 100%</w:t>
            </w:r>
          </w:p>
        </w:tc>
      </w:tr>
      <w:tr>
        <w:trPr>
          <w:trHeight w:val="198"/>
        </w:trPr>
        <w:tc>
          <w:tcPr>
            <w:tcW w:w="4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Evangeline Gulf Coast Gas, LLC – 90%</w:t>
            </w:r>
          </w:p>
        </w:tc>
      </w:tr>
      <w:tr>
        <w:trPr>
          <w:trHeight w:val="24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Pelican Pipeline L.P.</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Evangeline Gas Corp. – 10%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Petrochemical Marketing LLC</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Plevna Marketing LLC</w:t>
            </w: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198"/>
        </w:trPr>
        <w:tc>
          <w:tcPr>
            <w:tcW w:w="4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Crude Oil LLC – 99.99%</w:t>
            </w:r>
          </w:p>
        </w:tc>
      </w:tr>
      <w:tr>
        <w:trPr>
          <w:trHeight w:val="241"/>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Products BBCT LLC</w:t>
            </w:r>
          </w:p>
        </w:tc>
        <w:tc>
          <w:tcPr>
            <w:tcW w:w="17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2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Products Marketing Company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Products OLPGP, Inc.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Partners L.P. – 100%</w:t>
            </w:r>
          </w:p>
        </w:tc>
      </w:tr>
      <w:tr>
        <w:trPr>
          <w:trHeight w:val="198"/>
        </w:trPr>
        <w:tc>
          <w:tcPr>
            <w:tcW w:w="4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Partners L.P. – 99.999%</w:t>
            </w:r>
          </w:p>
        </w:tc>
      </w:tr>
      <w:tr>
        <w:trPr>
          <w:trHeight w:val="24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Products Operating LLC</w:t>
            </w:r>
          </w:p>
        </w:tc>
        <w:tc>
          <w:tcPr>
            <w:tcW w:w="17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OLPGP, Inc. – 0.001%</w:t>
            </w:r>
          </w:p>
        </w:tc>
      </w:tr>
      <w:tr>
        <w:trPr>
          <w:trHeight w:val="223"/>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Products Pipeline Company LLC</w:t>
            </w:r>
          </w:p>
        </w:tc>
        <w:tc>
          <w:tcPr>
            <w:tcW w:w="17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341"/>
        </w:trPr>
        <w:tc>
          <w:tcPr>
            <w:tcW w:w="4280" w:type="dxa"/>
            <w:vAlign w:val="bottom"/>
          </w:tcPr>
          <w:p>
            <w:pPr>
              <w:spacing w:after="0"/>
              <w:rPr>
                <w:sz w:val="24"/>
                <w:szCs w:val="24"/>
                <w:color w:val="auto"/>
              </w:rPr>
            </w:pP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w:t>
            </w:r>
          </w:p>
        </w:tc>
        <w:tc>
          <w:tcPr>
            <w:tcW w:w="52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Products Texas Operating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OLPGP, Inc. – 1%</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Propane Terminals and Storage,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Terminals &amp; Storage,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Refined Products Company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–100%</w:t>
            </w: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Refined Products Marketing</w:t>
            </w:r>
          </w:p>
        </w:tc>
        <w:tc>
          <w:tcPr>
            <w:tcW w:w="182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241"/>
        </w:trPr>
        <w:tc>
          <w:tcPr>
            <w:tcW w:w="4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Refined Products Company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Sage Marketing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Crude Oil LLC – 100%</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99.99%</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Seaway L.P.</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0.01%</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 Investments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Pipeline Company LLC – 100%</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Pipeline Company LLC – 2%</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 Partners L.P.</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98%</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Partners L.P. – 99.999%</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 Products Pipeline Company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GP LLC – 0.001%</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Terminaling Services GP,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98%</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Terminaling Services, L.P.</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Terminaling Services GP, LLC – 2%</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Terminalling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Gas Liquids LLC – 1%</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Terminals &amp; Storage,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Texas Pipeline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TW Products Pipeline Company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White River Hub,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Evangeline Gas Corp.</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Evangeline Gulf Coast Gas,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Evangeline Gulf Coast Gas,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33.33%</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Front Range Pipeline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66.67%</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Groves RGP Pipeline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Texas Operating LLC – 1%</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HSC Pipeline Partnership,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OLPGP, Inc. – 1%</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JMRS Transport Services, Inc.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Logistic Services LLC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Fractionation, LLC – 50%</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K/D/S Promix,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50%</w:t>
            </w:r>
          </w:p>
        </w:tc>
      </w:tr>
      <w:tr>
        <w:trPr>
          <w:trHeight w:val="198"/>
        </w:trPr>
        <w:tc>
          <w:tcPr>
            <w:tcW w:w="4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79.24%</w:t>
            </w:r>
          </w:p>
        </w:tc>
      </w:tr>
      <w:tr>
        <w:trPr>
          <w:trHeight w:val="216"/>
        </w:trPr>
        <w:tc>
          <w:tcPr>
            <w:tcW w:w="4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 Porte Pipeline GP, LLC – 1.0%</w:t>
            </w:r>
          </w:p>
        </w:tc>
      </w:tr>
      <w:tr>
        <w:trPr>
          <w:trHeight w:val="241"/>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 Porte Pipeline Company, L.P.</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19.76%</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80.04%</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 Porte Pipeline GP,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19.96%</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Leveret Pipeline Company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Field Services,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Madrone Pipeline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M2E3 LLC</w:t>
            </w:r>
          </w:p>
        </w:tc>
        <w:tc>
          <w:tcPr>
            <w:tcW w:w="18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M2E4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Mapletree,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MCN Acadian Gas Pipeline, LLC</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MCN Pelican Interstate Gas,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Mid-America Pipeline Company, LLC</w:t>
            </w:r>
          </w:p>
        </w:tc>
        <w:tc>
          <w:tcPr>
            <w:tcW w:w="18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22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Mont Belvieu Caverns, LLC</w:t>
            </w: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198"/>
        </w:trPr>
        <w:tc>
          <w:tcPr>
            <w:tcW w:w="4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r>
      <w:tr>
        <w:trPr>
          <w:trHeight w:val="241"/>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Neches Pipeline System</w:t>
            </w:r>
          </w:p>
        </w:tc>
        <w:tc>
          <w:tcPr>
            <w:tcW w:w="18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MCN Acadian Gas Pipeline, LLC – 50%</w:t>
            </w:r>
          </w:p>
        </w:tc>
      </w:tr>
      <w:tr>
        <w:trPr>
          <w:trHeight w:val="341"/>
        </w:trPr>
        <w:tc>
          <w:tcPr>
            <w:tcW w:w="4220" w:type="dxa"/>
            <w:vAlign w:val="bottom"/>
          </w:tcPr>
          <w:p>
            <w:pPr>
              <w:spacing w:after="0"/>
              <w:rPr>
                <w:sz w:val="24"/>
                <w:szCs w:val="24"/>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w:t>
            </w:r>
          </w:p>
        </w:tc>
        <w:tc>
          <w:tcPr>
            <w:tcW w:w="5200" w:type="dxa"/>
            <w:vAlign w:val="bottom"/>
          </w:tcPr>
          <w:p>
            <w:pPr>
              <w:spacing w:after="0"/>
              <w:rPr>
                <w:sz w:val="24"/>
                <w:szCs w:val="24"/>
                <w:color w:val="auto"/>
              </w:rPr>
            </w:pPr>
          </w:p>
        </w:tc>
      </w:tr>
      <w:tr>
        <w:trPr>
          <w:trHeight w:val="44"/>
        </w:trPr>
        <w:tc>
          <w:tcPr>
            <w:tcW w:w="4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10" w:name="page211"/>
    <w:bookmarkEnd w:id="2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Norco-Taft Pipeline,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Enterprise </w:t>
            </w:r>
            <w:r>
              <w:rPr>
                <w:rFonts w:ascii="Times New Roman" w:cs="Times New Roman" w:eastAsia="Times New Roman" w:hAnsi="Times New Roman"/>
                <w:sz w:val="16"/>
                <w:szCs w:val="16"/>
                <w:color w:val="auto"/>
              </w:rPr>
              <w:t>NGL</w:t>
            </w:r>
            <w:r>
              <w:rPr>
                <w:rFonts w:ascii="Times New Roman" w:cs="Times New Roman" w:eastAsia="Times New Roman" w:hAnsi="Times New Roman"/>
                <w:sz w:val="18"/>
                <w:szCs w:val="18"/>
                <w:color w:val="auto"/>
              </w:rPr>
              <w:t xml:space="preserve"> Private Lines &amp; Storage, LLC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Old Ocean Pipeline,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Olefins Terminal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OTA Holdings, Inc.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OTA Operating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OTA Holdings, Inc.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55%</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Panola Pipeline Company,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Parties – 45%</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Gas Processing, LLC – 75%</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Pascagoula Gas Processing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25%</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Pleuro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TXO-Acadian Gas Pipeline, LLC – 50%</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Pontchartrain Natural Gas System</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MCN Acadian Gas Pipeline, LLC – 50%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 Neches GP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99%</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 Neches Pipeline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Port Neches GP LLC – 1%</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QP-LS,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9"/>
              </w:rPr>
              <w:t>Wyoming</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BBCT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Quanah Pipeline Company,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NGL Pipelines II LLC – 0.001%</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Rio Grande Pipeline Company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Sabine Propylene Pipeline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Seaway L.P.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Seaway Crude Holdings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Seaway Crude Pipeline Company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Seaway Crude Holdings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Seaway Intrastate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Seaway Crude Holdings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Seaway Marine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Seaway Intrastate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Seminole Pipeline Company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Serket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Skelly-Belvieu Pipeline Company,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Sorrento Pipeline Company,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Texas NGL Pipelines,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Duncan Energy Partners L.P.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SPOT Terminal Operating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SPOT Terminal Services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70%</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Steor LLC</w:t>
            </w:r>
          </w:p>
        </w:tc>
        <w:tc>
          <w:tcPr>
            <w:tcW w:w="20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30%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Tarpon Land Holdings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Partners L.P. – 99.999%</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TCTM, L.P.</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GP LLC – 0.001%</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Technos Terminal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Mapletree, LLC – 100%</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TECO Gas Gathering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TECO Gas Processing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Pontchartrain Natural Gas System – 96.6%</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Tejas-Magnolia Energy,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MCN Pelican Interstate Gas, LLC – 3.4%</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TEPPCO O/S Port System, LLC</w:t>
            </w:r>
          </w:p>
        </w:tc>
        <w:tc>
          <w:tcPr>
            <w:tcW w:w="20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Crude GP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45%</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Express Gathering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55%</w:t>
            </w:r>
          </w:p>
        </w:tc>
      </w:tr>
      <w:tr>
        <w:trPr>
          <w:trHeight w:val="194"/>
        </w:trPr>
        <w:tc>
          <w:tcPr>
            <w:tcW w:w="39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2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Enterprise Products Operating LLC – 35%</w:t>
            </w:r>
          </w:p>
        </w:tc>
      </w:tr>
      <w:tr>
        <w:trPr>
          <w:trHeight w:val="24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 Express Pipeline LLC</w:t>
            </w:r>
          </w:p>
        </w:tc>
        <w:tc>
          <w:tcPr>
            <w:tcW w:w="20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Third Parties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65%</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TE Products Pipeline Company LLC – 25%</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 4, L.L.C.</w:t>
            </w:r>
          </w:p>
        </w:tc>
        <w:tc>
          <w:tcPr>
            <w:tcW w:w="208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75%</w:t>
            </w:r>
          </w:p>
        </w:tc>
      </w:tr>
      <w:tr>
        <w:trPr>
          <w:trHeight w:val="341"/>
        </w:trPr>
        <w:tc>
          <w:tcPr>
            <w:tcW w:w="3960" w:type="dxa"/>
            <w:vAlign w:val="bottom"/>
          </w:tcPr>
          <w:p>
            <w:pPr>
              <w:spacing w:after="0"/>
              <w:rPr>
                <w:sz w:val="24"/>
                <w:szCs w:val="24"/>
                <w:color w:val="auto"/>
              </w:rPr>
            </w:pPr>
          </w:p>
        </w:tc>
        <w:tc>
          <w:tcPr>
            <w:tcW w:w="20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5</w:t>
            </w:r>
          </w:p>
        </w:tc>
        <w:tc>
          <w:tcPr>
            <w:tcW w:w="5200" w:type="dxa"/>
            <w:vAlign w:val="bottom"/>
          </w:tcPr>
          <w:p>
            <w:pPr>
              <w:spacing w:after="0"/>
              <w:rPr>
                <w:sz w:val="24"/>
                <w:szCs w:val="24"/>
                <w:color w:val="auto"/>
              </w:rPr>
            </w:pPr>
          </w:p>
        </w:tc>
      </w:tr>
      <w:tr>
        <w:trPr>
          <w:trHeight w:val="44"/>
        </w:trPr>
        <w:tc>
          <w:tcPr>
            <w:tcW w:w="39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5200" w:type="dxa"/>
            <w:vAlign w:val="bottom"/>
            <w:tcBorders>
              <w:top w:val="single" w:sz="8" w:color="auto"/>
            </w:tcBorders>
          </w:tcPr>
          <w:p>
            <w:pPr>
              <w:spacing w:after="0"/>
              <w:rPr>
                <w:sz w:val="19"/>
                <w:szCs w:val="19"/>
                <w:color w:val="auto"/>
              </w:rPr>
            </w:pPr>
          </w:p>
        </w:tc>
      </w:tr>
      <w:tr>
        <w:trPr>
          <w:trHeight w:val="245"/>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8"/>
              </w:rPr>
              <w:t>of Formation</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Ownership</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50%</w:t>
            </w:r>
          </w:p>
        </w:tc>
      </w:tr>
      <w:tr>
        <w:trPr>
          <w:trHeight w:val="216"/>
        </w:trPr>
        <w:tc>
          <w:tcPr>
            <w:tcW w:w="39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NGL Pipelines, LLC – 33.3%</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Tri-States NGL Pipeline, L.L.C.</w:t>
            </w:r>
          </w:p>
        </w:tc>
        <w:tc>
          <w:tcPr>
            <w:tcW w:w="20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16.67%</w:t>
            </w: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TXO-Acadian Gas Pipeline, LLC</w:t>
            </w:r>
          </w:p>
        </w:tc>
        <w:tc>
          <w:tcPr>
            <w:tcW w:w="2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Acadian Gas, LLC – 100%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Gas Processing LLC – 13.1%</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Venice Energy Services Company, L.L.C.</w:t>
            </w:r>
          </w:p>
        </w:tc>
        <w:tc>
          <w:tcPr>
            <w:tcW w:w="20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Parties – 86.9%</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White River Hub, LLC – 50%</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River Hub, LLC</w:t>
            </w:r>
          </w:p>
        </w:tc>
        <w:tc>
          <w:tcPr>
            <w:tcW w:w="208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 Party – 50%</w:t>
            </w:r>
          </w:p>
        </w:tc>
      </w:tr>
      <w:tr>
        <w:trPr>
          <w:trHeight w:val="198"/>
        </w:trPr>
        <w:tc>
          <w:tcPr>
            <w:tcW w:w="3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Products Operating LLC – 80%</w:t>
            </w: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Whitethorn Pipeline Company LLC</w:t>
            </w:r>
          </w:p>
        </w:tc>
        <w:tc>
          <w:tcPr>
            <w:tcW w:w="2080" w:type="dxa"/>
            <w:vAlign w:val="bottom"/>
            <w:tcBorders>
              <w:bottom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 20%</w:t>
            </w:r>
          </w:p>
        </w:tc>
      </w:tr>
      <w:tr>
        <w:trPr>
          <w:trHeight w:val="198"/>
        </w:trPr>
        <w:tc>
          <w:tcPr>
            <w:tcW w:w="3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Midstream Companies LLC – 99.999%</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Wilcox Pipeline Company, LLC</w:t>
            </w:r>
          </w:p>
        </w:tc>
        <w:tc>
          <w:tcPr>
            <w:tcW w:w="2080" w:type="dxa"/>
            <w:vAlign w:val="bottom"/>
            <w:tcBorders>
              <w:bottom w:val="single" w:sz="8" w:color="auto"/>
            </w:tcBorders>
          </w:tcPr>
          <w:p>
            <w:pPr>
              <w:jc w:val="center"/>
              <w:ind w:left="772"/>
              <w:spacing w:after="0"/>
              <w:rPr>
                <w:sz w:val="20"/>
                <w:szCs w:val="20"/>
                <w:color w:val="auto"/>
              </w:rPr>
            </w:pPr>
            <w:r>
              <w:rPr>
                <w:rFonts w:ascii="Times New Roman" w:cs="Times New Roman" w:eastAsia="Times New Roman" w:hAnsi="Times New Roman"/>
                <w:sz w:val="18"/>
                <w:szCs w:val="18"/>
                <w:color w:val="auto"/>
                <w:w w:val="97"/>
              </w:rPr>
              <w:t>Texas</w:t>
            </w:r>
          </w:p>
        </w:tc>
        <w:tc>
          <w:tcPr>
            <w:tcW w:w="5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Enterprise NGL Pipelines II LLC – 0.001%</w:t>
            </w:r>
          </w:p>
        </w:tc>
      </w:tr>
      <w:tr>
        <w:trPr>
          <w:trHeight w:val="223"/>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Wilprise Pipeline Company, L.L.C.</w:t>
            </w:r>
          </w:p>
        </w:tc>
        <w:tc>
          <w:tcPr>
            <w:tcW w:w="208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Delaware</w:t>
            </w:r>
          </w:p>
        </w:tc>
        <w:tc>
          <w:tcPr>
            <w:tcW w:w="5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Products Operating LLC – 100%</w:t>
            </w:r>
          </w:p>
        </w:tc>
      </w:tr>
      <w:tr>
        <w:trPr>
          <w:trHeight w:val="382"/>
        </w:trPr>
        <w:tc>
          <w:tcPr>
            <w:tcW w:w="3960" w:type="dxa"/>
            <w:vAlign w:val="bottom"/>
          </w:tcPr>
          <w:p>
            <w:pPr>
              <w:spacing w:after="0"/>
              <w:rPr>
                <w:sz w:val="24"/>
                <w:szCs w:val="24"/>
                <w:color w:val="auto"/>
              </w:rPr>
            </w:pPr>
          </w:p>
        </w:tc>
        <w:tc>
          <w:tcPr>
            <w:tcW w:w="208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6</w:t>
            </w:r>
          </w:p>
        </w:tc>
        <w:tc>
          <w:tcPr>
            <w:tcW w:w="5200" w:type="dxa"/>
            <w:vAlign w:val="bottom"/>
          </w:tcPr>
          <w:p>
            <w:pPr>
              <w:spacing w:after="0"/>
              <w:rPr>
                <w:sz w:val="24"/>
                <w:szCs w:val="24"/>
                <w:color w:val="auto"/>
              </w:rPr>
            </w:pPr>
          </w:p>
        </w:tc>
      </w:tr>
    </w:tbl>
    <w:p>
      <w:pPr>
        <w:sectPr>
          <w:pgSz w:w="11900" w:h="16838" w:orient="portrait"/>
          <w:cols w:equalWidth="0" w:num="1">
            <w:col w:w="11240"/>
          </w:cols>
          <w:pgMar w:left="320" w:top="336" w:right="339" w:bottom="1440" w:gutter="0" w:footer="0" w:header="0"/>
        </w:sectPr>
      </w:pPr>
    </w:p>
    <w:bookmarkStart w:id="212" w:name="page213"/>
    <w:bookmarkEnd w:id="212"/>
    <w:p>
      <w:pPr>
        <w:ind w:left="10320"/>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Debt Securities Guaranteed by Enterprise Products Partners L.P. and Associated Securities at December 31, 2023.</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compliance with Item 601(b)(22) of Regulation S-K, the following is a list of publicly traded debt securities issued by Enterprise Products Operating LLC (the “Subsidiary Issuer”) and guaranteed by Enterprise Products Partners L.P. (the “Parent Guarantor”)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9"/>
        </w:trPr>
        <w:tc>
          <w:tcPr>
            <w:tcW w:w="9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8"/>
        </w:trPr>
        <w:tc>
          <w:tcPr>
            <w:tcW w:w="9900" w:type="dxa"/>
            <w:vAlign w:val="bottom"/>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Guaranteed 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9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 Notes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JJ, 3.90% fixed-rate, due February 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MM, 3.75% fixed-rate, due February 2025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FFF, 5.05% fixed-rate, due January 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PP, 3.70% fixed-rate, due February 2026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SS, 3.95% fixed-rate, due February 2027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WW, 4.15% fixed-rate, due October 2028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YY, 3.125% fixed-rate, due July 2029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AAA, 2.80% fixed-rate, due January 2030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GGG, 5.35% fixed-rate, due January 2033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 6.875% fixed-rate, due March 2033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H, 6.65% fixed-rate, due October 2034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J, 5.75% fixed-rate, due March 2035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W, 7.55% fixed-rate, due April 2038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R, 6.125% fixed-rate, due October 2039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Z, 6.45% fixed-rate, due September 2040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BB, 5.95% fixed-rate, due February 2041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DD, 5.70% fixed-rate, due February 2042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EE, 4.85% fixed-rate, due August 2042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GG, 4.45% fixed-rate, due February 2043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II, 4.85% fixed-rate, due March 2044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KK, 5.10% fixed-rate, due February 2045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QQ, 4.90% fixed-rate, due May 2046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UU, 4.25% fixed-rate, due February 2048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XX, 4.80% fixed-rate, due February 2049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ZZ, 4.20% fixed-rate, due January 2050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BBB, 3.70% fixed-rate, due January 2051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DDD, 3.20% fixed-rate, due February 2052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EEE, 3.30% fixed-rate, due February 2053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Senior Notes NN, 4.95% fixed-rate, due October 2054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CCC, 3.95% fixed-rate, due January 2060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Notes C, variable-rate, due June 2067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Notes D, variable-rate, due August 2077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Notes E, fixed/variable-rate, due August 2077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Notes F, fixed/variable-rate, due February 2078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consent to the incorporation by reference in (i) Registration Statement Nos. 333-150680, 333-176718, 333-191515, 333-191516, 333-268522 and 333-268523 of Enterprise Products Partners L.P. on Form S-8; (ii) Registration Statement No. 333-261416 of Enterprise Products Partners L.P. and Enterprise Products Operating LLC on Form S-3; and (iii) Registration Statement Nos. 333-273870 and 333-211318 of Enterprise Products Partners L.P. on Form S-3 of our reports dated February 28, 2024, relating to the consolidated financial statements of Enterprise Products Partners L.P. and subsidiaries and the effectiveness of Enterprise Products Partners L.P. and subsidiaries' internal control over financial reporting, appearing in this Annual Report on Form 10-K of Enterprise Products Partners L.P. for the year ended December 31, 2023.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2024</w:t>
      </w:r>
    </w:p>
    <w:p>
      <w:pPr>
        <w:sectPr>
          <w:pgSz w:w="11900" w:h="16838" w:orient="portrait"/>
          <w:cols w:equalWidth="0" w:num="1">
            <w:col w:w="11240"/>
          </w:cols>
          <w:pgMar w:left="320" w:top="114"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 James Teague, certify that:</w:t>
      </w:r>
    </w:p>
    <w:p>
      <w:pPr>
        <w:spacing w:after="0" w:line="225"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 James Teague</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A. James Teague</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Products Partners L.P.</w:t>
            </w:r>
          </w:p>
        </w:tc>
      </w:tr>
    </w:tbl>
    <w:p>
      <w:pPr>
        <w:sectPr>
          <w:pgSz w:w="11900" w:h="16838" w:orient="portrait"/>
          <w:cols w:equalWidth="0" w:num="1">
            <w:col w:w="11240"/>
          </w:cols>
          <w:pgMar w:left="320" w:top="117"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Randall Fowler, certify that:</w:t>
      </w:r>
    </w:p>
    <w:p>
      <w:pPr>
        <w:spacing w:after="0" w:line="225"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W. Randall Fowler</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W. Randall Fowler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and Chief Financial Officer of Enterprise Products Holdings</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LLC, the General Partner of Enterprise Products Partners L.P.</w:t>
            </w:r>
          </w:p>
        </w:tc>
      </w:tr>
    </w:tbl>
    <w:p>
      <w:pPr>
        <w:sectPr>
          <w:pgSz w:w="11900" w:h="16838" w:orient="portrait"/>
          <w:cols w:equalWidth="0" w:num="1">
            <w:col w:w="11240"/>
          </w:cols>
          <w:pgMar w:left="320" w:top="117"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A. JAMES TEAGUE, CO-CHIEF EXECUTIVE OFFICER OF ENTERPRISE PRODUCTS HOLDINGS LLC, THE GENERAL PARTNER OF ENTERPRISE PRODUCTS PARTNERS L.P.</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of Enterprise Products Partners L.P. (the “Registrant”) on Form 10-K for the year ended December 31, 2023 as filed with the Securities and Exchange Commission on the date hereof (the “Report”), I, A. James Teague, Co-Chief Executive Officer of Enterprise Products Holdings LLC, the General Partner of the Registrant, certify, pursuant to 18 U.S.C. § 1350, as adopted pursuant to § 906 of the Sarbanes-Oxley Act of 2002, that:</w:t>
      </w:r>
    </w:p>
    <w:p>
      <w:pPr>
        <w:spacing w:after="0" w:line="180" w:lineRule="exact"/>
        <w:rPr>
          <w:sz w:val="20"/>
          <w:szCs w:val="20"/>
          <w:color w:val="auto"/>
        </w:rPr>
      </w:pPr>
    </w:p>
    <w:p>
      <w:pPr>
        <w:ind w:left="660" w:hanging="490"/>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right="100" w:firstLine="170"/>
        <w:spacing w:after="0" w:line="500" w:lineRule="auto"/>
        <w:tabs>
          <w:tab w:leader="none" w:pos="6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February 28, 2024</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 James Teague</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A. James Teague</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Products Partners L.P.</w:t>
            </w:r>
          </w:p>
        </w:tc>
      </w:tr>
    </w:tbl>
    <w:p>
      <w:pPr>
        <w:sectPr>
          <w:pgSz w:w="11900" w:h="16838" w:orient="portrait"/>
          <w:cols w:equalWidth="0" w:num="1">
            <w:col w:w="11240"/>
          </w:cols>
          <w:pgMar w:left="320" w:top="117"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W. RANDALL FOWLER, CO-CHIEF EXECUTIVE OFFICER AND CHIEF FINANCIAL OFFICER OF ENTERPRISE PRODUCTS HOLDINGS LLC, THE GENERAL PARTNER OF ENTERPRISE PRODUCTS PARTNERS L.P.</w:t>
      </w:r>
    </w:p>
    <w:p>
      <w:pPr>
        <w:spacing w:after="0" w:line="1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connection with this annual report of Enterprise Products Partners L.P. (the “Registrant”) on Form 10-K for the year ended December 31, 2023 as filed with the Securities and Exchange Commission on the date hereof (the “Report”), I, W. Randall Fowler, Co-Chief Executive Officer and Chief Financial Officer of Enterprise Products Holdings LLC, the General Partner of the Registrant, certify, pursuant to 18 U.S.C. § 1350, as adopted pursuant to</w:t>
      </w:r>
    </w:p>
    <w:p>
      <w:pPr>
        <w:spacing w:after="0" w:line="1" w:lineRule="exact"/>
        <w:rPr>
          <w:sz w:val="20"/>
          <w:szCs w:val="20"/>
          <w:color w:val="auto"/>
        </w:rPr>
      </w:pPr>
    </w:p>
    <w:p>
      <w:pPr>
        <w:ind w:left="140" w:hanging="132"/>
        <w:spacing w:after="0"/>
        <w:tabs>
          <w:tab w:leader="none" w:pos="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206"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right="100" w:firstLine="170"/>
        <w:spacing w:after="0" w:line="500" w:lineRule="auto"/>
        <w:tabs>
          <w:tab w:leader="none" w:pos="64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February 28, 2024</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W. Randall Fowler</w:t>
      </w:r>
    </w:p>
    <w:p>
      <w:pPr>
        <w:spacing w:after="0" w:line="27" w:lineRule="exact"/>
        <w:rPr>
          <w:sz w:val="20"/>
          <w:szCs w:val="20"/>
          <w:color w:val="auto"/>
        </w:rPr>
      </w:pPr>
    </w:p>
    <w:tbl>
      <w:tblPr>
        <w:tblLayout w:type="fixed"/>
        <w:tblInd w:w="3580" w:type="dxa"/>
        <w:tblCellMar>
          <w:top w:w="0" w:type="dxa"/>
          <w:left w:w="0" w:type="dxa"/>
          <w:bottom w:w="0" w:type="dxa"/>
          <w:right w:w="0" w:type="dxa"/>
        </w:tblCellMar>
      </w:tblPr>
      <w:tr>
        <w:trPr>
          <w:trHeight w:val="205"/>
        </w:trPr>
        <w:tc>
          <w:tcPr>
            <w:tcW w:w="7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696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W. Randall Fowler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Co-Chief Executive Officer and Chief Financial Officer of Enterprise Products Holdings</w:t>
            </w:r>
          </w:p>
        </w:tc>
      </w:tr>
      <w:tr>
        <w:trPr>
          <w:trHeight w:val="234"/>
        </w:trPr>
        <w:tc>
          <w:tcPr>
            <w:tcW w:w="7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LLC, the General Partner of Enterprise Products Partners L.P.</w:t>
            </w:r>
          </w:p>
        </w:tc>
      </w:tr>
    </w:tbl>
    <w:p>
      <w:pPr>
        <w:sectPr>
          <w:pgSz w:w="11900" w:h="16838" w:orient="portrait"/>
          <w:cols w:equalWidth="0" w:num="1">
            <w:col w:w="11240"/>
          </w:cols>
          <w:pgMar w:left="320" w:top="117"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ENTERPRISE PRODUCTS PARTNERS L.P.</w:t>
      </w:r>
    </w:p>
    <w:p>
      <w:pPr>
        <w:spacing w:after="0" w:line="20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POLICY ON RECOUPMENT OF INCENTIVE COMPENSATION</w:t>
      </w:r>
    </w:p>
    <w:p>
      <w:pPr>
        <w:spacing w:after="0" w:line="2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Adopted: November 8, 2023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Date: October 2,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Enterprise Products Holdings LLC, the general partner (the “</w:t>
      </w:r>
      <w:r>
        <w:rPr>
          <w:rFonts w:ascii="Times New Roman" w:cs="Times New Roman" w:eastAsia="Times New Roman" w:hAnsi="Times New Roman"/>
          <w:sz w:val="22"/>
          <w:szCs w:val="22"/>
          <w:u w:val="single" w:color="auto"/>
          <w:color w:val="auto"/>
        </w:rPr>
        <w:t>General Partner</w:t>
      </w:r>
      <w:r>
        <w:rPr>
          <w:rFonts w:ascii="Times New Roman" w:cs="Times New Roman" w:eastAsia="Times New Roman" w:hAnsi="Times New Roman"/>
          <w:sz w:val="22"/>
          <w:szCs w:val="22"/>
          <w:color w:val="auto"/>
        </w:rPr>
        <w:t>”) of Enterprise Products Partners L.P. (the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has adopted this Policy on Recoupment of Incentive Compensation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This Policy is intended to comply with the requirements of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rules and New York Stock Exchange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listing standards implementing Section 954 of the Dodd-Frank Wall Street Reform and Consumer Protection Act of 2010 (the “</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 Amendments</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Policy shall be administered by either the Board or, if applicable, a committee of the Board delegated authority with respect to the Policy (as applicable,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provided, any determination by the Committee under this Policy that recovery would be impracticable shall be made by a majority of the independent directors serving on the Board. The Board or the applicable Committee is authorized to interpret and construe this Policy and to make all determinations necessary, appropriate or advisable for the administration and application of this Policy, in all cases consistent with the Dodd-Frank Act and applicable rules of the SEC and the NYSE Listing Standards. Such determinations include the manner of enforcement and recovery pursuant to this Policy in any manner determined by the Board or the Committee. Such determinations regarding the administration and application of this Policy shall be made by the Board or the Committee in its sole discretion, exercising its business judgment, and all such determinations shall be final and binding, including on all affected individuals. Either the Board or any applicable Committee may amend or change the terms of this Policy at any time for any reason, including as required to comply with Section 10D under the Exchange Act or other rules of the SEC and the NYSE implementing Section 954 of the Dodd-Frank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Covered Executive Officers</w:t>
      </w:r>
    </w:p>
    <w:p>
      <w:pPr>
        <w:spacing w:after="0" w:line="21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This Policy applies to any current or former Executive Officer (as defined below) of the Partnership in accordance with Section 10D under the Exchange Act (as defined below) during the three completed fiscal years immediately preceding the date on which the Partnership is required to prepare the Restatement (as defined below), as determined in accordance with this Policy (the “</w:t>
      </w:r>
      <w:r>
        <w:rPr>
          <w:rFonts w:ascii="Times New Roman" w:cs="Times New Roman" w:eastAsia="Times New Roman" w:hAnsi="Times New Roman"/>
          <w:sz w:val="22"/>
          <w:szCs w:val="22"/>
          <w:u w:val="single" w:color="auto"/>
          <w:color w:val="auto"/>
        </w:rPr>
        <w:t>Recovery Period</w:t>
      </w:r>
      <w:r>
        <w:rPr>
          <w:rFonts w:ascii="Times New Roman" w:cs="Times New Roman" w:eastAsia="Times New Roman" w:hAnsi="Times New Roman"/>
          <w:sz w:val="22"/>
          <w:szCs w:val="22"/>
          <w:color w:val="auto"/>
        </w:rPr>
        <w:t>”). This Policy shall include all Incentive-Based Compensation received by an Executive Officer during the Recovery Period: (i) after beginning service as an Executive Officer; (ii) who served as an Executive Officer at any time during the performance period for that Incentive-Based Compensation; and (iii) while the Partnership has a class of securities listed on a national securities exchange or national securities association.</w:t>
      </w:r>
      <w:r>
        <w:rPr>
          <w:rFonts w:ascii="Times New Roman" w:cs="Times New Roman" w:eastAsia="Times New Roman" w:hAnsi="Times New Roman"/>
          <w:sz w:val="35"/>
          <w:szCs w:val="3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6459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jc w:val="both"/>
        <w:ind w:firstLine="8"/>
        <w:spacing w:after="0" w:line="210" w:lineRule="auto"/>
        <w:tabs>
          <w:tab w:leader="none" w:pos="121" w:val="left"/>
        </w:tabs>
        <w:numPr>
          <w:ilvl w:val="0"/>
          <w:numId w:val="1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Footnote 160 of Final Rule 10D-1 provides clarifications with respect to Rule 10D-1(b)(1)(i)(A) and (B) that: “an award of incentive-based compensation granted to an individual before the individual becomes an executive officer will be subject to the recovery policy, so long as the incentive-based compensation was received by the individual at any time during the performance period after beginning service as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upon Restatement</w:t>
      </w:r>
    </w:p>
    <w:p>
      <w:pPr>
        <w:spacing w:after="0" w:line="20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Restatement Recovery</w:t>
      </w:r>
      <w:r>
        <w:rPr>
          <w:rFonts w:ascii="Times New Roman" w:cs="Times New Roman" w:eastAsia="Times New Roman" w:hAnsi="Times New Roman"/>
          <w:sz w:val="21"/>
          <w:szCs w:val="21"/>
          <w:color w:val="auto"/>
        </w:rPr>
        <w:t>. The Board or the Committee shall require, except as otherwise provided herein, to the extent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legally permitted, the return, repayment or forfeiture of any Incentive-Based Compensation (as defined below) made or granted to any current or former Executive Officer of the Partnership in accordance with Section 10D under the Exchange Act, which shall include any Incentive-Based Compensation received during the Recovery Period in the event that the Partnership is required to prepare a restatement of its financial statements due to material noncompliance of the Partnership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if:</w:t>
      </w:r>
    </w:p>
    <w:p>
      <w:pPr>
        <w:spacing w:after="0" w:line="170" w:lineRule="exact"/>
        <w:rPr>
          <w:sz w:val="20"/>
          <w:szCs w:val="20"/>
          <w:color w:val="auto"/>
        </w:rPr>
      </w:pPr>
    </w:p>
    <w:p>
      <w:pPr>
        <w:jc w:val="both"/>
        <w:ind w:left="340" w:hanging="332"/>
        <w:spacing w:after="0" w:line="238" w:lineRule="auto"/>
        <w:tabs>
          <w:tab w:leader="none" w:pos="3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or award was made or granted based wholly or in part upon the attainment of a Partnership financial reporting measure (including, without limitation, (a) any measure that is determined and presented in accordance with the accounting principles used in preparing the Partnership’s financial statements, and/or (b) any measure that is derived wholly or in part from such measure, and for the avoidance of doubt, including Partnership common unit price or Partnership total unitholder return); and</w:t>
      </w:r>
    </w:p>
    <w:p>
      <w:pPr>
        <w:spacing w:after="0" w:line="392"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lower payment or award would have been made or granted to the Executive Officer based upon the restated financial results had there not been a Restatement.</w:t>
      </w:r>
    </w:p>
    <w:p>
      <w:pPr>
        <w:spacing w:after="0" w:line="3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date on which the Partnership is required to prepare a Restatement is the earlier to occur of (A) the date the Board or the Committee (or authorized officers of the Partnership if Board action is not required) concludes, or reasonably should have concluded, that the Partnership is required to prepare a Restatement or (B) the date a court, regulator, or other legally authorized body directs the Partnership to prepare a Restatement.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a restatement of the Partnership’s financial statements due to a change in accounting policies or principles shall not be deemed a “Restatement” for purposes of this Policy.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0" w:name="page221"/>
    <w:bookmarkEnd w:id="220"/>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Compensation Subject to Recovery</w:t>
      </w:r>
      <w:r>
        <w:rPr>
          <w:rFonts w:ascii="Times New Roman" w:cs="Times New Roman" w:eastAsia="Times New Roman" w:hAnsi="Times New Roman"/>
          <w:sz w:val="22"/>
          <w:szCs w:val="22"/>
          <w:color w:val="auto"/>
        </w:rPr>
        <w:t>. The amount of Incentive-Based Compensation required to be returned, repaid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forfeited shall be the amount by which the Executive Officer’s payment or award for the relevant Recovery Period exceeded the lower payment or award that would have been made or granted based on the restated financial results, but in no event will such amount required to be returned, repaid or forfeited exceed the total amount of such Executive Officer’s payment or award for the relevant Recovery Period. For this purpose, Incentive-Based Compensation (i) is considered to have been received by an Executive Officer in the fiscal year during which the applicable financial reporting measure was attained or purportedly attained, regardless of when the payment or grant of such Incentive-Based Compensation occurs and (ii) shall be calculated without regard to any taxes paid or withheld. If the Board or the Committee cannot determine the amount of excess incentive compensation received by the Executive Officer directly from the information in the Restatement, then it will make its determination based on a reasonable estimate of the effect of the Restatement. For Incentive-Based Compensation based on the Partnership’s common unit price or the Partnership’s total unitholder return, where the amount of erroneously awarded compensation is not subject to mathematical recalculation directly from the information in the Restatement, then the Board or the Committee shall determine the amount to be recovered based on a reasonable estimate of the effect of the Restatement on the Partnership’s common unit price or the Partnership’s total unitholder return upon which the Incentive-Based Compensation was received and the Partnership shall document the determination of that reasonable estimate and provide it to the NYSE.</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Enforcement</w:t>
      </w:r>
      <w:r>
        <w:rPr>
          <w:rFonts w:ascii="Times New Roman" w:cs="Times New Roman" w:eastAsia="Times New Roman" w:hAnsi="Times New Roman"/>
          <w:sz w:val="22"/>
          <w:szCs w:val="22"/>
          <w:color w:val="auto"/>
        </w:rPr>
        <w:t>. The Partnership may use any legal or equitable remedies that are available to the Partnership to recoup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erroneously awarded Incentive-Based Compensation, including, subject to applicable law, by requiring the Executive Officer to repay such amount to the Partnership, by set-off, by cancelling outstanding equity-based awards or by such other means or combination of means as the Board or the Committee determines to be appropriate.</w:t>
      </w:r>
    </w:p>
    <w:p>
      <w:pPr>
        <w:spacing w:after="0" w:line="17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Exceptions</w:t>
      </w:r>
      <w:r>
        <w:rPr>
          <w:rFonts w:ascii="Times New Roman" w:cs="Times New Roman" w:eastAsia="Times New Roman" w:hAnsi="Times New Roman"/>
          <w:sz w:val="21"/>
          <w:szCs w:val="21"/>
          <w:color w:val="auto"/>
        </w:rPr>
        <w:t>. The Board (by a majority of the independent directors serving on the Board) may determine not to seek</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recovery from an Executive Officer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the NYSE), (B) recovery would violate the home country law that was in effect prior to November 28, 2022, as determined by an opinion of counsel licensed in the applicable jurisdiction that is provided to the NYSE, or (C) recovery would likely cause the Partnership’s 401(k) plan or any other tax-qualified retirement plan to fail to meet the requirements of Section 401(a)(13) or Section 411(a) of the Internal Revenue Code of 1986, as amended.</w:t>
      </w:r>
    </w:p>
    <w:p>
      <w:pPr>
        <w:spacing w:after="0" w:line="164"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No-Fault Recovery</w:t>
      </w:r>
      <w:r>
        <w:rPr>
          <w:rFonts w:ascii="Times New Roman" w:cs="Times New Roman" w:eastAsia="Times New Roman" w:hAnsi="Times New Roman"/>
          <w:sz w:val="22"/>
          <w:szCs w:val="22"/>
          <w:color w:val="auto"/>
        </w:rPr>
        <w:t>. Recoupment under this Policy shall be required regardless of whether the Executive Officer or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 person was at fault or responsible for accounting errors that contributed to the need for the Restatement or engaged in any misconduct.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Certain Definitions. </w:t>
      </w:r>
      <w:r>
        <w:rPr>
          <w:rFonts w:ascii="Times New Roman" w:cs="Times New Roman" w:eastAsia="Times New Roman" w:hAnsi="Times New Roman"/>
          <w:sz w:val="22"/>
          <w:szCs w:val="22"/>
          <w:color w:val="auto"/>
        </w:rPr>
        <w:t>For purposes of this Policy, the following terms shall have the meanings ascribed below:</w:t>
      </w:r>
    </w:p>
    <w:p>
      <w:pPr>
        <w:spacing w:after="0" w:line="212"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1" w:name="page222"/>
    <w:bookmarkEnd w:id="22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has the meaning of “executive officer” as defined in Rule 10D-1 under the Exchange Act.</w:t>
      </w:r>
      <w:r>
        <w:rPr>
          <w:rFonts w:ascii="Times New Roman" w:cs="Times New Roman" w:eastAsia="Times New Roman" w:hAnsi="Times New Roman"/>
          <w:sz w:val="35"/>
          <w:szCs w:val="35"/>
          <w:color w:val="auto"/>
          <w:vertAlign w:val="superscript"/>
        </w:rPr>
        <w:t>2</w:t>
      </w:r>
    </w:p>
    <w:p>
      <w:pPr>
        <w:spacing w:after="0" w:line="61"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has the meaning of “financial reporting measure” as defined in Rule 10D-1 under the Exchange Act.</w:t>
      </w:r>
      <w:r>
        <w:rPr>
          <w:rFonts w:ascii="Times New Roman" w:cs="Times New Roman" w:eastAsia="Times New Roman" w:hAnsi="Times New Roman"/>
          <w:sz w:val="35"/>
          <w:szCs w:val="35"/>
          <w:color w:val="auto"/>
          <w:vertAlign w:val="superscript"/>
        </w:rPr>
        <w:t>3</w:t>
      </w:r>
    </w:p>
    <w:p>
      <w:pPr>
        <w:spacing w:after="0" w:line="1" w:lineRule="exact"/>
        <w:rPr>
          <w:sz w:val="20"/>
          <w:szCs w:val="20"/>
          <w:color w:val="auto"/>
        </w:rPr>
      </w:pPr>
    </w:p>
    <w:p>
      <w:pPr>
        <w:ind w:left="660"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has the meaning of “incentive-based compensation” as defined in Rule 10D-1 under the Exchange Act.</w:t>
      </w:r>
      <w:r>
        <w:rPr>
          <w:rFonts w:ascii="Times New Roman" w:cs="Times New Roman" w:eastAsia="Times New Roman" w:hAnsi="Times New Roman"/>
          <w:sz w:val="35"/>
          <w:szCs w:val="35"/>
          <w:color w:val="auto"/>
          <w:vertAlign w:val="superscript"/>
        </w:rPr>
        <w:t>4</w:t>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Disclosures</w:t>
      </w:r>
    </w:p>
    <w:p>
      <w:pPr>
        <w:spacing w:after="0" w:line="195"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This Policy shall be filed as an exhibit with the Partnership’s annual report on Form 10-K to the extent required by and in accordance with the SEC’s requirements. The Partnership will disclose any recovery of compensation pursuant to this Policy as required by the rules of the SEC, as required by the NYSE Listing Standards, and in such additional circumstances as deemed appropriate by the Partnership.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Successors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Policy shall be binding and enforceable against all Executive Officers and their beneficiaries, executors, administrators, and other legal representatives.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 or Reimbursement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Partnership shall not indemnify any Executive Officers to cover any losses incurred by such Executive Officers under this Policy, and any purported indemnification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The Partnership shall not pay or reimburse the premium for any insurance policy to cover any losses incurred by any Executive Officers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459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4" w:lineRule="exact"/>
        <w:rPr>
          <w:sz w:val="20"/>
          <w:szCs w:val="20"/>
          <w:color w:val="auto"/>
        </w:rPr>
      </w:pPr>
    </w:p>
    <w:p>
      <w:pPr>
        <w:jc w:val="both"/>
        <w:ind w:firstLine="8"/>
        <w:spacing w:after="0" w:line="219" w:lineRule="auto"/>
        <w:tabs>
          <w:tab w:leader="none" w:pos="127" w:val="left"/>
        </w:tabs>
        <w:numPr>
          <w:ilvl w:val="0"/>
          <w:numId w:val="1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the Effective Date, “executive officer” as defined under the Rule 10D-1 under the Exchange Act includes the president, principal financial officer, principal accounting officer (or, if none, the controller), any vice-president in charge of a principal business unit, division or function, and any other person who performs significant policy-making functions for the Partnership, which may include officers of the General Partner, the Partnership or their subsidiaries.</w:t>
      </w:r>
    </w:p>
    <w:p>
      <w:pPr>
        <w:jc w:val="both"/>
        <w:spacing w:after="0" w:line="21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As of the Effective Date, “financial reporting measure” as defined under the Rule 10D-1 under the Exchange Act includes measures determined and presented in accordance with accounting principles used in preparing the Partnership’s financial statements, non-GAAP measures, and other measures, metrics and ratios. Financial Reporting Measures may include measures not presented directly in the Partnership’s financial statements or filings with the SEC.</w:t>
      </w:r>
    </w:p>
    <w:p>
      <w:pPr>
        <w:spacing w:after="0" w:line="1" w:lineRule="exact"/>
        <w:rPr>
          <w:rFonts w:ascii="Times New Roman" w:cs="Times New Roman" w:eastAsia="Times New Roman" w:hAnsi="Times New Roman"/>
          <w:sz w:val="30"/>
          <w:szCs w:val="30"/>
          <w:color w:val="auto"/>
          <w:vertAlign w:val="superscript"/>
        </w:rPr>
      </w:pPr>
    </w:p>
    <w:p>
      <w:pPr>
        <w:jc w:val="both"/>
        <w:spacing w:after="0" w:line="22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As of the Effective Date, “incentive-based compensation” as defined under the Rule 10D-1 under the Exchange Act includes any compensation that is granted, earned or vested based wholly or in part upon the attainment of any Financial Reporting Measure. Compensation that is granted, vests or is earned based solely upon the occurrence of non-financial events, such as base salary, restricted units or options with time-based vesting, or a bonus awarded solely at the discretion of the Board, in each case not in part based on the attainment of any Financial Reporting Measure performance goal, is not subject to this Policy.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Remedies Not Precluded</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exercise by the Board or the Committee of any rights pursuant to this Policy shall be without prejudice to any other rights or remedies that the Partnership, the General Partner or their affiliates, or the Board or the Committee, may have with respect to any Executive Officers subject to this Policy.</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this Policy includes restatement-related clawbacks required under the Dodd-Frank Act and Rule 10D-1 under the Exchange Act, and does not limit any other remedies relating to misconduct that are addressed separately in other policies, plans or agreements with Executive Officers or other employees.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Governing Law</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validity, construction and effect of this Policy and any determinations relating to this Policy shall be construed in accordance with the laws of the State of Delaware without regard to its conflict of laws principles.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Policy has been adopted by the Board effective as of the Effective Date set forth above, and shall apply to any Incentive-Based Compensation that is either (i) received by an Executive Officer based wholly or in part upon the attainment of any Financial Reporting Measure for any fiscal period ending on or after October 2, 2023 or (ii) granted, earned or vested on or after on or after October 2,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1)"/>
      <w:numFmt w:val="decimal"/>
      <w:start w:val="1"/>
    </w:lvl>
  </w:abstractNum>
  <w:abstractNum w:abstractNumId="6">
    <w:nsid w:val="168E121F"/>
    <w:multiLevelType w:val="hybridMultilevel"/>
    <w:lvl w:ilvl="0">
      <w:lvlJc w:val="left"/>
      <w:lvlText w:val="(%1)"/>
      <w:numFmt w:val="decimal"/>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1)"/>
      <w:numFmt w:val="decimal"/>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1)"/>
      <w:numFmt w:val="decimal"/>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1)"/>
      <w:numFmt w:val="decimal"/>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1)"/>
      <w:numFmt w:val="decimal"/>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1)"/>
      <w:numFmt w:val="decimal"/>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1)"/>
      <w:numFmt w:val="decimal"/>
      <w:start w:val="1"/>
    </w:lvl>
  </w:abstractNum>
  <w:abstractNum w:abstractNumId="26">
    <w:nsid w:val="7FFFCA11"/>
    <w:multiLevelType w:val="hybridMultilevel"/>
    <w:lvl w:ilvl="0">
      <w:lvlJc w:val="left"/>
      <w:lvlText w:val="(%1)"/>
      <w:numFmt w:val="decimal"/>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1)"/>
      <w:numFmt w:val="decimal"/>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decimal"/>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
      <w:numFmt w:val="bullet"/>
      <w:start w:val="1"/>
    </w:lvl>
    <w:lvl w:ilvl="1">
      <w:lvlJc w:val="left"/>
      <w:lvlText w:val="(%2)"/>
      <w:numFmt w:val="lowerRoman"/>
      <w:start w:val="3"/>
    </w:lvl>
  </w:abstractNum>
  <w:abstractNum w:abstractNumId="49">
    <w:nsid w:val="60EF0119"/>
    <w:multiLevelType w:val="hybridMultilevel"/>
    <w:lvl w:ilvl="0">
      <w:lvlJc w:val="left"/>
      <w:lvlText w:val="(%1)"/>
      <w:numFmt w:val="decimal"/>
      <w:start w:val="1"/>
    </w:lvl>
  </w:abstractNum>
  <w:abstractNum w:abstractNumId="50">
    <w:nsid w:val="26F324BA"/>
    <w:multiLevelType w:val="hybridMultilevel"/>
    <w:lvl w:ilvl="0">
      <w:lvlJc w:val="left"/>
      <w:lvlText w:val="(%1)"/>
      <w:numFmt w:val="decimal"/>
      <w:start w:val="1"/>
    </w:lvl>
  </w:abstractNum>
  <w:abstractNum w:abstractNumId="51">
    <w:nsid w:val="7F01579B"/>
    <w:multiLevelType w:val="hybridMultilevel"/>
    <w:lvl w:ilvl="0">
      <w:lvlJc w:val="left"/>
      <w:lvlText w:val="(%1)"/>
      <w:numFmt w:val="decimal"/>
      <w:start w:val="1"/>
    </w:lvl>
  </w:abstractNum>
  <w:abstractNum w:abstractNumId="52">
    <w:nsid w:val="49DA307D"/>
    <w:multiLevelType w:val="hybridMultilevel"/>
    <w:lvl w:ilvl="0">
      <w:lvlJc w:val="left"/>
      <w:lvlText w:val="(%1)"/>
      <w:numFmt w:val="decimal"/>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1)"/>
      <w:numFmt w:val="decimal"/>
      <w:start w:val="1"/>
    </w:lvl>
  </w:abstractNum>
  <w:abstractNum w:abstractNumId="57">
    <w:nsid w:val="5FB8011C"/>
    <w:multiLevelType w:val="hybridMultilevel"/>
    <w:lvl w:ilvl="0">
      <w:lvlJc w:val="left"/>
      <w:lvlText w:val="•"/>
      <w:numFmt w:val="bullet"/>
      <w:start w:val="1"/>
    </w:lvl>
  </w:abstractNum>
  <w:abstractNum w:abstractNumId="58">
    <w:nsid w:val="6AA78F7F"/>
    <w:multiLevelType w:val="hybridMultilevel"/>
    <w:lvl w:ilvl="0">
      <w:lvlJc w:val="left"/>
      <w:lvlText w:val="(%1)"/>
      <w:numFmt w:val="decimal"/>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1)"/>
      <w:numFmt w:val="decimal"/>
      <w:start w:val="1"/>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1)"/>
      <w:numFmt w:val="lowerRoman"/>
      <w:start w:val="1"/>
    </w:lvl>
  </w:abstractNum>
  <w:abstractNum w:abstractNumId="63">
    <w:nsid w:val="5F3534A4"/>
    <w:multiLevelType w:val="hybridMultilevel"/>
    <w:lvl w:ilvl="0">
      <w:lvlJc w:val="left"/>
      <w:lvlText w:val="•"/>
      <w:numFmt w:val="bullet"/>
      <w:start w:val="1"/>
    </w:lvl>
  </w:abstractNum>
  <w:abstractNum w:abstractNumId="64">
    <w:nsid w:val="73A1821B"/>
    <w:multiLevelType w:val="hybridMultilevel"/>
    <w:lvl w:ilvl="0">
      <w:lvlJc w:val="left"/>
      <w:lvlText w:val="(%1)"/>
      <w:numFmt w:val="decimal"/>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1)"/>
      <w:numFmt w:val="lowerRoman"/>
      <w:start w:val="2"/>
    </w:lvl>
  </w:abstractNum>
  <w:abstractNum w:abstractNumId="68">
    <w:nsid w:val="14FCE74E"/>
    <w:multiLevelType w:val="hybridMultilevel"/>
    <w:lvl w:ilvl="0">
      <w:lvlJc w:val="left"/>
      <w:lvlText w:val="(%1)"/>
      <w:numFmt w:val="decimal"/>
      <w:start w:val="1"/>
    </w:lvl>
  </w:abstractNum>
  <w:abstractNum w:abstractNumId="69">
    <w:nsid w:val="6A3DD3E8"/>
    <w:multiLevelType w:val="hybridMultilevel"/>
    <w:lvl w:ilvl="0">
      <w:lvlJc w:val="left"/>
      <w:lvlText w:val="(%1)"/>
      <w:numFmt w:val="decimal"/>
      <w:start w:val="1"/>
    </w:lvl>
  </w:abstractNum>
  <w:abstractNum w:abstractNumId="70">
    <w:nsid w:val="71C91298"/>
    <w:multiLevelType w:val="hybridMultilevel"/>
    <w:lvl w:ilvl="0">
      <w:lvlJc w:val="left"/>
      <w:lvlText w:val="(%1)"/>
      <w:numFmt w:val="decimal"/>
      <w:start w:val="1"/>
    </w:lvl>
  </w:abstractNum>
  <w:abstractNum w:abstractNumId="71">
    <w:nsid w:val="9DAF632"/>
    <w:multiLevelType w:val="hybridMultilevel"/>
    <w:lvl w:ilvl="0">
      <w:lvlJc w:val="left"/>
      <w:lvlText w:val="(%1)"/>
      <w:numFmt w:val="decimal"/>
      <w:start w:val="1"/>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
      <w:numFmt w:val="bullet"/>
      <w:start w:val="1"/>
    </w:lvl>
  </w:abstractNum>
  <w:abstractNum w:abstractNumId="74">
    <w:nsid w:val="5092CA79"/>
    <w:multiLevelType w:val="hybridMultilevel"/>
    <w:lvl w:ilvl="0">
      <w:lvlJc w:val="left"/>
      <w:lvlText w:val="•"/>
      <w:numFmt w:val="bullet"/>
      <w:start w:val="1"/>
    </w:lvl>
  </w:abstractNum>
  <w:abstractNum w:abstractNumId="75">
    <w:nsid w:val="1D545C4D"/>
    <w:multiLevelType w:val="hybridMultilevel"/>
    <w:lvl w:ilvl="0">
      <w:lvlJc w:val="left"/>
      <w:lvlText w:val="(%1)"/>
      <w:numFmt w:val="decimal"/>
      <w:start w:val="1"/>
    </w:lvl>
  </w:abstractNum>
  <w:abstractNum w:abstractNumId="76">
    <w:nsid w:val="59ADEA3D"/>
    <w:multiLevelType w:val="hybridMultilevel"/>
    <w:lvl w:ilvl="0">
      <w:lvlJc w:val="left"/>
      <w:lvlText w:val="(%1)"/>
      <w:numFmt w:val="decimal"/>
      <w:start w:val="1"/>
    </w:lvl>
  </w:abstractNum>
  <w:abstractNum w:abstractNumId="77">
    <w:nsid w:val="288F1A34"/>
    <w:multiLevelType w:val="hybridMultilevel"/>
    <w:lvl w:ilvl="0">
      <w:lvlJc w:val="left"/>
      <w:lvlText w:val="(%1)"/>
      <w:numFmt w:val="decimal"/>
      <w:start w:val="1"/>
    </w:lvl>
  </w:abstractNum>
  <w:abstractNum w:abstractNumId="78">
    <w:nsid w:val="2A155DBC"/>
    <w:multiLevelType w:val="hybridMultilevel"/>
    <w:lvl w:ilvl="0">
      <w:lvlJc w:val="left"/>
      <w:lvlText w:val="(%1)"/>
      <w:numFmt w:val="decimal"/>
      <w:start w:val="1"/>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1)"/>
      <w:numFmt w:val="decimal"/>
      <w:start w:val="1"/>
    </w:lvl>
  </w:abstractNum>
  <w:abstractNum w:abstractNumId="81">
    <w:nsid w:val="51088277"/>
    <w:multiLevelType w:val="hybridMultilevel"/>
    <w:lvl w:ilvl="0">
      <w:lvlJc w:val="left"/>
      <w:lvlText w:val="•"/>
      <w:numFmt w:val="bullet"/>
      <w:start w:val="1"/>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1)"/>
      <w:numFmt w:val="decimal"/>
      <w:start w:val="1"/>
    </w:lvl>
  </w:abstractNum>
  <w:abstractNum w:abstractNumId="85">
    <w:nsid w:val="7C58FD05"/>
    <w:multiLevelType w:val="hybridMultilevel"/>
    <w:lvl w:ilvl="0">
      <w:lvlJc w:val="left"/>
      <w:lvlText w:val="(%1)"/>
      <w:numFmt w:val="decimal"/>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lvl w:ilvl="1">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1)"/>
      <w:numFmt w:val="decimal"/>
      <w:start w:val="1"/>
    </w:lvl>
  </w:abstractNum>
  <w:abstractNum w:abstractNumId="92">
    <w:nsid w:val="78DF6A55"/>
    <w:multiLevelType w:val="hybridMultilevel"/>
    <w:lvl w:ilvl="0">
      <w:lvlJc w:val="left"/>
      <w:lvlText w:val="•"/>
      <w:numFmt w:val="bullet"/>
      <w:start w:val="1"/>
    </w:lvl>
  </w:abstractNum>
  <w:abstractNum w:abstractNumId="93">
    <w:nsid w:val="39B7AAA2"/>
    <w:multiLevelType w:val="hybridMultilevel"/>
    <w:lvl w:ilvl="0">
      <w:lvlJc w:val="left"/>
      <w:lvlText w:val="(%1)"/>
      <w:numFmt w:val="lowerRoman"/>
      <w:start w:val="3"/>
    </w:lvl>
  </w:abstractNum>
  <w:abstractNum w:abstractNumId="94">
    <w:nsid w:val="2B0D8DBE"/>
    <w:multiLevelType w:val="hybridMultilevel"/>
    <w:lvl w:ilvl="0">
      <w:lvlJc w:val="left"/>
      <w:lvlText w:val="(%1)"/>
      <w:numFmt w:val="decimal"/>
      <w:start w:val="1"/>
    </w:lvl>
  </w:abstractNum>
  <w:abstractNum w:abstractNumId="95">
    <w:nsid w:val="6C80EC70"/>
    <w:multiLevelType w:val="hybridMultilevel"/>
    <w:lvl w:ilvl="0">
      <w:lvlJc w:val="left"/>
      <w:lvlText w:val="(%1)"/>
      <w:numFmt w:val="decimal"/>
      <w:start w:val="1"/>
    </w:lvl>
  </w:abstractNum>
  <w:abstractNum w:abstractNumId="96">
    <w:nsid w:val="379E21B5"/>
    <w:multiLevelType w:val="hybridMultilevel"/>
    <w:lvl w:ilvl="0">
      <w:lvlJc w:val="left"/>
      <w:lvlText w:val="(%1)"/>
      <w:numFmt w:val="decimal"/>
      <w:start w:val="1"/>
    </w:lvl>
  </w:abstractNum>
  <w:abstractNum w:abstractNumId="97">
    <w:nsid w:val="69E373"/>
    <w:multiLevelType w:val="hybridMultilevel"/>
    <w:lvl w:ilvl="0">
      <w:lvlJc w:val="left"/>
      <w:lvlText w:val="(%1)"/>
      <w:numFmt w:val="decimal"/>
      <w:start w:val="1"/>
    </w:lvl>
  </w:abstractNum>
  <w:abstractNum w:abstractNumId="98">
    <w:nsid w:val="2C27173B"/>
    <w:multiLevelType w:val="hybridMultilevel"/>
    <w:lvl w:ilvl="0">
      <w:lvlJc w:val="left"/>
      <w:lvlText w:val="(%1)"/>
      <w:numFmt w:val="decimal"/>
      <w:start w:val="1"/>
    </w:lvl>
  </w:abstractNum>
  <w:abstractNum w:abstractNumId="99">
    <w:nsid w:val="4C9B0904"/>
    <w:multiLevelType w:val="hybridMultilevel"/>
    <w:lvl w:ilvl="0">
      <w:lvlJc w:val="left"/>
      <w:lvlText w:val="•"/>
      <w:numFmt w:val="bullet"/>
      <w:start w:val="1"/>
    </w:lvl>
  </w:abstractNum>
  <w:abstractNum w:abstractNumId="100">
    <w:nsid w:val="6AA7B75C"/>
    <w:multiLevelType w:val="hybridMultilevel"/>
    <w:lvl w:ilvl="0">
      <w:lvlJc w:val="left"/>
      <w:lvlText w:val="•"/>
      <w:numFmt w:val="bullet"/>
      <w:start w:val="1"/>
    </w:lvl>
  </w:abstractNum>
  <w:abstractNum w:abstractNumId="101">
    <w:nsid w:val="1DF029D3"/>
    <w:multiLevelType w:val="hybridMultilevel"/>
    <w:lvl w:ilvl="0">
      <w:lvlJc w:val="left"/>
      <w:lvlText w:val="•"/>
      <w:numFmt w:val="bullet"/>
      <w:start w:val="1"/>
    </w:lvl>
  </w:abstractNum>
  <w:abstractNum w:abstractNumId="102">
    <w:nsid w:val="5675FF36"/>
    <w:multiLevelType w:val="hybridMultilevel"/>
    <w:lvl w:ilvl="0">
      <w:lvlJc w:val="left"/>
      <w:lvlText w:val="•"/>
      <w:numFmt w:val="bullet"/>
      <w:start w:val="1"/>
    </w:lvl>
  </w:abstractNum>
  <w:abstractNum w:abstractNumId="103">
    <w:nsid w:val="3DD15094"/>
    <w:multiLevelType w:val="hybridMultilevel"/>
    <w:lvl w:ilvl="0">
      <w:lvlJc w:val="left"/>
      <w:lvlText w:val="•"/>
      <w:numFmt w:val="bullet"/>
      <w:start w:val="1"/>
    </w:lvl>
  </w:abstractNum>
  <w:abstractNum w:abstractNumId="104">
    <w:nsid w:val="3DB012B3"/>
    <w:multiLevelType w:val="hybridMultilevel"/>
    <w:lvl w:ilvl="0">
      <w:lvlJc w:val="left"/>
      <w:lvlText w:val="•"/>
      <w:numFmt w:val="bullet"/>
      <w:start w:val="1"/>
    </w:lvl>
  </w:abstractNum>
  <w:abstractNum w:abstractNumId="105">
    <w:nsid w:val="2708C9AF"/>
    <w:multiLevelType w:val="hybridMultilevel"/>
    <w:lvl w:ilvl="0">
      <w:lvlJc w:val="left"/>
      <w:lvlText w:val="•"/>
      <w:numFmt w:val="bullet"/>
      <w:start w:val="1"/>
    </w:lvl>
  </w:abstractNum>
  <w:abstractNum w:abstractNumId="106">
    <w:nsid w:val="5B25ACE2"/>
    <w:multiLevelType w:val="hybridMultilevel"/>
    <w:lvl w:ilvl="0">
      <w:lvlJc w:val="left"/>
      <w:lvlText w:val="(%1)"/>
      <w:numFmt w:val="decimal"/>
      <w:start w:val="1"/>
    </w:lvl>
  </w:abstractNum>
  <w:abstractNum w:abstractNumId="107">
    <w:nsid w:val="175DFCF0"/>
    <w:multiLevelType w:val="hybridMultilevel"/>
    <w:lvl w:ilvl="0">
      <w:lvlJc w:val="left"/>
      <w:lvlText w:val="(%1)"/>
      <w:numFmt w:val="decimal"/>
      <w:start w:val="1"/>
    </w:lvl>
  </w:abstractNum>
  <w:abstractNum w:abstractNumId="108">
    <w:nsid w:val="4F97E3E4"/>
    <w:multiLevelType w:val="hybridMultilevel"/>
    <w:lvl w:ilvl="0">
      <w:lvlJc w:val="left"/>
      <w:lvlText w:val="•"/>
      <w:numFmt w:val="bullet"/>
      <w:start w:val="1"/>
    </w:lvl>
    <w:lvl w:ilvl="1">
      <w:lvlJc w:val="left"/>
      <w:lvlText w:val="•"/>
      <w:numFmt w:val="bullet"/>
      <w:start w:val="1"/>
    </w:lvl>
  </w:abstractNum>
  <w:abstractNum w:abstractNumId="109">
    <w:nsid w:val="53B0A9E"/>
    <w:multiLevelType w:val="hybridMultilevel"/>
    <w:lvl w:ilvl="0">
      <w:lvlJc w:val="left"/>
      <w:lvlText w:val="(%1)"/>
      <w:numFmt w:val="decimal"/>
      <w:start w:val="1"/>
    </w:lvl>
  </w:abstractNum>
  <w:abstractNum w:abstractNumId="110">
    <w:nsid w:val="34FD6B4F"/>
    <w:multiLevelType w:val="hybridMultilevel"/>
    <w:lvl w:ilvl="0">
      <w:lvlJc w:val="left"/>
      <w:lvlText w:val="(%1)"/>
      <w:numFmt w:val="decimal"/>
      <w:start w:val="1"/>
    </w:lvl>
  </w:abstractNum>
  <w:abstractNum w:abstractNumId="111">
    <w:nsid w:val="5915FF32"/>
    <w:multiLevelType w:val="hybridMultilevel"/>
    <w:lvl w:ilvl="0">
      <w:lvlJc w:val="left"/>
      <w:lvlText w:val="•"/>
      <w:numFmt w:val="bullet"/>
      <w:start w:val="1"/>
    </w:lvl>
  </w:abstractNum>
  <w:abstractNum w:abstractNumId="112">
    <w:nsid w:val="56438D15"/>
    <w:multiLevelType w:val="hybridMultilevel"/>
    <w:lvl w:ilvl="0">
      <w:lvlJc w:val="left"/>
      <w:lvlText w:val="(%1)"/>
      <w:numFmt w:val="decimal"/>
      <w:start w:val="1"/>
    </w:lvl>
  </w:abstractNum>
  <w:abstractNum w:abstractNumId="113">
    <w:nsid w:val="519E3149"/>
    <w:multiLevelType w:val="hybridMultilevel"/>
    <w:lvl w:ilvl="0">
      <w:lvlJc w:val="left"/>
      <w:lvlText w:val="(%1)"/>
      <w:numFmt w:val="decimal"/>
      <w:start w:val="1"/>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decimal"/>
      <w:start w:val="1"/>
    </w:lvl>
  </w:abstractNum>
  <w:abstractNum w:abstractNumId="116">
    <w:nsid w:val="4DF72E4E"/>
    <w:multiLevelType w:val="hybridMultilevel"/>
    <w:lvl w:ilvl="0">
      <w:lvlJc w:val="left"/>
      <w:lvlText w:val="(%1)"/>
      <w:numFmt w:val="decimal"/>
      <w:start w:val="1"/>
    </w:lvl>
  </w:abstractNum>
  <w:abstractNum w:abstractNumId="117">
    <w:nsid w:val="5046B5A9"/>
    <w:multiLevelType w:val="hybridMultilevel"/>
    <w:lvl w:ilvl="0">
      <w:lvlJc w:val="left"/>
      <w:lvlText w:val="(%1)"/>
      <w:numFmt w:val="decimal"/>
      <w:start w:val="1"/>
    </w:lvl>
  </w:abstractNum>
  <w:abstractNum w:abstractNumId="118">
    <w:nsid w:val="5D888A08"/>
    <w:multiLevelType w:val="hybridMultilevel"/>
    <w:lvl w:ilvl="0">
      <w:lvlJc w:val="left"/>
      <w:lvlText w:val="•"/>
      <w:numFmt w:val="bullet"/>
      <w:start w:val="1"/>
    </w:lvl>
  </w:abstractNum>
  <w:abstractNum w:abstractNumId="119">
    <w:nsid w:val="2A082C70"/>
    <w:multiLevelType w:val="hybridMultilevel"/>
    <w:lvl w:ilvl="0">
      <w:lvlJc w:val="left"/>
      <w:lvlText w:val="(%1)"/>
      <w:numFmt w:val="decimal"/>
      <w:start w:val="1"/>
    </w:lvl>
  </w:abstractNum>
  <w:abstractNum w:abstractNumId="120">
    <w:nsid w:val="5EC6AFD4"/>
    <w:multiLevelType w:val="hybridMultilevel"/>
    <w:lvl w:ilvl="0">
      <w:lvlJc w:val="left"/>
      <w:lvlText w:val="(%1)"/>
      <w:numFmt w:val="decimal"/>
      <w:start w:val="1"/>
    </w:lvl>
  </w:abstractNum>
  <w:abstractNum w:abstractNumId="121">
    <w:nsid w:val="19E21BB2"/>
    <w:multiLevelType w:val="hybridMultilevel"/>
    <w:lvl w:ilvl="0">
      <w:lvlJc w:val="left"/>
      <w:lvlText w:val="•"/>
      <w:numFmt w:val="bullet"/>
      <w:start w:val="1"/>
    </w:lvl>
  </w:abstractNum>
  <w:abstractNum w:abstractNumId="122">
    <w:nsid w:val="75E0858A"/>
    <w:multiLevelType w:val="hybridMultilevel"/>
    <w:lvl w:ilvl="0">
      <w:lvlJc w:val="left"/>
      <w:lvlText w:val="(%1)"/>
      <w:numFmt w:val="decimal"/>
      <w:start w:val="1"/>
    </w:lvl>
  </w:abstractNum>
  <w:abstractNum w:abstractNumId="123">
    <w:nsid w:val="57A61A29"/>
    <w:multiLevelType w:val="hybridMultilevel"/>
    <w:lvl w:ilvl="0">
      <w:lvlJc w:val="left"/>
      <w:lvlText w:val="(%1)"/>
      <w:numFmt w:val="decimal"/>
      <w:start w:val="1"/>
    </w:lvl>
  </w:abstractNum>
  <w:abstractNum w:abstractNumId="124">
    <w:nsid w:val="5399C654"/>
    <w:multiLevelType w:val="hybridMultilevel"/>
    <w:lvl w:ilvl="0">
      <w:lvlJc w:val="left"/>
      <w:lvlText w:val="(%1)"/>
      <w:numFmt w:val="decimal"/>
      <w:start w:val="1"/>
    </w:lvl>
  </w:abstractNum>
  <w:abstractNum w:abstractNumId="125">
    <w:nsid w:val="20EE1348"/>
    <w:multiLevelType w:val="hybridMultilevel"/>
    <w:lvl w:ilvl="0">
      <w:lvlJc w:val="left"/>
      <w:lvlText w:val="•"/>
      <w:numFmt w:val="bullet"/>
      <w:start w:val="1"/>
    </w:lvl>
  </w:abstractNum>
  <w:abstractNum w:abstractNumId="126">
    <w:nsid w:val="4427069A"/>
    <w:multiLevelType w:val="hybridMultilevel"/>
    <w:lvl w:ilvl="0">
      <w:lvlJc w:val="left"/>
      <w:lvlText w:val="(%1)"/>
      <w:numFmt w:val="decimal"/>
      <w:start w:val="1"/>
    </w:lvl>
  </w:abstractNum>
  <w:abstractNum w:abstractNumId="127">
    <w:nsid w:val="B37E80A"/>
    <w:multiLevelType w:val="hybridMultilevel"/>
    <w:lvl w:ilvl="0">
      <w:lvlJc w:val="left"/>
      <w:lvlText w:val="%1."/>
      <w:numFmt w:val="decimal"/>
      <w:start w:val="1"/>
    </w:lvl>
    <w:lvl w:ilvl="1">
      <w:lvlJc w:val="left"/>
      <w:lvlText w:val="%2."/>
      <w:numFmt w:val="upperLetter"/>
      <w:start w:val="1"/>
    </w:lvl>
  </w:abstractNum>
  <w:abstractNum w:abstractNumId="128">
    <w:nsid w:val="2157F6BC"/>
    <w:multiLevelType w:val="hybridMultilevel"/>
    <w:lvl w:ilvl="0">
      <w:lvlJc w:val="left"/>
      <w:lvlText w:val="%1."/>
      <w:numFmt w:val="decimal"/>
      <w:start w:val="2"/>
    </w:lvl>
    <w:lvl w:ilvl="1">
      <w:lvlJc w:val="left"/>
      <w:lvlText w:val="%2."/>
      <w:numFmt w:val="upperLetter"/>
      <w:start w:val="1"/>
    </w:lvl>
  </w:abstractNum>
  <w:abstractNum w:abstractNumId="129">
    <w:nsid w:val="704E1DD5"/>
    <w:multiLevelType w:val="hybridMultilevel"/>
    <w:lvl w:ilvl="0">
      <w:lvlJc w:val="left"/>
      <w:lvlText w:val="%1."/>
      <w:numFmt w:val="decimal"/>
      <w:start w:val="4"/>
    </w:lvl>
    <w:lvl w:ilvl="1">
      <w:lvlJc w:val="left"/>
      <w:lvlText w:val="%2."/>
      <w:numFmt w:val="upperLetter"/>
      <w:start w:val="1"/>
    </w:lvl>
  </w:abstractNum>
  <w:abstractNum w:abstractNumId="130">
    <w:nsid w:val="57D2F10E"/>
    <w:multiLevelType w:val="hybridMultilevel"/>
    <w:lvl w:ilvl="0">
      <w:lvlJc w:val="left"/>
      <w:lvlText w:val="%1."/>
      <w:numFmt w:val="upperLetter"/>
      <w:start w:val="3"/>
    </w:lvl>
  </w:abstractNum>
  <w:abstractNum w:abstractNumId="131">
    <w:nsid w:val="BFFAE18"/>
    <w:multiLevelType w:val="hybridMultilevel"/>
    <w:lvl w:ilvl="0">
      <w:lvlJc w:val="left"/>
      <w:lvlText w:val="%1."/>
      <w:numFmt w:val="decimal"/>
      <w:start w:val="1"/>
    </w:lvl>
    <w:lvl w:ilvl="1">
      <w:lvlJc w:val="left"/>
      <w:lvlText w:val="%2)"/>
      <w:numFmt w:val="lowerLetter"/>
      <w:start w:val="1"/>
    </w:lvl>
  </w:abstractNum>
  <w:abstractNum w:abstractNumId="132">
    <w:nsid w:val="E3E47A8"/>
    <w:multiLevelType w:val="hybridMultilevel"/>
    <w:lvl w:ilvl="0">
      <w:lvlJc w:val="left"/>
      <w:lvlText w:val="%1."/>
      <w:numFmt w:val="decimal"/>
      <w:start w:val="1"/>
    </w:lvl>
    <w:lvl w:ilvl="1">
      <w:lvlJc w:val="left"/>
      <w:lvlText w:val="%2)"/>
      <w:numFmt w:val="lowerLetter"/>
      <w:start w:val="1"/>
    </w:lvl>
  </w:abstractNum>
  <w:abstractNum w:abstractNumId="133">
    <w:nsid w:val="2E48F044"/>
    <w:multiLevelType w:val="hybridMultilevel"/>
    <w:lvl w:ilvl="0">
      <w:lvlJc w:val="left"/>
      <w:lvlText w:val="(%1)"/>
      <w:numFmt w:val="decimal"/>
      <w:start w:val="1"/>
    </w:lvl>
  </w:abstractNum>
  <w:abstractNum w:abstractNumId="134">
    <w:nsid w:val="49D0FEAC"/>
    <w:multiLevelType w:val="hybridMultilevel"/>
    <w:lvl w:ilvl="0">
      <w:lvlJc w:val="left"/>
      <w:lvlText w:val="§"/>
      <w:numFmt w:val="bullet"/>
      <w:start w:val="1"/>
    </w:lvl>
    <w:lvl w:ilvl="1">
      <w:lvlJc w:val="left"/>
      <w:lvlText w:val="(%2)"/>
      <w:numFmt w:val="decimal"/>
      <w:start w:val="1"/>
    </w:lvl>
  </w:abstractNum>
  <w:abstractNum w:abstractNumId="135">
    <w:nsid w:val="4BEE5A5B"/>
    <w:multiLevelType w:val="hybridMultilevel"/>
    <w:lvl w:ilvl="0">
      <w:lvlJc w:val="left"/>
      <w:lvlText w:val="1"/>
      <w:numFmt w:val="bullet"/>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274" Type="http://schemas.openxmlformats.org/officeDocument/2006/relationships/image" Target="media/image177.png"/><Relationship Id="rId275" Type="http://schemas.openxmlformats.org/officeDocument/2006/relationships/image" Target="media/image178.png"/><Relationship Id="rId276" Type="http://schemas.openxmlformats.org/officeDocument/2006/relationships/image" Target="media/image179.png"/><Relationship Id="rId277" Type="http://schemas.openxmlformats.org/officeDocument/2006/relationships/image" Target="media/image180.png"/><Relationship Id="rId278" Type="http://schemas.openxmlformats.org/officeDocument/2006/relationships/image" Target="media/image181.png"/><Relationship Id="rId279" Type="http://schemas.openxmlformats.org/officeDocument/2006/relationships/image" Target="media/image182.png"/><Relationship Id="rId280" Type="http://schemas.openxmlformats.org/officeDocument/2006/relationships/image" Target="media/image183.png"/><Relationship Id="rId281" Type="http://schemas.openxmlformats.org/officeDocument/2006/relationships/image" Target="media/image184.png"/><Relationship Id="rId282" Type="http://schemas.openxmlformats.org/officeDocument/2006/relationships/image" Target="media/image185.png"/><Relationship Id="rId283" Type="http://schemas.openxmlformats.org/officeDocument/2006/relationships/image" Target="media/image186.png"/><Relationship Id="rId284" Type="http://schemas.openxmlformats.org/officeDocument/2006/relationships/image" Target="media/image187.png"/><Relationship Id="rId285" Type="http://schemas.openxmlformats.org/officeDocument/2006/relationships/image" Target="media/image188.png"/><Relationship Id="rId286" Type="http://schemas.openxmlformats.org/officeDocument/2006/relationships/image" Target="media/image189.png"/><Relationship Id="rId287" Type="http://schemas.openxmlformats.org/officeDocument/2006/relationships/image" Target="media/image190.png"/><Relationship Id="rId288" Type="http://schemas.openxmlformats.org/officeDocument/2006/relationships/image" Target="media/image191.png"/><Relationship Id="rId289" Type="http://schemas.openxmlformats.org/officeDocument/2006/relationships/image" Target="media/image192.png"/><Relationship Id="rId290" Type="http://schemas.openxmlformats.org/officeDocument/2006/relationships/image" Target="media/image193.png"/><Relationship Id="rId291" Type="http://schemas.openxmlformats.org/officeDocument/2006/relationships/image" Target="media/image194.png"/><Relationship Id="rId292" Type="http://schemas.openxmlformats.org/officeDocument/2006/relationships/image" Target="media/image195.png"/><Relationship Id="rId293" Type="http://schemas.openxmlformats.org/officeDocument/2006/relationships/image" Target="media/image196.png"/><Relationship Id="rId294" Type="http://schemas.openxmlformats.org/officeDocument/2006/relationships/image" Target="media/image197.png"/><Relationship Id="rId295" Type="http://schemas.openxmlformats.org/officeDocument/2006/relationships/image" Target="media/image198.png"/><Relationship Id="rId296" Type="http://schemas.openxmlformats.org/officeDocument/2006/relationships/image" Target="media/image199.png"/><Relationship Id="rId297" Type="http://schemas.openxmlformats.org/officeDocument/2006/relationships/image" Target="media/image200.png"/><Relationship Id="rId298" Type="http://schemas.openxmlformats.org/officeDocument/2006/relationships/image" Target="media/image201.png"/><Relationship Id="rId299" Type="http://schemas.openxmlformats.org/officeDocument/2006/relationships/image" Target="media/image202.png"/><Relationship Id="rId300" Type="http://schemas.openxmlformats.org/officeDocument/2006/relationships/image" Target="media/image203.png"/><Relationship Id="rId301" Type="http://schemas.openxmlformats.org/officeDocument/2006/relationships/image" Target="media/image204.png"/><Relationship Id="rId302" Type="http://schemas.openxmlformats.org/officeDocument/2006/relationships/image" Target="media/image205.png"/><Relationship Id="rId303" Type="http://schemas.openxmlformats.org/officeDocument/2006/relationships/image" Target="media/image206.png"/><Relationship Id="rId304" Type="http://schemas.openxmlformats.org/officeDocument/2006/relationships/image" Target="media/image207.png"/><Relationship Id="rId305" Type="http://schemas.openxmlformats.org/officeDocument/2006/relationships/image" Target="media/image208.png"/><Relationship Id="rId306" Type="http://schemas.openxmlformats.org/officeDocument/2006/relationships/image" Target="media/image209.png"/><Relationship Id="rId307" Type="http://schemas.openxmlformats.org/officeDocument/2006/relationships/image" Target="media/image210.png"/><Relationship Id="rId308" Type="http://schemas.openxmlformats.org/officeDocument/2006/relationships/image" Target="media/image211.png"/><Relationship Id="rId309" Type="http://schemas.openxmlformats.org/officeDocument/2006/relationships/image" Target="media/image212.png"/><Relationship Id="rId310" Type="http://schemas.openxmlformats.org/officeDocument/2006/relationships/image" Target="media/image213.png"/><Relationship Id="rId311" Type="http://schemas.openxmlformats.org/officeDocument/2006/relationships/image" Target="media/image214.png"/><Relationship Id="rId312" Type="http://schemas.openxmlformats.org/officeDocument/2006/relationships/image" Target="media/image215.png"/><Relationship Id="rId313" Type="http://schemas.openxmlformats.org/officeDocument/2006/relationships/image" Target="media/image216.png"/><Relationship Id="rId314" Type="http://schemas.openxmlformats.org/officeDocument/2006/relationships/image" Target="media/image217.png"/><Relationship Id="rId315" Type="http://schemas.openxmlformats.org/officeDocument/2006/relationships/image" Target="media/image218.png"/><Relationship Id="rId316" Type="http://schemas.openxmlformats.org/officeDocument/2006/relationships/image" Target="media/image219.png"/><Relationship Id="rId317" Type="http://schemas.openxmlformats.org/officeDocument/2006/relationships/image" Target="media/image220.png"/><Relationship Id="rId318" Type="http://schemas.openxmlformats.org/officeDocument/2006/relationships/image" Target="media/image221.png"/><Relationship Id="rId319" Type="http://schemas.openxmlformats.org/officeDocument/2006/relationships/image" Target="media/image222.png"/><Relationship Id="rId320" Type="http://schemas.openxmlformats.org/officeDocument/2006/relationships/image" Target="media/image223.png"/><Relationship Id="rId321" Type="http://schemas.openxmlformats.org/officeDocument/2006/relationships/image" Target="media/image224.png"/><Relationship Id="rId322" Type="http://schemas.openxmlformats.org/officeDocument/2006/relationships/image" Target="media/image225.png"/><Relationship Id="rId323" Type="http://schemas.openxmlformats.org/officeDocument/2006/relationships/image" Target="media/image226.png"/><Relationship Id="rId324" Type="http://schemas.openxmlformats.org/officeDocument/2006/relationships/image" Target="media/image227.png"/><Relationship Id="rId325" Type="http://schemas.openxmlformats.org/officeDocument/2006/relationships/image" Target="media/image228.png"/><Relationship Id="rId326" Type="http://schemas.openxmlformats.org/officeDocument/2006/relationships/image" Target="media/image229.png"/><Relationship Id="rId327" Type="http://schemas.openxmlformats.org/officeDocument/2006/relationships/image" Target="media/image230.png"/><Relationship Id="rId328" Type="http://schemas.openxmlformats.org/officeDocument/2006/relationships/image" Target="media/image231.png"/><Relationship Id="rId329" Type="http://schemas.openxmlformats.org/officeDocument/2006/relationships/image" Target="media/image232.png"/><Relationship Id="rId330" Type="http://schemas.openxmlformats.org/officeDocument/2006/relationships/image" Target="media/image233.png"/><Relationship Id="rId331" Type="http://schemas.openxmlformats.org/officeDocument/2006/relationships/image" Target="media/image234.png"/><Relationship Id="rId332" Type="http://schemas.openxmlformats.org/officeDocument/2006/relationships/image" Target="media/image235.png"/><Relationship Id="rId333" Type="http://schemas.openxmlformats.org/officeDocument/2006/relationships/image" Target="media/image236.png"/><Relationship Id="rId334" Type="http://schemas.openxmlformats.org/officeDocument/2006/relationships/image" Target="media/image237.png"/><Relationship Id="rId335" Type="http://schemas.openxmlformats.org/officeDocument/2006/relationships/image" Target="media/image238.png"/><Relationship Id="rId336" Type="http://schemas.openxmlformats.org/officeDocument/2006/relationships/image" Target="media/image239.png"/><Relationship Id="rId337" Type="http://schemas.openxmlformats.org/officeDocument/2006/relationships/image" Target="media/image240.png"/><Relationship Id="rId338" Type="http://schemas.openxmlformats.org/officeDocument/2006/relationships/image" Target="media/image241.png"/><Relationship Id="rId339" Type="http://schemas.openxmlformats.org/officeDocument/2006/relationships/image" Target="media/image242.png"/><Relationship Id="rId340" Type="http://schemas.openxmlformats.org/officeDocument/2006/relationships/image" Target="media/image243.png"/><Relationship Id="rId341" Type="http://schemas.openxmlformats.org/officeDocument/2006/relationships/image" Target="media/image244.png"/><Relationship Id="rId342" Type="http://schemas.openxmlformats.org/officeDocument/2006/relationships/image" Target="media/image245.png"/><Relationship Id="rId343" Type="http://schemas.openxmlformats.org/officeDocument/2006/relationships/image" Target="media/image246.png"/><Relationship Id="rId344" Type="http://schemas.openxmlformats.org/officeDocument/2006/relationships/image" Target="media/image247.png"/><Relationship Id="rId345" Type="http://schemas.openxmlformats.org/officeDocument/2006/relationships/image" Target="media/image248.png"/><Relationship Id="rId346" Type="http://schemas.openxmlformats.org/officeDocument/2006/relationships/image" Target="media/image249.png"/><Relationship Id="rId347" Type="http://schemas.openxmlformats.org/officeDocument/2006/relationships/image" Target="media/image250.png"/><Relationship Id="rId348" Type="http://schemas.openxmlformats.org/officeDocument/2006/relationships/image" Target="media/image251.png"/><Relationship Id="rId349" Type="http://schemas.openxmlformats.org/officeDocument/2006/relationships/image" Target="media/image252.png"/><Relationship Id="rId350" Type="http://schemas.openxmlformats.org/officeDocument/2006/relationships/image" Target="media/image253.png"/><Relationship Id="rId351" Type="http://schemas.openxmlformats.org/officeDocument/2006/relationships/image" Target="media/image254.png"/><Relationship Id="rId352" Type="http://schemas.openxmlformats.org/officeDocument/2006/relationships/image" Target="media/image255.png"/><Relationship Id="rId353" Type="http://schemas.openxmlformats.org/officeDocument/2006/relationships/image" Target="media/image256.png"/><Relationship Id="rId354" Type="http://schemas.openxmlformats.org/officeDocument/2006/relationships/image" Target="media/image257.png"/><Relationship Id="rId355" Type="http://schemas.openxmlformats.org/officeDocument/2006/relationships/image" Target="media/image258.png"/><Relationship Id="rId356" Type="http://schemas.openxmlformats.org/officeDocument/2006/relationships/image" Target="media/image259.png"/><Relationship Id="rId357" Type="http://schemas.openxmlformats.org/officeDocument/2006/relationships/image" Target="media/image260.png"/><Relationship Id="rId358" Type="http://schemas.openxmlformats.org/officeDocument/2006/relationships/image" Target="media/image261.png"/><Relationship Id="rId359" Type="http://schemas.openxmlformats.org/officeDocument/2006/relationships/image" Target="media/image262.png"/><Relationship Id="rId360" Type="http://schemas.openxmlformats.org/officeDocument/2006/relationships/image" Target="media/image263.png"/><Relationship Id="rId361" Type="http://schemas.openxmlformats.org/officeDocument/2006/relationships/image" Target="media/image264.png"/><Relationship Id="rId362" Type="http://schemas.openxmlformats.org/officeDocument/2006/relationships/image" Target="media/image265.png"/><Relationship Id="rId363" Type="http://schemas.openxmlformats.org/officeDocument/2006/relationships/image" Target="media/image266.png"/><Relationship Id="rId364" Type="http://schemas.openxmlformats.org/officeDocument/2006/relationships/image" Target="media/image267.png"/><Relationship Id="rId365" Type="http://schemas.openxmlformats.org/officeDocument/2006/relationships/image" Target="media/image268.png"/><Relationship Id="rId366" Type="http://schemas.openxmlformats.org/officeDocument/2006/relationships/image" Target="media/image269.png"/><Relationship Id="rId367" Type="http://schemas.openxmlformats.org/officeDocument/2006/relationships/image" Target="media/image270.png"/><Relationship Id="rId368" Type="http://schemas.openxmlformats.org/officeDocument/2006/relationships/image" Target="media/image271.png"/><Relationship Id="rId369" Type="http://schemas.openxmlformats.org/officeDocument/2006/relationships/image" Target="media/image272.png"/><Relationship Id="rId370" Type="http://schemas.openxmlformats.org/officeDocument/2006/relationships/image" Target="media/image273.png"/><Relationship Id="rId371" Type="http://schemas.openxmlformats.org/officeDocument/2006/relationships/image" Target="media/image274.png"/><Relationship Id="rId372" Type="http://schemas.openxmlformats.org/officeDocument/2006/relationships/image" Target="media/image275.png"/><Relationship Id="rId373" Type="http://schemas.openxmlformats.org/officeDocument/2006/relationships/image" Target="media/image276.png"/><Relationship Id="rId374" Type="http://schemas.openxmlformats.org/officeDocument/2006/relationships/image" Target="media/image277.png"/><Relationship Id="rId375" Type="http://schemas.openxmlformats.org/officeDocument/2006/relationships/image" Target="media/image278.png"/><Relationship Id="rId376" Type="http://schemas.openxmlformats.org/officeDocument/2006/relationships/image" Target="media/image279.png"/><Relationship Id="rId377" Type="http://schemas.openxmlformats.org/officeDocument/2006/relationships/image" Target="media/image280.png"/><Relationship Id="rId378" Type="http://schemas.openxmlformats.org/officeDocument/2006/relationships/image" Target="media/image281.png"/><Relationship Id="rId379" Type="http://schemas.openxmlformats.org/officeDocument/2006/relationships/image" Target="media/image282.png"/><Relationship Id="rId380" Type="http://schemas.openxmlformats.org/officeDocument/2006/relationships/image" Target="media/image283.png"/><Relationship Id="rId381" Type="http://schemas.openxmlformats.org/officeDocument/2006/relationships/image" Target="media/image284.png"/><Relationship Id="rId382" Type="http://schemas.openxmlformats.org/officeDocument/2006/relationships/image" Target="media/image285.png"/><Relationship Id="rId383" Type="http://schemas.openxmlformats.org/officeDocument/2006/relationships/image" Target="media/image286.png"/><Relationship Id="rId384" Type="http://schemas.openxmlformats.org/officeDocument/2006/relationships/image" Target="media/image287.png"/><Relationship Id="rId385" Type="http://schemas.openxmlformats.org/officeDocument/2006/relationships/image" Target="media/image288.png"/><Relationship Id="rId386" Type="http://schemas.openxmlformats.org/officeDocument/2006/relationships/image" Target="media/image289.png"/><Relationship Id="rId387" Type="http://schemas.openxmlformats.org/officeDocument/2006/relationships/image" Target="media/image290.png"/><Relationship Id="rId388" Type="http://schemas.openxmlformats.org/officeDocument/2006/relationships/image" Target="media/image291.png"/><Relationship Id="rId389" Type="http://schemas.openxmlformats.org/officeDocument/2006/relationships/image" Target="media/image292.png"/><Relationship Id="rId390" Type="http://schemas.openxmlformats.org/officeDocument/2006/relationships/image" Target="media/image293.png"/><Relationship Id="rId391" Type="http://schemas.openxmlformats.org/officeDocument/2006/relationships/image" Target="media/image294.png"/><Relationship Id="rId392" Type="http://schemas.openxmlformats.org/officeDocument/2006/relationships/image" Target="media/image295.png"/><Relationship Id="rId393" Type="http://schemas.openxmlformats.org/officeDocument/2006/relationships/image" Target="media/image296.png"/><Relationship Id="rId184" Type="http://schemas.openxmlformats.org/officeDocument/2006/relationships/hyperlink" Target="https://www.sec.gov/Archives/edgar/data/1061219/000095012903006098/h11257exv2w1.txt" TargetMode="External"/><Relationship Id="rId185" Type="http://schemas.openxmlformats.org/officeDocument/2006/relationships/hyperlink" Target="https://www.sec.gov/Archives/edgar/data/1061219/000106121904000194/exhibit2-1.htm" TargetMode="External"/><Relationship Id="rId186" Type="http://schemas.openxmlformats.org/officeDocument/2006/relationships/hyperlink" Target="https://www.sec.gov/Archives/edgar/data/1061219/000095012903006098/h11257exv2w2.txt" TargetMode="External"/><Relationship Id="rId187" Type="http://schemas.openxmlformats.org/officeDocument/2006/relationships/hyperlink" Target="https://www.sec.gov/Archives/edgar/data/1061219/000106121904000053/exhibit2-1.htm" TargetMode="External"/><Relationship Id="rId188" Type="http://schemas.openxmlformats.org/officeDocument/2006/relationships/hyperlink" Target="https://www.sec.gov/Archives/edgar/data/1061219/000095012903006098/h11257exv2w4.txt" TargetMode="External"/><Relationship Id="rId189" Type="http://schemas.openxmlformats.org/officeDocument/2006/relationships/hyperlink" Target="https://www.sec.gov/Archives/edgar/data/1061219/000095012309018753/h67302exv2w1.htm" TargetMode="External"/><Relationship Id="rId190" Type="http://schemas.openxmlformats.org/officeDocument/2006/relationships/hyperlink" Target="https://www.sec.gov/Archives/edgar/data/1061219/000095012309018753/h67302exv2w2.htm" TargetMode="External"/><Relationship Id="rId191" Type="http://schemas.openxmlformats.org/officeDocument/2006/relationships/hyperlink" Target="https://www.sec.gov/Archives/edgar/data/1061219/000095012310084271/h75957exv2w1.htm" TargetMode="External"/><Relationship Id="rId192" Type="http://schemas.openxmlformats.org/officeDocument/2006/relationships/hyperlink" Target="https://www.sec.gov/Archives/edgar/data/1061219/000095012310084271/h75957exv2w2.htm" TargetMode="External"/><Relationship Id="rId193" Type="http://schemas.openxmlformats.org/officeDocument/2006/relationships/hyperlink" Target="https://www.sec.gov/Archives/edgar/data/1061219/000095012310090755/h76576exv2w1.htm" TargetMode="External"/><Relationship Id="rId194" Type="http://schemas.openxmlformats.org/officeDocument/2006/relationships/hyperlink" Target="https://www.sec.gov/Archives/edgar/data/1061219/000095012311042253/h81801exv2w1.htm" TargetMode="External"/><Relationship Id="rId195" Type="http://schemas.openxmlformats.org/officeDocument/2006/relationships/hyperlink" Target="https://www.sec.gov/Archives/edgar/data/1061219/000119312514360884/d798407dex21.htm" TargetMode="External"/><Relationship Id="rId196" Type="http://schemas.openxmlformats.org/officeDocument/2006/relationships/hyperlink" Target="https://www.sec.gov/Archives/edgar/data/1061219/000119312514409528/d820273dex21.htm" TargetMode="External"/><Relationship Id="rId197" Type="http://schemas.openxmlformats.org/officeDocument/2006/relationships/hyperlink" Target="https://www.sec.gov/Archives/edgar/data/1061219/000106121918000020/exhibit2_2.htm" TargetMode="External"/><Relationship Id="rId198" Type="http://schemas.openxmlformats.org/officeDocument/2006/relationships/hyperlink" Target="https://www.sec.gov/Archives/edgar/data/1061219/000106121907000043/exhibit3_6.htm" TargetMode="External"/><Relationship Id="rId199" Type="http://schemas.openxmlformats.org/officeDocument/2006/relationships/hyperlink" Target="https://www.sec.gov/Archives/edgar/data/1061219/000106121910000072/exhibit3_6.htm" TargetMode="External"/><Relationship Id="rId200" Type="http://schemas.openxmlformats.org/officeDocument/2006/relationships/hyperlink" Target="https://www.sec.gov/Archives/edgar/data/1061219/000119312520261373/d170716dex31.htm" TargetMode="External"/><Relationship Id="rId201" Type="http://schemas.openxmlformats.org/officeDocument/2006/relationships/hyperlink" Target="https://www.sec.gov/Archives/edgar/data/1324592/000119312505146603/dex33.htm" TargetMode="External"/><Relationship Id="rId202" Type="http://schemas.openxmlformats.org/officeDocument/2006/relationships/hyperlink" Target="https://www.sec.gov/Archives/edgar/data/1061219/000106121910000072/exhibit3_5.htm" TargetMode="External"/><Relationship Id="rId203" Type="http://schemas.openxmlformats.org/officeDocument/2006/relationships/hyperlink" Target="https://www.sec.gov/Archives/edgar/data/1061219/000106121922000020/exhibit3_9.htm" TargetMode="External"/><Relationship Id="rId204" Type="http://schemas.openxmlformats.org/officeDocument/2006/relationships/hyperlink" Target="https://www.sec.gov/Archives/edgar/data/1061219/000106121907000037/exhibit3_3.htm" TargetMode="External"/><Relationship Id="rId205" Type="http://schemas.openxmlformats.org/officeDocument/2006/relationships/hyperlink" Target="https://www.sec.gov/Archives/edgar/data/1061219/000095012904010113/h19587exv3w5.htm" TargetMode="External"/><Relationship Id="rId206" Type="http://schemas.openxmlformats.org/officeDocument/2006/relationships/hyperlink" Target="https://www.sec.gov/Archives/edgar/data/1061219/000095012904010113/h19587exv3w6.htm" TargetMode="External"/><Relationship Id="rId207" Type="http://schemas.openxmlformats.org/officeDocument/2006/relationships/hyperlink" Target="https://www.sec.gov/Archives/edgar/data/1061219/000106121920000014/exhibit4_2.htm" TargetMode="External"/><Relationship Id="rId208" Type="http://schemas.openxmlformats.org/officeDocument/2006/relationships/hyperlink" Target="https://www.sec.gov/Archives/edgar/data/1061219/000089924300000467/0000899243-00-000467.txt" TargetMode="External"/><Relationship Id="rId209" Type="http://schemas.openxmlformats.org/officeDocument/2006/relationships/hyperlink" Target="https://www.sec.gov/Archives/edgar/data/1061219/000095012903001725/h04315exv4w3.txt" TargetMode="External"/><Relationship Id="rId210" Type="http://schemas.openxmlformats.org/officeDocument/2006/relationships/hyperlink" Target="https://www.sec.gov/Archives/edgar/data/1061219/000106121907000037/exhibit4_55.htm" TargetMode="External"/><Relationship Id="rId211" Type="http://schemas.openxmlformats.org/officeDocument/2006/relationships/hyperlink" Target="https://www.sec.gov/Archives/edgar/data/1061219/000106121904000231/exhibit4-1.htm" TargetMode="External"/><Relationship Id="rId212" Type="http://schemas.openxmlformats.org/officeDocument/2006/relationships/hyperlink" Target="https://www.sec.gov/Archives/edgar/data/1061219/000106121904000231/exhibit4-5.htm" TargetMode="External"/><Relationship Id="rId213" Type="http://schemas.openxmlformats.org/officeDocument/2006/relationships/hyperlink" Target="https://www.sec.gov/Archives/edgar/data/1061219/000095013405004121/h22993exv4w3.htm" TargetMode="External"/><Relationship Id="rId214" Type="http://schemas.openxmlformats.org/officeDocument/2006/relationships/hyperlink" Target="https://www.sec.gov/Archives/edgar/data/1061219/000106121907000037/exhibit4_54.htm" TargetMode="External"/><Relationship Id="rId215" Type="http://schemas.openxmlformats.org/officeDocument/2006/relationships/hyperlink" Target="https://www.sec.gov/Archives/edgar/data/1061219/000095012309048189/h68150exv4w3.htm" TargetMode="External"/><Relationship Id="rId216" Type="http://schemas.openxmlformats.org/officeDocument/2006/relationships/hyperlink" Target="https://www.sec.gov/Archives/edgar/data/1061219/000095012309054271/h68298exv4w1.htm" TargetMode="External"/><Relationship Id="rId217" Type="http://schemas.openxmlformats.org/officeDocument/2006/relationships/hyperlink" Target="https://www.sec.gov/Archives/edgar/data/1061219/000095012309054271/h68298exv4w2.htm" TargetMode="External"/><Relationship Id="rId218" Type="http://schemas.openxmlformats.org/officeDocument/2006/relationships/hyperlink" Target="https://www.sec.gov/Archives/edgar/data/1061219/000095012310051426/h73201exv4w3.htm" TargetMode="External"/><Relationship Id="rId219" Type="http://schemas.openxmlformats.org/officeDocument/2006/relationships/hyperlink" Target="https://www.sec.gov/Archives/edgar/data/1061219/000095012311002459/h78817exv4w3.htm" TargetMode="External"/><Relationship Id="rId220" Type="http://schemas.openxmlformats.org/officeDocument/2006/relationships/hyperlink" Target="https://www.sec.gov/Archives/edgar/data/1061219/000095012311079627/h84367exv4w3.htm" TargetMode="External"/><Relationship Id="rId221" Type="http://schemas.openxmlformats.org/officeDocument/2006/relationships/hyperlink" Target="https://www.sec.gov/Archives/edgar/data/1061219/000106121912000015/exhibit4_25.htm" TargetMode="External"/><Relationship Id="rId222" Type="http://schemas.openxmlformats.org/officeDocument/2006/relationships/hyperlink" Target="https://www.sec.gov/Archives/edgar/data/1061219/000119312512351427/d396705dex43.htm" TargetMode="External"/><Relationship Id="rId223" Type="http://schemas.openxmlformats.org/officeDocument/2006/relationships/hyperlink" Target="https://www.sec.gov/Archives/edgar/data/1061219/000119312513111663/d504401dex43.htm" TargetMode="External"/><Relationship Id="rId224" Type="http://schemas.openxmlformats.org/officeDocument/2006/relationships/hyperlink" Target="https://www.sec.gov/Archives/edgar/data/1061219/000119312514047122/d677538dex43.htm" TargetMode="External"/><Relationship Id="rId225" Type="http://schemas.openxmlformats.org/officeDocument/2006/relationships/hyperlink" Target="https://www.sec.gov/Archives/edgar/data/1061219/000119312514370411/d804454dex44.htm" TargetMode="External"/><Relationship Id="rId226" Type="http://schemas.openxmlformats.org/officeDocument/2006/relationships/hyperlink" Target="https://www.sec.gov/Archives/edgar/data/1061219/000119312515176176/d924725dex43.htm" TargetMode="External"/><Relationship Id="rId227" Type="http://schemas.openxmlformats.org/officeDocument/2006/relationships/hyperlink" Target="https://www.sec.gov/Archives/edgar/data/1061219/000119312516539391/d159503dex44.htm" TargetMode="External"/><Relationship Id="rId228" Type="http://schemas.openxmlformats.org/officeDocument/2006/relationships/hyperlink" Target="https://www.sec.gov/Archives/edgar/data/1061219/000119312517259253/d443889dex43.htm" TargetMode="External"/><Relationship Id="rId229" Type="http://schemas.openxmlformats.org/officeDocument/2006/relationships/hyperlink" Target="https://www.sec.gov/Archives/edgar/data/1061219/000119312518046800/d528323dex44.htm" TargetMode="External"/><Relationship Id="rId230" Type="http://schemas.openxmlformats.org/officeDocument/2006/relationships/hyperlink" Target="https://www.sec.gov/Archives/edgar/data/1061219/000119312518046800/d528323dex43.htm" TargetMode="External"/><Relationship Id="rId231" Type="http://schemas.openxmlformats.org/officeDocument/2006/relationships/hyperlink" Target="https://www.sec.gov/Archives/edgar/data/1061219/000119312518297371/d626241dex43.htm" TargetMode="External"/><Relationship Id="rId232" Type="http://schemas.openxmlformats.org/officeDocument/2006/relationships/hyperlink" Target="https://www.sec.gov/Archives/edgar/data/1061219/000119312519190249/d754256dex43.htm" TargetMode="External"/><Relationship Id="rId233" Type="http://schemas.openxmlformats.org/officeDocument/2006/relationships/hyperlink" Target="https://www.sec.gov/Archives/edgar/data/1061219/000119312520007702/d120339dex43.htm" TargetMode="External"/><Relationship Id="rId234" Type="http://schemas.openxmlformats.org/officeDocument/2006/relationships/hyperlink" Target="https://www.sec.gov/Archives/edgar/data/1061219/000119312520212694/d946521dex44.htm" TargetMode="External"/><Relationship Id="rId235" Type="http://schemas.openxmlformats.org/officeDocument/2006/relationships/hyperlink" Target="https://www.sec.gov/Archives/edgar/data/0001061219/000119312521273639/d215284dex43.htm" TargetMode="External"/><Relationship Id="rId236" Type="http://schemas.openxmlformats.org/officeDocument/2006/relationships/hyperlink" Target="https://www.sec.gov/Archives/edgar/data/1061219/000119312523005587/d871196dex44.htm" TargetMode="External"/><Relationship Id="rId237" Type="http://schemas.openxmlformats.org/officeDocument/2006/relationships/hyperlink" Target="https://www.sec.gov/Archives/edgar/data/1061219/000119312524006408/d674876dex44.htm" TargetMode="External"/><Relationship Id="rId238" Type="http://schemas.openxmlformats.org/officeDocument/2006/relationships/hyperlink" Target="https://www.sec.gov/Archives/edgar/data/1061219/000095012905001997/h23076exv4w19.htm" TargetMode="External"/><Relationship Id="rId239" Type="http://schemas.openxmlformats.org/officeDocument/2006/relationships/hyperlink" Target="https://www.sec.gov/Archives/edgar/data/1061219/000106121905000158/exhibit4-32.htm" TargetMode="External"/><Relationship Id="rId240" Type="http://schemas.openxmlformats.org/officeDocument/2006/relationships/hyperlink" Target="https://www.sec.gov/Archives/edgar/data/1061219/000095012309054271/h68298exv4w9.htm" TargetMode="External"/><Relationship Id="rId241" Type="http://schemas.openxmlformats.org/officeDocument/2006/relationships/hyperlink" Target="https://www.sec.gov/Archives/edgar/data/1061219/000106121915000017/exhibit4_59.htm" TargetMode="External"/><Relationship Id="rId242" Type="http://schemas.openxmlformats.org/officeDocument/2006/relationships/hyperlink" Target="https://www.sec.gov/Archives/edgar/data/857644/000095012902000810/h94327ex99-2.txt" TargetMode="External"/><Relationship Id="rId243" Type="http://schemas.openxmlformats.org/officeDocument/2006/relationships/hyperlink" Target="https://www.sec.gov/Archives/edgar/data/857644/000095012902004149/h98782exv4w6.htm" TargetMode="External"/><Relationship Id="rId244" Type="http://schemas.openxmlformats.org/officeDocument/2006/relationships/hyperlink" Target="https://www.sec.gov/Archives/edgar/data/857644/000110465906072235/a06-21511_1ex4d8.htm" TargetMode="External"/><Relationship Id="rId245" Type="http://schemas.openxmlformats.org/officeDocument/2006/relationships/hyperlink" Target="https://www.sec.gov/Archives/edgar/data/857644/000085764408000054/exhibit4_13.htm" TargetMode="External"/><Relationship Id="rId246" Type="http://schemas.openxmlformats.org/officeDocument/2006/relationships/hyperlink" Target="https://www.sec.gov/Archives/edgar/data/857644/000095012309054274/h68315exv4w1.htm" TargetMode="External"/><Relationship Id="rId247" Type="http://schemas.openxmlformats.org/officeDocument/2006/relationships/hyperlink" Target="https://www.sec.gov/Archives/edgar/data/1061219/000106121910000011/exhibit4_64.htm" TargetMode="External"/><Relationship Id="rId248" Type="http://schemas.openxmlformats.org/officeDocument/2006/relationships/hyperlink" Target="https://www.sec.gov/Archives/edgar/data/857644/000095012907002534/h46716exv99w1.htm" TargetMode="External"/><Relationship Id="rId249" Type="http://schemas.openxmlformats.org/officeDocument/2006/relationships/hyperlink" Target="https://www.sec.gov/Archives/edgar/data/857644/000095012907002649/h46946exv4w2.htm" TargetMode="External"/><Relationship Id="rId250" Type="http://schemas.openxmlformats.org/officeDocument/2006/relationships/hyperlink" Target="https://www.sec.gov/Archives/edgar/data/1045548/000095012907003291/h48040exv4w2.htm" TargetMode="External"/><Relationship Id="rId251" Type="http://schemas.openxmlformats.org/officeDocument/2006/relationships/hyperlink" Target="https://www.sec.gov/Archives/edgar/data/857644/000095012309054274/h68315exv4w2.htm" TargetMode="External"/><Relationship Id="rId252" Type="http://schemas.openxmlformats.org/officeDocument/2006/relationships/hyperlink" Target="https://www.sec.gov/Archives/edgar/data/1061219/000106121910000011/exhibit4_70.htm" TargetMode="External"/><Relationship Id="rId253" Type="http://schemas.openxmlformats.org/officeDocument/2006/relationships/hyperlink" Target="https://www.sec.gov/Archives/edgar/data/1061219/000119312520261373/d170716dex42.htm" TargetMode="External"/><Relationship Id="rId254" Type="http://schemas.openxmlformats.org/officeDocument/2006/relationships/hyperlink" Target="https://www.sec.gov/Archives/edgar/data/1061219/000119312522267594/d370912ddef14a.htm" TargetMode="External"/><Relationship Id="rId255" Type="http://schemas.openxmlformats.org/officeDocument/2006/relationships/hyperlink" Target="https://www.sec.gov/Archives/edgar/data/1061219/000106121917000008/exhibit10_4.htm" TargetMode="External"/><Relationship Id="rId256" Type="http://schemas.openxmlformats.org/officeDocument/2006/relationships/hyperlink" Target="https://www.sec.gov/Archives/edgar/data/1061219/000106121921000009/exhibit10_3.htm" TargetMode="External"/><Relationship Id="rId257" Type="http://schemas.openxmlformats.org/officeDocument/2006/relationships/hyperlink" Target="https://www.sec.gov/Archives/edgar/data/1061219/000106121923000006/exhibit10_4.htm" TargetMode="External"/><Relationship Id="rId258" Type="http://schemas.openxmlformats.org/officeDocument/2006/relationships/hyperlink" Target="https://www.sec.gov/Archives/edgar/data/1061219/000119312515049549/d874027dex101.htm" TargetMode="External"/><Relationship Id="rId259" Type="http://schemas.openxmlformats.org/officeDocument/2006/relationships/hyperlink" Target="https://www.sec.gov/Archives/edgar/data/1061219/000119312523088132/d459179dex101.htm" TargetMode="External"/><Relationship Id="rId260" Type="http://schemas.openxmlformats.org/officeDocument/2006/relationships/hyperlink" Target="https://www.sec.gov/Archives/edgar/data/1061219/000119312523088132/d459179dex102.htm" TargetMode="External"/><Relationship Id="rId261" Type="http://schemas.openxmlformats.org/officeDocument/2006/relationships/hyperlink" Target="https://www.sec.gov/Archives/edgar/data/1061219/000119312523088132/d459179dex103.htm" TargetMode="External"/><Relationship Id="rId262" Type="http://schemas.openxmlformats.org/officeDocument/2006/relationships/hyperlink" Target="https://www.sec.gov/Archives/edgar/data/1061219/000119312523088132/d459179dex104.htm" TargetMode="External"/><Relationship Id="rId263" Type="http://schemas.openxmlformats.org/officeDocument/2006/relationships/hyperlink" Target="https://www.sec.gov/Archives/edgar/data/1061219/000119312518343781/d663014dex101.htm" TargetMode="External"/><Relationship Id="rId264" Type="http://schemas.openxmlformats.org/officeDocument/2006/relationships/hyperlink" Target="https://www.sec.gov/Archives/edgar/data/1061219/000119312518343781/d663014dex102.htm" TargetMode="External"/><Relationship Id="rId265" Type="http://schemas.openxmlformats.org/officeDocument/2006/relationships/hyperlink" Target="https://www.sec.gov/Archives/edgar/data/1061219/000106121923000022/exhibit10_2.htm" TargetMode="External"/><Relationship Id="rId266" Type="http://schemas.openxmlformats.org/officeDocument/2006/relationships/hyperlink" Target="https://www.sec.gov/Archives/edgar/data/1061219/000106121923000022/exhibit10_3.htm" TargetMode="External"/><Relationship Id="rId267" Type="http://schemas.openxmlformats.org/officeDocument/2006/relationships/hyperlink" Target="https://www.sec.gov/Archives/edgar/data/1061219/000119312520261373/d170716dex101.htm" TargetMode="External"/><Relationship Id="rId268" Type="http://schemas.openxmlformats.org/officeDocument/2006/relationships/hyperlink" Target="https://www.sec.gov/Archives/edgar/data/1061219/000119312520261373/d170716dex102.htm" TargetMode="External"/><Relationship Id="rId269" Type="http://schemas.openxmlformats.org/officeDocument/2006/relationships/hyperlink" Target="https://www.sec.gov/Archives/edgar/data/1061219/000119312523235759/d486021dex11.htm" TargetMode="External"/><Relationship Id="rId270" Type="http://schemas.openxmlformats.org/officeDocument/2006/relationships/hyperlink" Target="https://www.sec.gov/Archives/edgar/data/1061219/000119312519110921/d632347dex101.htm" TargetMode="External"/><Relationship Id="rId271" Type="http://schemas.openxmlformats.org/officeDocument/2006/relationships/hyperlink" Target="https://www.sec.gov/Archives/edgar/data/1061219/000119312519110921/d632347dex102.htm" TargetMode="External"/><Relationship Id="rId272" Type="http://schemas.openxmlformats.org/officeDocument/2006/relationships/hyperlink" Target="https://www.sec.gov/Archives/edgar/data/1061219/000119312519110921/d632347dex103.htm" TargetMode="External"/><Relationship Id="rId273" Type="http://schemas.openxmlformats.org/officeDocument/2006/relationships/hyperlink" Target="https://www.sec.gov/Archives/edgar/data/1061219/000119312519110921/d632347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2024-02-28T10:29:53Z</dcterms:created>
  <dcterms:modified xsi:type="dcterms:W3CDTF">2024-02-28T10:29:53Z</dcterms:modified>
</cp:coreProperties>
</file>