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10-K</w:t>
      </w:r>
    </w:p>
    <w:p>
      <w:pPr>
        <w:spacing w:after="0" w:line="268" w:lineRule="exact"/>
        <w:rPr>
          <w:sz w:val="24"/>
          <w:szCs w:val="24"/>
          <w:color w:val="auto"/>
        </w:rPr>
      </w:pPr>
    </w:p>
    <w:p>
      <w:pPr>
        <w:ind w:left="1440" w:hanging="234"/>
        <w:spacing w:after="0"/>
        <w:tabs>
          <w:tab w:leader="none" w:pos="144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 the fiscal year ended December 31, 2019</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35" w:lineRule="exact"/>
        <w:rPr>
          <w:sz w:val="24"/>
          <w:szCs w:val="24"/>
          <w:color w:val="auto"/>
        </w:rPr>
      </w:pPr>
    </w:p>
    <w:p>
      <w:pPr>
        <w:ind w:left="3260" w:hanging="186"/>
        <w:spacing w:after="0"/>
        <w:tabs>
          <w:tab w:leader="none" w:pos="32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TRANSITION REPORT PURSUANT TO SECTION 13 OR 15(d)</w:t>
      </w:r>
    </w:p>
    <w:p>
      <w:pPr>
        <w:spacing w:after="0" w:line="29" w:lineRule="exact"/>
        <w:rPr>
          <w:rFonts w:ascii="MS PGothic" w:cs="MS PGothic" w:eastAsia="MS PGothic" w:hAnsi="MS PGothic"/>
          <w:sz w:val="16"/>
          <w:szCs w:val="16"/>
          <w:color w:val="auto"/>
          <w:highlight w:val="black"/>
        </w:rPr>
      </w:pPr>
    </w:p>
    <w:p>
      <w:pPr>
        <w:ind w:left="370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transition period from ___ to ___.</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Commission file number: 1-14323</w:t>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ENTERPRISE PRODUCTS PARTNERS L.P.</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520" w:type="dxa"/>
            <w:vAlign w:val="bottom"/>
          </w:tcPr>
          <w:p>
            <w:pPr>
              <w:spacing w:after="0"/>
              <w:rPr>
                <w:sz w:val="17"/>
                <w:szCs w:val="17"/>
                <w:color w:val="auto"/>
              </w:rPr>
            </w:pPr>
          </w:p>
        </w:tc>
        <w:tc>
          <w:tcPr>
            <w:tcW w:w="4960" w:type="dxa"/>
            <w:vAlign w:val="bottom"/>
          </w:tcPr>
          <w:p>
            <w:pPr>
              <w:jc w:val="center"/>
              <w:ind w:left="1347"/>
              <w:spacing w:after="0"/>
              <w:rPr>
                <w:sz w:val="20"/>
                <w:szCs w:val="20"/>
                <w:color w:val="auto"/>
              </w:rPr>
            </w:pPr>
            <w:r>
              <w:rPr>
                <w:rFonts w:ascii="Arial" w:cs="Arial" w:eastAsia="Arial" w:hAnsi="Arial"/>
                <w:sz w:val="16"/>
                <w:szCs w:val="16"/>
                <w:color w:val="auto"/>
                <w:w w:val="93"/>
              </w:rPr>
              <w:t>(</w:t>
            </w:r>
            <w:r>
              <w:rPr>
                <w:rFonts w:ascii="Arial" w:cs="Arial" w:eastAsia="Arial" w:hAnsi="Arial"/>
                <w:sz w:val="14"/>
                <w:szCs w:val="14"/>
                <w:color w:val="auto"/>
                <w:w w:val="93"/>
              </w:rPr>
              <w:t>Exact name of Registrant as Specified in Its Charter)</w:t>
            </w:r>
          </w:p>
        </w:tc>
        <w:tc>
          <w:tcPr>
            <w:tcW w:w="3940" w:type="dxa"/>
            <w:vAlign w:val="bottom"/>
          </w:tcPr>
          <w:p>
            <w:pPr>
              <w:spacing w:after="0"/>
              <w:rPr>
                <w:sz w:val="17"/>
                <w:szCs w:val="17"/>
                <w:color w:val="auto"/>
              </w:rPr>
            </w:pPr>
          </w:p>
        </w:tc>
      </w:tr>
      <w:tr>
        <w:trPr>
          <w:trHeight w:val="608"/>
        </w:trPr>
        <w:tc>
          <w:tcPr>
            <w:tcW w:w="2520" w:type="dxa"/>
            <w:vAlign w:val="bottom"/>
          </w:tcPr>
          <w:p>
            <w:pPr>
              <w:spacing w:after="0"/>
              <w:rPr>
                <w:sz w:val="24"/>
                <w:szCs w:val="24"/>
                <w:color w:val="auto"/>
              </w:rPr>
            </w:pPr>
          </w:p>
        </w:tc>
        <w:tc>
          <w:tcPr>
            <w:tcW w:w="4960" w:type="dxa"/>
            <w:vAlign w:val="bottom"/>
          </w:tcPr>
          <w:p>
            <w:pPr>
              <w:jc w:val="center"/>
              <w:ind w:right="4307"/>
              <w:spacing w:after="0"/>
              <w:rPr>
                <w:sz w:val="20"/>
                <w:szCs w:val="20"/>
                <w:color w:val="auto"/>
              </w:rPr>
            </w:pPr>
            <w:r>
              <w:rPr>
                <w:rFonts w:ascii="Arial" w:cs="Arial" w:eastAsia="Arial" w:hAnsi="Arial"/>
                <w:sz w:val="14"/>
                <w:szCs w:val="14"/>
                <w:b w:val="1"/>
                <w:bCs w:val="1"/>
                <w:color w:val="auto"/>
                <w:w w:val="94"/>
              </w:rPr>
              <w:t>Delaware</w:t>
            </w:r>
          </w:p>
        </w:tc>
        <w:tc>
          <w:tcPr>
            <w:tcW w:w="3940" w:type="dxa"/>
            <w:vAlign w:val="bottom"/>
          </w:tcPr>
          <w:p>
            <w:pPr>
              <w:jc w:val="right"/>
              <w:ind w:right="2368"/>
              <w:spacing w:after="0"/>
              <w:rPr>
                <w:sz w:val="20"/>
                <w:szCs w:val="20"/>
                <w:color w:val="auto"/>
              </w:rPr>
            </w:pPr>
            <w:r>
              <w:rPr>
                <w:rFonts w:ascii="Arial" w:cs="Arial" w:eastAsia="Arial" w:hAnsi="Arial"/>
                <w:sz w:val="14"/>
                <w:szCs w:val="14"/>
                <w:b w:val="1"/>
                <w:bCs w:val="1"/>
                <w:color w:val="auto"/>
              </w:rPr>
              <w:t>76-0568219</w:t>
            </w:r>
          </w:p>
        </w:tc>
      </w:tr>
      <w:tr>
        <w:trPr>
          <w:trHeight w:val="182"/>
        </w:trPr>
        <w:tc>
          <w:tcPr>
            <w:tcW w:w="7480" w:type="dxa"/>
            <w:vAlign w:val="bottom"/>
            <w:gridSpan w:val="2"/>
          </w:tcPr>
          <w:p>
            <w:pPr>
              <w:jc w:val="center"/>
              <w:ind w:right="178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940" w:type="dxa"/>
            <w:vAlign w:val="bottom"/>
          </w:tcPr>
          <w:p>
            <w:pPr>
              <w:jc w:val="center"/>
              <w:ind w:right="1588"/>
              <w:spacing w:after="0"/>
              <w:rPr>
                <w:sz w:val="20"/>
                <w:szCs w:val="20"/>
                <w:color w:val="auto"/>
              </w:rPr>
            </w:pPr>
            <w:r>
              <w:rPr>
                <w:rFonts w:ascii="Arial" w:cs="Arial" w:eastAsia="Arial" w:hAnsi="Arial"/>
                <w:sz w:val="14"/>
                <w:szCs w:val="14"/>
                <w:color w:val="auto"/>
                <w:w w:val="96"/>
              </w:rPr>
              <w:t>(I.R.S. Employer Identification No.)</w:t>
            </w:r>
          </w:p>
        </w:tc>
      </w:tr>
      <w:tr>
        <w:trPr>
          <w:trHeight w:val="263"/>
        </w:trPr>
        <w:tc>
          <w:tcPr>
            <w:tcW w:w="2520" w:type="dxa"/>
            <w:vAlign w:val="bottom"/>
          </w:tcPr>
          <w:p>
            <w:pPr>
              <w:spacing w:after="0"/>
              <w:rPr>
                <w:sz w:val="22"/>
                <w:szCs w:val="22"/>
                <w:color w:val="auto"/>
              </w:rPr>
            </w:pPr>
          </w:p>
        </w:tc>
        <w:tc>
          <w:tcPr>
            <w:tcW w:w="4960" w:type="dxa"/>
            <w:vAlign w:val="bottom"/>
          </w:tcPr>
          <w:p>
            <w:pPr>
              <w:jc w:val="center"/>
              <w:ind w:left="1367"/>
              <w:spacing w:after="0"/>
              <w:rPr>
                <w:sz w:val="20"/>
                <w:szCs w:val="20"/>
                <w:color w:val="auto"/>
              </w:rPr>
            </w:pPr>
            <w:r>
              <w:rPr>
                <w:rFonts w:ascii="Arial" w:cs="Arial" w:eastAsia="Arial" w:hAnsi="Arial"/>
                <w:sz w:val="14"/>
                <w:szCs w:val="14"/>
                <w:b w:val="1"/>
                <w:bCs w:val="1"/>
                <w:color w:val="auto"/>
                <w:w w:val="91"/>
              </w:rPr>
              <w:t>1100 Louisiana Street, 10th Floor, Houston, Texas 77002</w:t>
            </w:r>
          </w:p>
        </w:tc>
        <w:tc>
          <w:tcPr>
            <w:tcW w:w="3940" w:type="dxa"/>
            <w:vAlign w:val="bottom"/>
          </w:tcPr>
          <w:p>
            <w:pPr>
              <w:spacing w:after="0"/>
              <w:rPr>
                <w:sz w:val="22"/>
                <w:szCs w:val="22"/>
                <w:color w:val="auto"/>
              </w:rPr>
            </w:pPr>
          </w:p>
        </w:tc>
      </w:tr>
      <w:tr>
        <w:trPr>
          <w:trHeight w:val="145"/>
        </w:trPr>
        <w:tc>
          <w:tcPr>
            <w:tcW w:w="2520" w:type="dxa"/>
            <w:vAlign w:val="bottom"/>
          </w:tcPr>
          <w:p>
            <w:pPr>
              <w:spacing w:after="0"/>
              <w:rPr>
                <w:sz w:val="12"/>
                <w:szCs w:val="12"/>
                <w:color w:val="auto"/>
              </w:rPr>
            </w:pPr>
          </w:p>
        </w:tc>
        <w:tc>
          <w:tcPr>
            <w:tcW w:w="8900" w:type="dxa"/>
            <w:vAlign w:val="bottom"/>
            <w:gridSpan w:val="2"/>
          </w:tcPr>
          <w:p>
            <w:pPr>
              <w:ind w:left="1500"/>
              <w:spacing w:after="0" w:line="145" w:lineRule="exact"/>
              <w:rPr>
                <w:sz w:val="20"/>
                <w:szCs w:val="20"/>
                <w:color w:val="auto"/>
              </w:rPr>
            </w:pPr>
            <w:r>
              <w:rPr>
                <w:rFonts w:ascii="Arial" w:cs="Arial" w:eastAsia="Arial" w:hAnsi="Arial"/>
                <w:sz w:val="14"/>
                <w:szCs w:val="14"/>
                <w:color w:val="auto"/>
              </w:rPr>
              <w:t>(Address of Principal Executive Offices, including Zip Code)</w:t>
            </w:r>
          </w:p>
        </w:tc>
      </w:tr>
      <w:tr>
        <w:trPr>
          <w:trHeight w:val="153"/>
        </w:trPr>
        <w:tc>
          <w:tcPr>
            <w:tcW w:w="2520" w:type="dxa"/>
            <w:vAlign w:val="bottom"/>
          </w:tcPr>
          <w:p>
            <w:pPr>
              <w:spacing w:after="0"/>
              <w:rPr>
                <w:sz w:val="13"/>
                <w:szCs w:val="13"/>
                <w:color w:val="auto"/>
              </w:rPr>
            </w:pPr>
          </w:p>
        </w:tc>
        <w:tc>
          <w:tcPr>
            <w:tcW w:w="4960" w:type="dxa"/>
            <w:vAlign w:val="bottom"/>
          </w:tcPr>
          <w:p>
            <w:pPr>
              <w:jc w:val="center"/>
              <w:ind w:left="1347"/>
              <w:spacing w:after="0" w:line="153" w:lineRule="exact"/>
              <w:rPr>
                <w:sz w:val="20"/>
                <w:szCs w:val="20"/>
                <w:color w:val="auto"/>
              </w:rPr>
            </w:pPr>
            <w:r>
              <w:rPr>
                <w:rFonts w:ascii="Arial" w:cs="Arial" w:eastAsia="Arial" w:hAnsi="Arial"/>
                <w:sz w:val="14"/>
                <w:szCs w:val="14"/>
                <w:b w:val="1"/>
                <w:bCs w:val="1"/>
                <w:color w:val="auto"/>
                <w:w w:val="93"/>
              </w:rPr>
              <w:t>(713) 381-6500</w:t>
            </w:r>
          </w:p>
        </w:tc>
        <w:tc>
          <w:tcPr>
            <w:tcW w:w="3940" w:type="dxa"/>
            <w:vAlign w:val="bottom"/>
          </w:tcPr>
          <w:p>
            <w:pPr>
              <w:spacing w:after="0"/>
              <w:rPr>
                <w:sz w:val="13"/>
                <w:szCs w:val="13"/>
                <w:color w:val="auto"/>
              </w:rPr>
            </w:pPr>
          </w:p>
        </w:tc>
      </w:tr>
      <w:tr>
        <w:trPr>
          <w:trHeight w:val="182"/>
        </w:trPr>
        <w:tc>
          <w:tcPr>
            <w:tcW w:w="2520" w:type="dxa"/>
            <w:vAlign w:val="bottom"/>
          </w:tcPr>
          <w:p>
            <w:pPr>
              <w:spacing w:after="0"/>
              <w:rPr>
                <w:sz w:val="15"/>
                <w:szCs w:val="15"/>
                <w:color w:val="auto"/>
              </w:rPr>
            </w:pPr>
          </w:p>
        </w:tc>
        <w:tc>
          <w:tcPr>
            <w:tcW w:w="4960" w:type="dxa"/>
            <w:vAlign w:val="bottom"/>
          </w:tcPr>
          <w:p>
            <w:pPr>
              <w:jc w:val="center"/>
              <w:ind w:left="1347"/>
              <w:spacing w:after="0"/>
              <w:rPr>
                <w:sz w:val="20"/>
                <w:szCs w:val="20"/>
                <w:color w:val="auto"/>
              </w:rPr>
            </w:pPr>
            <w:r>
              <w:rPr>
                <w:rFonts w:ascii="Arial" w:cs="Arial" w:eastAsia="Arial" w:hAnsi="Arial"/>
                <w:sz w:val="14"/>
                <w:szCs w:val="14"/>
                <w:color w:val="auto"/>
                <w:w w:val="93"/>
              </w:rPr>
              <w:t>(Registrant’s Telephone Number, including Area Code)</w:t>
            </w:r>
          </w:p>
        </w:tc>
        <w:tc>
          <w:tcPr>
            <w:tcW w:w="3940" w:type="dxa"/>
            <w:vAlign w:val="bottom"/>
          </w:tcPr>
          <w:p>
            <w:pPr>
              <w:spacing w:after="0"/>
              <w:rPr>
                <w:sz w:val="15"/>
                <w:szCs w:val="15"/>
                <w:color w:val="auto"/>
              </w:rPr>
            </w:pPr>
          </w:p>
        </w:tc>
      </w:tr>
      <w:tr>
        <w:trPr>
          <w:trHeight w:val="444"/>
        </w:trPr>
        <w:tc>
          <w:tcPr>
            <w:tcW w:w="11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Securities registered pursuant to Section 12(b) of the Securities Exchange Act of 1934:</w:t>
            </w:r>
          </w:p>
        </w:tc>
      </w:tr>
      <w:tr>
        <w:trPr>
          <w:trHeight w:val="399"/>
        </w:trPr>
        <w:tc>
          <w:tcPr>
            <w:tcW w:w="2520" w:type="dxa"/>
            <w:vAlign w:val="bottom"/>
            <w:tcBorders>
              <w:bottom w:val="single" w:sz="8" w:color="auto"/>
            </w:tcBorders>
          </w:tcPr>
          <w:p>
            <w:pPr>
              <w:jc w:val="center"/>
              <w:ind w:left="1344"/>
              <w:spacing w:after="0"/>
              <w:rPr>
                <w:sz w:val="20"/>
                <w:szCs w:val="20"/>
                <w:color w:val="auto"/>
              </w:rPr>
            </w:pPr>
            <w:r>
              <w:rPr>
                <w:rFonts w:ascii="Arial" w:cs="Arial" w:eastAsia="Arial" w:hAnsi="Arial"/>
                <w:sz w:val="14"/>
                <w:szCs w:val="14"/>
                <w:color w:val="auto"/>
                <w:w w:val="94"/>
              </w:rPr>
              <w:t>Title of Each Class</w:t>
            </w:r>
          </w:p>
        </w:tc>
        <w:tc>
          <w:tcPr>
            <w:tcW w:w="4960" w:type="dxa"/>
            <w:vAlign w:val="bottom"/>
            <w:tcBorders>
              <w:bottom w:val="single" w:sz="8" w:color="auto"/>
            </w:tcBorders>
          </w:tcPr>
          <w:p>
            <w:pPr>
              <w:jc w:val="center"/>
              <w:ind w:left="167"/>
              <w:spacing w:after="0"/>
              <w:rPr>
                <w:sz w:val="20"/>
                <w:szCs w:val="20"/>
                <w:color w:val="auto"/>
              </w:rPr>
            </w:pPr>
            <w:r>
              <w:rPr>
                <w:rFonts w:ascii="Arial" w:cs="Arial" w:eastAsia="Arial" w:hAnsi="Arial"/>
                <w:sz w:val="14"/>
                <w:szCs w:val="14"/>
                <w:color w:val="auto"/>
                <w:w w:val="94"/>
              </w:rPr>
              <w:t>Trading Symbol(s)</w:t>
            </w:r>
          </w:p>
        </w:tc>
        <w:tc>
          <w:tcPr>
            <w:tcW w:w="3940" w:type="dxa"/>
            <w:vAlign w:val="bottom"/>
            <w:tcBorders>
              <w:bottom w:val="single" w:sz="8" w:color="auto"/>
            </w:tcBorders>
          </w:tcPr>
          <w:p>
            <w:pPr>
              <w:jc w:val="center"/>
              <w:ind w:right="1088"/>
              <w:spacing w:after="0"/>
              <w:rPr>
                <w:sz w:val="20"/>
                <w:szCs w:val="20"/>
                <w:color w:val="auto"/>
              </w:rPr>
            </w:pPr>
            <w:r>
              <w:rPr>
                <w:rFonts w:ascii="Arial" w:cs="Arial" w:eastAsia="Arial" w:hAnsi="Arial"/>
                <w:sz w:val="14"/>
                <w:szCs w:val="14"/>
                <w:color w:val="auto"/>
                <w:w w:val="92"/>
              </w:rPr>
              <w:t>Name of Each Exchange On Which Registered</w:t>
            </w:r>
          </w:p>
        </w:tc>
      </w:tr>
      <w:tr>
        <w:trPr>
          <w:trHeight w:val="186"/>
        </w:trPr>
        <w:tc>
          <w:tcPr>
            <w:tcW w:w="2520" w:type="dxa"/>
            <w:vAlign w:val="bottom"/>
          </w:tcPr>
          <w:p>
            <w:pPr>
              <w:jc w:val="center"/>
              <w:ind w:left="1344"/>
              <w:spacing w:after="0"/>
              <w:rPr>
                <w:sz w:val="20"/>
                <w:szCs w:val="20"/>
                <w:color w:val="auto"/>
              </w:rPr>
            </w:pPr>
            <w:r>
              <w:rPr>
                <w:rFonts w:ascii="Arial" w:cs="Arial" w:eastAsia="Arial" w:hAnsi="Arial"/>
                <w:sz w:val="14"/>
                <w:szCs w:val="14"/>
                <w:b w:val="1"/>
                <w:bCs w:val="1"/>
                <w:color w:val="auto"/>
                <w:w w:val="94"/>
              </w:rPr>
              <w:t>Common Units</w:t>
            </w:r>
          </w:p>
        </w:tc>
        <w:tc>
          <w:tcPr>
            <w:tcW w:w="4960" w:type="dxa"/>
            <w:vAlign w:val="bottom"/>
          </w:tcPr>
          <w:p>
            <w:pPr>
              <w:jc w:val="center"/>
              <w:ind w:left="167"/>
              <w:spacing w:after="0"/>
              <w:rPr>
                <w:sz w:val="20"/>
                <w:szCs w:val="20"/>
                <w:color w:val="auto"/>
              </w:rPr>
            </w:pPr>
            <w:r>
              <w:rPr>
                <w:rFonts w:ascii="Arial" w:cs="Arial" w:eastAsia="Arial" w:hAnsi="Arial"/>
                <w:sz w:val="14"/>
                <w:szCs w:val="14"/>
                <w:b w:val="1"/>
                <w:bCs w:val="1"/>
                <w:color w:val="auto"/>
                <w:w w:val="97"/>
              </w:rPr>
              <w:t>EPD</w:t>
            </w:r>
          </w:p>
        </w:tc>
        <w:tc>
          <w:tcPr>
            <w:tcW w:w="3940" w:type="dxa"/>
            <w:vAlign w:val="bottom"/>
          </w:tcPr>
          <w:p>
            <w:pPr>
              <w:jc w:val="center"/>
              <w:ind w:right="1088"/>
              <w:spacing w:after="0"/>
              <w:rPr>
                <w:sz w:val="20"/>
                <w:szCs w:val="20"/>
                <w:color w:val="auto"/>
              </w:rPr>
            </w:pPr>
            <w:r>
              <w:rPr>
                <w:rFonts w:ascii="Arial" w:cs="Arial" w:eastAsia="Arial" w:hAnsi="Arial"/>
                <w:sz w:val="14"/>
                <w:szCs w:val="14"/>
                <w:b w:val="1"/>
                <w:bCs w:val="1"/>
                <w:color w:val="auto"/>
                <w:w w:val="92"/>
              </w:rPr>
              <w:t>New York Stock Exchange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w:t>
      </w:r>
      <w:r>
        <w:rPr>
          <w:rFonts w:ascii="Arial" w:cs="Arial" w:eastAsia="Arial" w:hAnsi="Arial"/>
          <w:sz w:val="18"/>
          <w:szCs w:val="18"/>
          <w:color w:val="auto"/>
        </w:rPr>
        <w:t>: None.</w:t>
      </w:r>
    </w:p>
    <w:p>
      <w:pPr>
        <w:spacing w:after="0" w:line="238" w:lineRule="exact"/>
        <w:rPr>
          <w:sz w:val="24"/>
          <w:szCs w:val="24"/>
          <w:color w:val="auto"/>
        </w:rPr>
      </w:pPr>
    </w:p>
    <w:p>
      <w:pPr>
        <w:ind w:right="3580"/>
        <w:spacing w:after="0" w:line="323"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7"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jc w:val="both"/>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p>
      <w:pPr>
        <w:jc w:val="center"/>
        <w:spacing w:after="0" w:line="161" w:lineRule="exact"/>
        <w:tabs>
          <w:tab w:leader="none" w:pos="120" w:val="left"/>
          <w:tab w:leader="none" w:pos="140" w:val="left"/>
          <w:tab w:leader="none" w:pos="120" w:val="left"/>
          <w:tab w:leader="none" w:pos="1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Non-accelerated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Smaller reporting company </w:t>
      </w:r>
      <w:r>
        <w:rPr>
          <w:rFonts w:ascii="MS PGothic" w:cs="MS PGothic" w:eastAsia="MS PGothic" w:hAnsi="MS PGothic"/>
          <w:sz w:val="14"/>
          <w:szCs w:val="14"/>
          <w:color w:val="auto"/>
          <w:highlight w:val="black"/>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highlight w:val="black"/>
        </w:rPr>
        <w:t>☐</w:t>
      </w:r>
    </w:p>
    <w:p>
      <w:pPr>
        <w:spacing w:after="0" w:line="237"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4" w:lineRule="exact"/>
        <w:rPr>
          <w:sz w:val="24"/>
          <w:szCs w:val="24"/>
          <w:color w:val="auto"/>
        </w:rPr>
      </w:pPr>
    </w:p>
    <w:p>
      <w:pPr>
        <w:spacing w:after="0" w:line="161" w:lineRule="exact"/>
        <w:tabs>
          <w:tab w:leader="none" w:pos="71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highlight w:val="black"/>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271" w:lineRule="exact"/>
        <w:rPr>
          <w:sz w:val="24"/>
          <w:szCs w:val="24"/>
          <w:color w:val="auto"/>
        </w:rPr>
      </w:pPr>
    </w:p>
    <w:p>
      <w:pPr>
        <w:jc w:val="both"/>
        <w:spacing w:after="0" w:line="287" w:lineRule="auto"/>
        <w:rPr>
          <w:sz w:val="20"/>
          <w:szCs w:val="20"/>
          <w:color w:val="auto"/>
        </w:rPr>
      </w:pPr>
      <w:r>
        <w:rPr>
          <w:rFonts w:ascii="Arial" w:cs="Arial" w:eastAsia="Arial" w:hAnsi="Arial"/>
          <w:sz w:val="14"/>
          <w:szCs w:val="14"/>
          <w:color w:val="auto"/>
        </w:rPr>
        <w:t>The aggregate market value of the partnership’s common units held by non-affiliates at June 28, 2019 (the last business day of the registrant’s most recently completed second fiscal quarter) was $43.04 billion based on a closing price on that date of $28.87 per common unit on the New York Stock Exchange Composite ticker tape. There were 2,189,226,130 common units outstanding at January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579755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20"/>
          </w:tcPr>
          <w:p>
            <w:pPr>
              <w:jc w:val="center"/>
              <w:ind w:right="2180"/>
              <w:spacing w:after="0"/>
              <w:rPr>
                <w:sz w:val="20"/>
                <w:szCs w:val="20"/>
                <w:color w:val="auto"/>
              </w:rPr>
            </w:pPr>
            <w:r>
              <w:rPr>
                <w:rFonts w:ascii="Arial" w:cs="Arial" w:eastAsia="Arial" w:hAnsi="Arial"/>
                <w:sz w:val="18"/>
                <w:szCs w:val="18"/>
                <w:b w:val="1"/>
                <w:bCs w:val="1"/>
                <w:color w:val="auto"/>
                <w:w w:val="97"/>
              </w:rPr>
              <w:t>ENTERPRISE PRODUCTS PARTNERS L.P.</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40" w:type="dxa"/>
            <w:vAlign w:val="bottom"/>
            <w:gridSpan w:val="18"/>
          </w:tcPr>
          <w:p>
            <w:pPr>
              <w:jc w:val="center"/>
              <w:ind w:right="264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560" w:type="dxa"/>
            <w:vAlign w:val="bottom"/>
            <w:gridSpan w:val="8"/>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40" w:type="dxa"/>
            <w:vAlign w:val="bottom"/>
            <w:gridSpan w:val="12"/>
            <w:vMerge w:val="restart"/>
          </w:tcPr>
          <w:p>
            <w:pPr>
              <w:jc w:val="center"/>
              <w:ind w:right="386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156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40" w:type="dxa"/>
            <w:vAlign w:val="bottom"/>
            <w:gridSpan w:val="12"/>
            <w:vMerge w:val="continue"/>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80" w:type="dxa"/>
            <w:vAlign w:val="bottom"/>
            <w:gridSpan w:val="6"/>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Items 1 and 2.</w:t>
              </w:r>
            </w:hyperlink>
          </w:p>
        </w:tc>
        <w:tc>
          <w:tcPr>
            <w:tcW w:w="7960" w:type="dxa"/>
            <w:vAlign w:val="bottom"/>
            <w:gridSpan w:val="2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 and Properties.</w:t>
              </w:r>
            </w:hyperlink>
          </w:p>
        </w:tc>
        <w:tc>
          <w:tcPr>
            <w:tcW w:w="860" w:type="dxa"/>
            <w:vAlign w:val="bottom"/>
            <w:gridSpan w:val="5"/>
            <w:shd w:val="clear" w:color="auto" w:fill="CCEEFF"/>
          </w:tcPr>
          <w:p>
            <w:pPr>
              <w:jc w:val="center"/>
              <w:ind w:left="610"/>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gridSpan w:val="5"/>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1A.</w:t>
              </w:r>
            </w:hyperlink>
          </w:p>
        </w:tc>
        <w:tc>
          <w:tcPr>
            <w:tcW w:w="880" w:type="dxa"/>
            <w:vAlign w:val="bottom"/>
          </w:tcPr>
          <w:p>
            <w:pPr>
              <w:spacing w:after="0"/>
              <w:rPr>
                <w:sz w:val="15"/>
                <w:szCs w:val="15"/>
                <w:color w:val="auto"/>
              </w:rPr>
            </w:pPr>
          </w:p>
        </w:tc>
        <w:tc>
          <w:tcPr>
            <w:tcW w:w="1760" w:type="dxa"/>
            <w:vAlign w:val="bottom"/>
            <w:gridSpan w:val="7"/>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6200" w:type="dxa"/>
            <w:vAlign w:val="bottom"/>
            <w:gridSpan w:val="22"/>
          </w:tcPr>
          <w:p>
            <w:pPr>
              <w:spacing w:after="0"/>
              <w:rPr>
                <w:sz w:val="15"/>
                <w:szCs w:val="15"/>
                <w:color w:val="auto"/>
              </w:rPr>
            </w:pPr>
          </w:p>
        </w:tc>
        <w:tc>
          <w:tcPr>
            <w:tcW w:w="900" w:type="dxa"/>
            <w:vAlign w:val="bottom"/>
            <w:gridSpan w:val="6"/>
          </w:tcPr>
          <w:p>
            <w:pPr>
              <w:jc w:val="center"/>
              <w:ind w:left="550"/>
              <w:spacing w:after="0" w:line="17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3"/>
            <w:shd w:val="clear" w:color="auto" w:fill="CCEEFF"/>
          </w:tcPr>
          <w:p>
            <w:pPr>
              <w:spacing w:after="0" w:line="17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Item 1B.</w:t>
              </w:r>
            </w:hyperlink>
          </w:p>
        </w:tc>
        <w:tc>
          <w:tcPr>
            <w:tcW w:w="1260" w:type="dxa"/>
            <w:vAlign w:val="bottom"/>
            <w:gridSpan w:val="3"/>
            <w:shd w:val="clear" w:color="auto" w:fill="CCEEFF"/>
          </w:tcPr>
          <w:p>
            <w:pPr>
              <w:spacing w:after="0"/>
              <w:rPr>
                <w:sz w:val="15"/>
                <w:szCs w:val="15"/>
                <w:color w:val="auto"/>
              </w:rPr>
            </w:pPr>
          </w:p>
        </w:tc>
        <w:tc>
          <w:tcPr>
            <w:tcW w:w="2100" w:type="dxa"/>
            <w:vAlign w:val="bottom"/>
            <w:gridSpan w:val="10"/>
            <w:shd w:val="clear" w:color="auto" w:fill="CCEEFF"/>
          </w:tcPr>
          <w:p>
            <w:pPr>
              <w:spacing w:after="0" w:line="17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Unresolved Staff Comments.</w:t>
              </w:r>
            </w:hyperlink>
          </w:p>
        </w:tc>
        <w:tc>
          <w:tcPr>
            <w:tcW w:w="5860" w:type="dxa"/>
            <w:vAlign w:val="bottom"/>
            <w:gridSpan w:val="19"/>
            <w:shd w:val="clear" w:color="auto" w:fill="CCEEFF"/>
          </w:tcPr>
          <w:p>
            <w:pPr>
              <w:spacing w:after="0"/>
              <w:rPr>
                <w:sz w:val="15"/>
                <w:szCs w:val="15"/>
                <w:color w:val="auto"/>
              </w:rPr>
            </w:pPr>
          </w:p>
        </w:tc>
        <w:tc>
          <w:tcPr>
            <w:tcW w:w="680" w:type="dxa"/>
            <w:vAlign w:val="bottom"/>
            <w:gridSpan w:val="2"/>
            <w:shd w:val="clear" w:color="auto" w:fill="CCEEFF"/>
          </w:tcPr>
          <w:p>
            <w:pPr>
              <w:spacing w:after="0"/>
              <w:rPr>
                <w:sz w:val="15"/>
                <w:szCs w:val="15"/>
                <w:color w:val="auto"/>
              </w:rPr>
            </w:pPr>
          </w:p>
        </w:tc>
        <w:tc>
          <w:tcPr>
            <w:tcW w:w="220" w:type="dxa"/>
            <w:vAlign w:val="bottom"/>
            <w:gridSpan w:val="4"/>
            <w:shd w:val="clear" w:color="auto" w:fill="CCEEFF"/>
          </w:tcPr>
          <w:p>
            <w:pPr>
              <w:jc w:val="center"/>
              <w:ind w:right="40"/>
              <w:spacing w:after="0" w:line="17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61</w:t>
              </w:r>
            </w:hyperlink>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3"/>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3.</w:t>
              </w:r>
            </w:hyperlink>
          </w:p>
        </w:tc>
        <w:tc>
          <w:tcPr>
            <w:tcW w:w="1260" w:type="dxa"/>
            <w:vAlign w:val="bottom"/>
            <w:gridSpan w:val="3"/>
          </w:tcPr>
          <w:p>
            <w:pPr>
              <w:spacing w:after="0"/>
              <w:rPr>
                <w:sz w:val="15"/>
                <w:szCs w:val="15"/>
                <w:color w:val="auto"/>
              </w:rPr>
            </w:pPr>
          </w:p>
        </w:tc>
        <w:tc>
          <w:tcPr>
            <w:tcW w:w="2100" w:type="dxa"/>
            <w:vAlign w:val="bottom"/>
            <w:gridSpan w:val="10"/>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Legal Proceedings.</w:t>
              </w:r>
            </w:hyperlink>
          </w:p>
        </w:tc>
        <w:tc>
          <w:tcPr>
            <w:tcW w:w="5860" w:type="dxa"/>
            <w:vAlign w:val="bottom"/>
            <w:gridSpan w:val="19"/>
          </w:tcPr>
          <w:p>
            <w:pPr>
              <w:spacing w:after="0"/>
              <w:rPr>
                <w:sz w:val="15"/>
                <w:szCs w:val="15"/>
                <w:color w:val="auto"/>
              </w:rPr>
            </w:pPr>
          </w:p>
        </w:tc>
        <w:tc>
          <w:tcPr>
            <w:tcW w:w="680" w:type="dxa"/>
            <w:vAlign w:val="bottom"/>
            <w:gridSpan w:val="2"/>
          </w:tcPr>
          <w:p>
            <w:pPr>
              <w:spacing w:after="0"/>
              <w:rPr>
                <w:sz w:val="15"/>
                <w:szCs w:val="15"/>
                <w:color w:val="auto"/>
              </w:rPr>
            </w:pPr>
          </w:p>
        </w:tc>
        <w:tc>
          <w:tcPr>
            <w:tcW w:w="220" w:type="dxa"/>
            <w:vAlign w:val="bottom"/>
            <w:gridSpan w:val="4"/>
          </w:tcPr>
          <w:p>
            <w:pPr>
              <w:jc w:val="center"/>
              <w:ind w:right="40"/>
              <w:spacing w:after="0" w:line="17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62</w:t>
              </w:r>
            </w:hyperlink>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80" w:type="dxa"/>
            <w:vAlign w:val="bottom"/>
            <w:gridSpan w:val="6"/>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 4.</w:t>
              </w:r>
            </w:hyperlink>
          </w:p>
        </w:tc>
        <w:tc>
          <w:tcPr>
            <w:tcW w:w="7960" w:type="dxa"/>
            <w:vAlign w:val="bottom"/>
            <w:gridSpan w:val="29"/>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Mine Safety Disclosures.</w:t>
              </w:r>
            </w:hyperlink>
          </w:p>
        </w:tc>
        <w:tc>
          <w:tcPr>
            <w:tcW w:w="900" w:type="dxa"/>
            <w:vAlign w:val="bottom"/>
            <w:gridSpan w:val="6"/>
            <w:shd w:val="clear" w:color="auto" w:fill="CCEEFF"/>
          </w:tcPr>
          <w:p>
            <w:pPr>
              <w:jc w:val="center"/>
              <w:ind w:left="550"/>
              <w:spacing w:after="0" w:line="17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63</w:t>
              </w:r>
            </w:hyperlink>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80" w:type="dxa"/>
            <w:vAlign w:val="bottom"/>
            <w:gridSpan w:val="13"/>
            <w:shd w:val="clear" w:color="auto" w:fill="CCEEFF"/>
          </w:tcPr>
          <w:p>
            <w:pPr>
              <w:jc w:val="center"/>
              <w:ind w:right="3820"/>
              <w:spacing w:after="0" w:line="17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PART II</w:t>
              </w:r>
            </w:hyperlink>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Borders>
              <w:bottom w:val="single" w:sz="8" w:color="0000EE"/>
            </w:tcBorders>
          </w:tcPr>
          <w:p>
            <w:pPr>
              <w:spacing w:after="0" w:line="17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Item 5.</w:t>
              </w:r>
            </w:hyperlink>
          </w:p>
        </w:tc>
        <w:tc>
          <w:tcPr>
            <w:tcW w:w="1380" w:type="dxa"/>
            <w:vAlign w:val="bottom"/>
            <w:gridSpan w:val="5"/>
          </w:tcPr>
          <w:p>
            <w:pPr>
              <w:spacing w:after="0"/>
              <w:rPr>
                <w:sz w:val="15"/>
                <w:szCs w:val="15"/>
                <w:color w:val="auto"/>
              </w:rPr>
            </w:pPr>
          </w:p>
        </w:tc>
        <w:tc>
          <w:tcPr>
            <w:tcW w:w="4380" w:type="dxa"/>
            <w:vAlign w:val="bottom"/>
            <w:tcBorders>
              <w:bottom w:val="single" w:sz="8" w:color="0000EE"/>
            </w:tcBorders>
            <w:gridSpan w:val="23"/>
          </w:tcPr>
          <w:p>
            <w:pPr>
              <w:spacing w:after="0" w:line="17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Market for Registrant’s Common Equity, Related Unitholder</w:t>
              </w:r>
            </w:hyperlink>
          </w:p>
        </w:tc>
        <w:tc>
          <w:tcPr>
            <w:tcW w:w="3580" w:type="dxa"/>
            <w:vAlign w:val="bottom"/>
            <w:gridSpan w:val="6"/>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960" w:type="dxa"/>
            <w:vAlign w:val="bottom"/>
            <w:gridSpan w:val="29"/>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Matters and Issuer Purchases of Equity Securities.</w:t>
              </w:r>
            </w:hyperlink>
          </w:p>
        </w:tc>
        <w:tc>
          <w:tcPr>
            <w:tcW w:w="900" w:type="dxa"/>
            <w:vAlign w:val="bottom"/>
            <w:gridSpan w:val="6"/>
          </w:tcPr>
          <w:p>
            <w:pPr>
              <w:jc w:val="center"/>
              <w:ind w:left="550"/>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64</w:t>
              </w:r>
            </w:hyperlink>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Item 6.</w:t>
              </w:r>
            </w:hyperlink>
          </w:p>
        </w:tc>
        <w:tc>
          <w:tcPr>
            <w:tcW w:w="1380" w:type="dxa"/>
            <w:vAlign w:val="bottom"/>
            <w:gridSpan w:val="5"/>
            <w:shd w:val="clear" w:color="auto" w:fill="CCEEFF"/>
          </w:tcPr>
          <w:p>
            <w:pPr>
              <w:spacing w:after="0"/>
              <w:rPr>
                <w:sz w:val="15"/>
                <w:szCs w:val="15"/>
                <w:color w:val="auto"/>
              </w:rPr>
            </w:pPr>
          </w:p>
        </w:tc>
        <w:tc>
          <w:tcPr>
            <w:tcW w:w="1760" w:type="dxa"/>
            <w:vAlign w:val="bottom"/>
            <w:gridSpan w:val="7"/>
            <w:shd w:val="clear" w:color="auto" w:fill="CCEEFF"/>
          </w:tcPr>
          <w:p>
            <w:pPr>
              <w:spacing w:after="0" w:line="17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Selected Financial Data.</w:t>
              </w:r>
            </w:hyperlink>
          </w:p>
        </w:tc>
        <w:tc>
          <w:tcPr>
            <w:tcW w:w="6200" w:type="dxa"/>
            <w:vAlign w:val="bottom"/>
            <w:gridSpan w:val="22"/>
            <w:shd w:val="clear" w:color="auto" w:fill="CCEEFF"/>
          </w:tcPr>
          <w:p>
            <w:pPr>
              <w:spacing w:after="0"/>
              <w:rPr>
                <w:sz w:val="15"/>
                <w:szCs w:val="15"/>
                <w:color w:val="auto"/>
              </w:rPr>
            </w:pPr>
          </w:p>
        </w:tc>
        <w:tc>
          <w:tcPr>
            <w:tcW w:w="680" w:type="dxa"/>
            <w:vAlign w:val="bottom"/>
            <w:gridSpan w:val="2"/>
            <w:shd w:val="clear" w:color="auto" w:fill="CCEEFF"/>
          </w:tcPr>
          <w:p>
            <w:pPr>
              <w:spacing w:after="0"/>
              <w:rPr>
                <w:sz w:val="15"/>
                <w:szCs w:val="15"/>
                <w:color w:val="auto"/>
              </w:rPr>
            </w:pPr>
          </w:p>
        </w:tc>
        <w:tc>
          <w:tcPr>
            <w:tcW w:w="220" w:type="dxa"/>
            <w:vAlign w:val="bottom"/>
            <w:gridSpan w:val="4"/>
            <w:shd w:val="clear" w:color="auto" w:fill="CCEEFF"/>
          </w:tcPr>
          <w:p>
            <w:pPr>
              <w:jc w:val="center"/>
              <w:ind w:right="40"/>
              <w:spacing w:after="0" w:line="17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65</w:t>
              </w:r>
            </w:hyperlink>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Borders>
              <w:bottom w:val="single" w:sz="8" w:color="0000EE"/>
            </w:tcBorders>
          </w:tcPr>
          <w:p>
            <w:pPr>
              <w:spacing w:after="0" w:line="176"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Item 7.</w:t>
              </w:r>
            </w:hyperlink>
          </w:p>
        </w:tc>
        <w:tc>
          <w:tcPr>
            <w:tcW w:w="1380" w:type="dxa"/>
            <w:vAlign w:val="bottom"/>
            <w:gridSpan w:val="5"/>
          </w:tcPr>
          <w:p>
            <w:pPr>
              <w:spacing w:after="0"/>
              <w:rPr>
                <w:sz w:val="15"/>
                <w:szCs w:val="15"/>
                <w:color w:val="auto"/>
              </w:rPr>
            </w:pPr>
          </w:p>
        </w:tc>
        <w:tc>
          <w:tcPr>
            <w:tcW w:w="4860" w:type="dxa"/>
            <w:vAlign w:val="bottom"/>
            <w:tcBorders>
              <w:bottom w:val="single" w:sz="8" w:color="0000EE"/>
            </w:tcBorders>
            <w:gridSpan w:val="25"/>
          </w:tcPr>
          <w:p>
            <w:pPr>
              <w:spacing w:after="0" w:line="17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Management’s Discussion and Analysis of Financial Condition and</w:t>
              </w:r>
            </w:hyperlink>
          </w:p>
        </w:tc>
        <w:tc>
          <w:tcPr>
            <w:tcW w:w="3100" w:type="dxa"/>
            <w:vAlign w:val="bottom"/>
            <w:gridSpan w:val="4"/>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960" w:type="dxa"/>
            <w:vAlign w:val="bottom"/>
            <w:gridSpan w:val="29"/>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Results of Operations.</w:t>
              </w:r>
            </w:hyperlink>
          </w:p>
        </w:tc>
        <w:tc>
          <w:tcPr>
            <w:tcW w:w="900" w:type="dxa"/>
            <w:vAlign w:val="bottom"/>
            <w:gridSpan w:val="6"/>
          </w:tcPr>
          <w:p>
            <w:pPr>
              <w:jc w:val="center"/>
              <w:ind w:left="550"/>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66</w:t>
              </w:r>
            </w:hyperlink>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80" w:type="dxa"/>
            <w:vAlign w:val="bottom"/>
            <w:gridSpan w:val="6"/>
            <w:shd w:val="clear" w:color="auto" w:fill="CCEEFF"/>
          </w:tcPr>
          <w:p>
            <w:pPr>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Item 7A.</w:t>
              </w:r>
            </w:hyperlink>
          </w:p>
        </w:tc>
        <w:tc>
          <w:tcPr>
            <w:tcW w:w="7960" w:type="dxa"/>
            <w:vAlign w:val="bottom"/>
            <w:gridSpan w:val="29"/>
            <w:shd w:val="clear" w:color="auto" w:fill="CCEEFF"/>
          </w:tcPr>
          <w:p>
            <w:pPr>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Quantitative and Qualitative Disclosures About Market Risk.</w:t>
              </w:r>
            </w:hyperlink>
          </w:p>
        </w:tc>
        <w:tc>
          <w:tcPr>
            <w:tcW w:w="1560" w:type="dxa"/>
            <w:vAlign w:val="bottom"/>
            <w:gridSpan w:val="8"/>
            <w:shd w:val="clear" w:color="auto" w:fill="CCEEFF"/>
          </w:tcPr>
          <w:p>
            <w:pPr>
              <w:jc w:val="center"/>
              <w:spacing w:after="0" w:line="176" w:lineRule="exact"/>
              <w:rPr>
                <w:rFonts w:ascii="Arial" w:cs="Arial" w:eastAsia="Arial" w:hAnsi="Arial"/>
                <w:sz w:val="18"/>
                <w:szCs w:val="18"/>
                <w:color w:val="0000EE"/>
                <w:w w:val="93"/>
              </w:rPr>
            </w:pPr>
            <w:hyperlink w:anchor="page106">
              <w:r>
                <w:rPr>
                  <w:rFonts w:ascii="Arial" w:cs="Arial" w:eastAsia="Arial" w:hAnsi="Arial"/>
                  <w:sz w:val="18"/>
                  <w:szCs w:val="18"/>
                  <w:color w:val="0000EE"/>
                  <w:w w:val="93"/>
                </w:rPr>
                <w:t>104</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Item 8.</w:t>
              </w:r>
            </w:hyperlink>
          </w:p>
        </w:tc>
        <w:tc>
          <w:tcPr>
            <w:tcW w:w="1260" w:type="dxa"/>
            <w:vAlign w:val="bottom"/>
            <w:tcBorders>
              <w:top w:val="single" w:sz="8" w:color="CCEEFF"/>
            </w:tcBorders>
            <w:gridSpan w:val="3"/>
          </w:tcPr>
          <w:p>
            <w:pPr>
              <w:spacing w:after="0"/>
              <w:rPr>
                <w:sz w:val="15"/>
                <w:szCs w:val="15"/>
                <w:color w:val="auto"/>
              </w:rPr>
            </w:pPr>
          </w:p>
        </w:tc>
        <w:tc>
          <w:tcPr>
            <w:tcW w:w="4400" w:type="dxa"/>
            <w:vAlign w:val="bottom"/>
            <w:tcBorders>
              <w:top w:val="single" w:sz="8" w:color="0000EE"/>
            </w:tcBorders>
            <w:gridSpan w:val="24"/>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Financial Statements and Supplementary Data.</w:t>
              </w:r>
            </w:hyperlink>
          </w:p>
        </w:tc>
        <w:tc>
          <w:tcPr>
            <w:tcW w:w="356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80" w:type="dxa"/>
            <w:vAlign w:val="bottom"/>
            <w:tcBorders>
              <w:top w:val="single" w:sz="8" w:color="0000EE"/>
            </w:tcBorders>
            <w:gridSpan w:val="6"/>
          </w:tcPr>
          <w:p>
            <w:pPr>
              <w:jc w:val="center"/>
              <w:spacing w:after="0" w:line="176" w:lineRule="exact"/>
              <w:rPr>
                <w:rFonts w:ascii="Arial" w:cs="Arial" w:eastAsia="Arial" w:hAnsi="Arial"/>
                <w:sz w:val="18"/>
                <w:szCs w:val="18"/>
                <w:color w:val="0000EE"/>
                <w:w w:val="93"/>
              </w:rPr>
            </w:pPr>
            <w:hyperlink w:anchor="page110">
              <w:r>
                <w:rPr>
                  <w:rFonts w:ascii="Arial" w:cs="Arial" w:eastAsia="Arial" w:hAnsi="Arial"/>
                  <w:sz w:val="18"/>
                  <w:szCs w:val="18"/>
                  <w:color w:val="0000EE"/>
                  <w:w w:val="93"/>
                </w:rPr>
                <w:t>108</w:t>
              </w:r>
            </w:hyperlink>
          </w:p>
        </w:tc>
        <w:tc>
          <w:tcPr>
            <w:tcW w:w="6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110">
              <w:r>
                <w:rPr>
                  <w:rFonts w:ascii="Arial" w:cs="Arial" w:eastAsia="Arial" w:hAnsi="Arial"/>
                  <w:sz w:val="18"/>
                  <w:szCs w:val="18"/>
                  <w:color w:val="0000EE"/>
                  <w:w w:val="87"/>
                </w:rPr>
                <w:t>Item 9.</w:t>
              </w:r>
            </w:hyperlink>
          </w:p>
        </w:tc>
        <w:tc>
          <w:tcPr>
            <w:tcW w:w="1380" w:type="dxa"/>
            <w:vAlign w:val="bottom"/>
            <w:gridSpan w:val="5"/>
            <w:shd w:val="clear" w:color="auto" w:fill="CCEEFF"/>
          </w:tcPr>
          <w:p>
            <w:pPr>
              <w:spacing w:after="0"/>
              <w:rPr>
                <w:sz w:val="15"/>
                <w:szCs w:val="15"/>
                <w:color w:val="auto"/>
              </w:rPr>
            </w:pPr>
          </w:p>
        </w:tc>
        <w:tc>
          <w:tcPr>
            <w:tcW w:w="7960" w:type="dxa"/>
            <w:vAlign w:val="bottom"/>
            <w:gridSpan w:val="29"/>
            <w:shd w:val="clear" w:color="auto" w:fill="CCEEFF"/>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Changes in and Disagreements with Accountants on Accounting and</w:t>
              </w:r>
            </w:hyperlink>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4940" w:type="dxa"/>
            <w:vAlign w:val="bottom"/>
            <w:tcBorders>
              <w:top w:val="single" w:sz="8" w:color="0000EE"/>
            </w:tcBorders>
            <w:gridSpan w:val="27"/>
            <w:shd w:val="clear" w:color="auto" w:fill="CCEEFF"/>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Financial Disclosure.</w:t>
              </w:r>
            </w:hyperlink>
          </w:p>
        </w:tc>
        <w:tc>
          <w:tcPr>
            <w:tcW w:w="3020" w:type="dxa"/>
            <w:vAlign w:val="bottom"/>
            <w:tcBorders>
              <w:top w:val="single" w:sz="8" w:color="CCEEFF"/>
            </w:tcBorders>
            <w:gridSpan w:val="2"/>
            <w:shd w:val="clear" w:color="auto" w:fill="CCEEFF"/>
          </w:tcPr>
          <w:p>
            <w:pPr>
              <w:spacing w:after="0"/>
              <w:rPr>
                <w:sz w:val="17"/>
                <w:szCs w:val="17"/>
                <w:color w:val="auto"/>
              </w:rPr>
            </w:pPr>
          </w:p>
        </w:tc>
        <w:tc>
          <w:tcPr>
            <w:tcW w:w="1560" w:type="dxa"/>
            <w:vAlign w:val="bottom"/>
            <w:tcBorders>
              <w:top w:val="single" w:sz="8" w:color="CCEEFF"/>
            </w:tcBorders>
            <w:gridSpan w:val="8"/>
            <w:shd w:val="clear" w:color="auto" w:fill="CCEEFF"/>
          </w:tcPr>
          <w:p>
            <w:pPr>
              <w:jc w:val="center"/>
              <w:spacing w:after="0" w:line="196" w:lineRule="exact"/>
              <w:rPr>
                <w:rFonts w:ascii="Arial" w:cs="Arial" w:eastAsia="Arial" w:hAnsi="Arial"/>
                <w:sz w:val="18"/>
                <w:szCs w:val="18"/>
                <w:color w:val="0000EE"/>
                <w:w w:val="93"/>
              </w:rPr>
            </w:pPr>
            <w:hyperlink w:anchor="page110">
              <w:r>
                <w:rPr>
                  <w:rFonts w:ascii="Arial" w:cs="Arial" w:eastAsia="Arial" w:hAnsi="Arial"/>
                  <w:sz w:val="18"/>
                  <w:szCs w:val="18"/>
                  <w:color w:val="0000EE"/>
                  <w:w w:val="93"/>
                </w:rPr>
                <w:t>108</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80" w:type="dxa"/>
            <w:vAlign w:val="bottom"/>
            <w:gridSpan w:val="6"/>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Item 9A.</w:t>
              </w:r>
            </w:hyperlink>
          </w:p>
        </w:tc>
        <w:tc>
          <w:tcPr>
            <w:tcW w:w="7960" w:type="dxa"/>
            <w:vAlign w:val="bottom"/>
            <w:gridSpan w:val="29"/>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Controls and Procedures.</w:t>
              </w:r>
            </w:hyperlink>
          </w:p>
        </w:tc>
        <w:tc>
          <w:tcPr>
            <w:tcW w:w="1560" w:type="dxa"/>
            <w:vAlign w:val="bottom"/>
            <w:gridSpan w:val="8"/>
          </w:tcPr>
          <w:p>
            <w:pPr>
              <w:jc w:val="center"/>
              <w:spacing w:after="0" w:line="176" w:lineRule="exact"/>
              <w:rPr>
                <w:rFonts w:ascii="Arial" w:cs="Arial" w:eastAsia="Arial" w:hAnsi="Arial"/>
                <w:sz w:val="18"/>
                <w:szCs w:val="18"/>
                <w:color w:val="0000EE"/>
                <w:w w:val="93"/>
              </w:rPr>
            </w:pPr>
            <w:hyperlink w:anchor="page110">
              <w:r>
                <w:rPr>
                  <w:rFonts w:ascii="Arial" w:cs="Arial" w:eastAsia="Arial" w:hAnsi="Arial"/>
                  <w:sz w:val="18"/>
                  <w:szCs w:val="18"/>
                  <w:color w:val="0000EE"/>
                  <w:w w:val="93"/>
                </w:rPr>
                <w:t>108</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80" w:type="dxa"/>
            <w:vAlign w:val="bottom"/>
            <w:gridSpan w:val="6"/>
            <w:shd w:val="clear" w:color="auto" w:fill="CCEEFF"/>
          </w:tcPr>
          <w:p>
            <w:pPr>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Item 9B.</w:t>
              </w:r>
            </w:hyperlink>
          </w:p>
        </w:tc>
        <w:tc>
          <w:tcPr>
            <w:tcW w:w="7960" w:type="dxa"/>
            <w:vAlign w:val="bottom"/>
            <w:gridSpan w:val="29"/>
            <w:shd w:val="clear" w:color="auto" w:fill="CCEEFF"/>
          </w:tcPr>
          <w:p>
            <w:pPr>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Other Information.</w:t>
              </w:r>
            </w:hyperlink>
          </w:p>
        </w:tc>
        <w:tc>
          <w:tcPr>
            <w:tcW w:w="920" w:type="dxa"/>
            <w:vAlign w:val="bottom"/>
            <w:gridSpan w:val="7"/>
            <w:shd w:val="clear" w:color="auto" w:fill="CCEEFF"/>
          </w:tcPr>
          <w:p>
            <w:pPr>
              <w:jc w:val="center"/>
              <w:ind w:left="530"/>
              <w:spacing w:after="0" w:line="176" w:lineRule="exact"/>
              <w:rPr>
                <w:rFonts w:ascii="Arial" w:cs="Arial" w:eastAsia="Arial" w:hAnsi="Arial"/>
                <w:sz w:val="18"/>
                <w:szCs w:val="18"/>
                <w:color w:val="0000EE"/>
                <w:w w:val="86"/>
              </w:rPr>
            </w:pPr>
            <w:hyperlink w:anchor="page113">
              <w:r>
                <w:rPr>
                  <w:rFonts w:ascii="Arial" w:cs="Arial" w:eastAsia="Arial" w:hAnsi="Arial"/>
                  <w:sz w:val="18"/>
                  <w:szCs w:val="18"/>
                  <w:color w:val="0000EE"/>
                  <w:w w:val="86"/>
                </w:rPr>
                <w:t>111</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580" w:type="dxa"/>
            <w:vAlign w:val="bottom"/>
            <w:gridSpan w:val="15"/>
            <w:shd w:val="clear" w:color="auto" w:fill="CCEEFF"/>
          </w:tcPr>
          <w:p>
            <w:pPr>
              <w:jc w:val="center"/>
              <w:ind w:right="3700"/>
              <w:spacing w:after="0" w:line="176" w:lineRule="exact"/>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PART III</w:t>
              </w:r>
            </w:hyperlink>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80" w:type="dxa"/>
            <w:vAlign w:val="bottom"/>
            <w:gridSpan w:val="6"/>
          </w:tcPr>
          <w:p>
            <w:pPr>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Item 10.</w:t>
              </w:r>
            </w:hyperlink>
          </w:p>
        </w:tc>
        <w:tc>
          <w:tcPr>
            <w:tcW w:w="7960" w:type="dxa"/>
            <w:vAlign w:val="bottom"/>
            <w:gridSpan w:val="29"/>
          </w:tcPr>
          <w:p>
            <w:pPr>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Directors, Executive Officers and Partnership Governance.</w:t>
              </w:r>
            </w:hyperlink>
          </w:p>
        </w:tc>
        <w:tc>
          <w:tcPr>
            <w:tcW w:w="920" w:type="dxa"/>
            <w:vAlign w:val="bottom"/>
            <w:gridSpan w:val="7"/>
          </w:tcPr>
          <w:p>
            <w:pPr>
              <w:jc w:val="center"/>
              <w:ind w:left="530"/>
              <w:spacing w:after="0" w:line="176" w:lineRule="exact"/>
              <w:rPr>
                <w:rFonts w:ascii="Arial" w:cs="Arial" w:eastAsia="Arial" w:hAnsi="Arial"/>
                <w:sz w:val="18"/>
                <w:szCs w:val="18"/>
                <w:color w:val="0000EE"/>
                <w:w w:val="86"/>
              </w:rPr>
            </w:pPr>
            <w:hyperlink w:anchor="page113">
              <w:r>
                <w:rPr>
                  <w:rFonts w:ascii="Arial" w:cs="Arial" w:eastAsia="Arial" w:hAnsi="Arial"/>
                  <w:sz w:val="18"/>
                  <w:szCs w:val="18"/>
                  <w:color w:val="0000EE"/>
                  <w:w w:val="86"/>
                </w:rPr>
                <w:t>111</w:t>
              </w:r>
            </w:hyperlink>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80" w:type="dxa"/>
            <w:vAlign w:val="bottom"/>
            <w:gridSpan w:val="6"/>
            <w:shd w:val="clear" w:color="auto" w:fill="CCEEFF"/>
          </w:tcPr>
          <w:p>
            <w:pPr>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Item 11.</w:t>
              </w:r>
            </w:hyperlink>
          </w:p>
        </w:tc>
        <w:tc>
          <w:tcPr>
            <w:tcW w:w="7960" w:type="dxa"/>
            <w:vAlign w:val="bottom"/>
            <w:gridSpan w:val="29"/>
            <w:shd w:val="clear" w:color="auto" w:fill="CCEEFF"/>
          </w:tcPr>
          <w:p>
            <w:pPr>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Executive Compensation.</w:t>
              </w:r>
            </w:hyperlink>
          </w:p>
        </w:tc>
        <w:tc>
          <w:tcPr>
            <w:tcW w:w="1560" w:type="dxa"/>
            <w:vAlign w:val="bottom"/>
            <w:gridSpan w:val="8"/>
            <w:shd w:val="clear" w:color="auto" w:fill="CCEEFF"/>
          </w:tcPr>
          <w:p>
            <w:pPr>
              <w:jc w:val="center"/>
              <w:spacing w:after="0" w:line="176" w:lineRule="exact"/>
              <w:rPr>
                <w:rFonts w:ascii="Arial" w:cs="Arial" w:eastAsia="Arial" w:hAnsi="Arial"/>
                <w:sz w:val="18"/>
                <w:szCs w:val="18"/>
                <w:color w:val="0000EE"/>
                <w:w w:val="93"/>
              </w:rPr>
            </w:pPr>
            <w:hyperlink w:anchor="page124">
              <w:r>
                <w:rPr>
                  <w:rFonts w:ascii="Arial" w:cs="Arial" w:eastAsia="Arial" w:hAnsi="Arial"/>
                  <w:sz w:val="18"/>
                  <w:szCs w:val="18"/>
                  <w:color w:val="0000EE"/>
                  <w:w w:val="93"/>
                </w:rPr>
                <w:t>122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80" w:type="dxa"/>
            <w:vAlign w:val="bottom"/>
            <w:gridSpan w:val="6"/>
          </w:tcPr>
          <w:p>
            <w:pPr>
              <w:spacing w:after="0" w:line="176" w:lineRule="exact"/>
              <w:rPr>
                <w:rFonts w:ascii="Arial" w:cs="Arial" w:eastAsia="Arial" w:hAnsi="Arial"/>
                <w:sz w:val="18"/>
                <w:szCs w:val="18"/>
                <w:color w:val="0000EE"/>
              </w:rPr>
            </w:pPr>
            <w:hyperlink w:anchor="page135">
              <w:r>
                <w:rPr>
                  <w:rFonts w:ascii="Arial" w:cs="Arial" w:eastAsia="Arial" w:hAnsi="Arial"/>
                  <w:sz w:val="18"/>
                  <w:szCs w:val="18"/>
                  <w:color w:val="0000EE"/>
                </w:rPr>
                <w:t>Item 12.</w:t>
              </w:r>
            </w:hyperlink>
          </w:p>
        </w:tc>
        <w:tc>
          <w:tcPr>
            <w:tcW w:w="7960" w:type="dxa"/>
            <w:vAlign w:val="bottom"/>
            <w:gridSpan w:val="29"/>
          </w:tcPr>
          <w:p>
            <w:pPr>
              <w:spacing w:after="0" w:line="176" w:lineRule="exact"/>
              <w:rPr>
                <w:rFonts w:ascii="Arial" w:cs="Arial" w:eastAsia="Arial" w:hAnsi="Arial"/>
                <w:sz w:val="18"/>
                <w:szCs w:val="18"/>
                <w:color w:val="0000EE"/>
              </w:rPr>
            </w:pPr>
            <w:hyperlink w:anchor="page135">
              <w:r>
                <w:rPr>
                  <w:rFonts w:ascii="Arial" w:cs="Arial" w:eastAsia="Arial" w:hAnsi="Arial"/>
                  <w:sz w:val="18"/>
                  <w:szCs w:val="18"/>
                  <w:color w:val="0000EE"/>
                </w:rPr>
                <w:t>Security Ownership of Certain Beneficial Owners and Management</w:t>
              </w:r>
            </w:hyperlink>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and Related Unitholder Matters.</w:t>
              </w:r>
            </w:hyperlink>
          </w:p>
        </w:tc>
        <w:tc>
          <w:tcPr>
            <w:tcW w:w="3080" w:type="dxa"/>
            <w:vAlign w:val="bottom"/>
            <w:gridSpan w:val="3"/>
          </w:tcPr>
          <w:p>
            <w:pPr>
              <w:spacing w:after="0"/>
              <w:rPr>
                <w:sz w:val="17"/>
                <w:szCs w:val="17"/>
                <w:color w:val="auto"/>
              </w:rPr>
            </w:pPr>
          </w:p>
        </w:tc>
        <w:tc>
          <w:tcPr>
            <w:tcW w:w="1560" w:type="dxa"/>
            <w:vAlign w:val="bottom"/>
            <w:gridSpan w:val="8"/>
          </w:tcPr>
          <w:p>
            <w:pPr>
              <w:jc w:val="center"/>
              <w:spacing w:after="0" w:line="196" w:lineRule="exact"/>
              <w:rPr>
                <w:rFonts w:ascii="Arial" w:cs="Arial" w:eastAsia="Arial" w:hAnsi="Arial"/>
                <w:sz w:val="18"/>
                <w:szCs w:val="18"/>
                <w:color w:val="0000EE"/>
                <w:w w:val="93"/>
              </w:rPr>
            </w:pPr>
            <w:hyperlink w:anchor="page135">
              <w:r>
                <w:rPr>
                  <w:rFonts w:ascii="Arial" w:cs="Arial" w:eastAsia="Arial" w:hAnsi="Arial"/>
                  <w:sz w:val="18"/>
                  <w:szCs w:val="18"/>
                  <w:color w:val="0000EE"/>
                  <w:w w:val="93"/>
                </w:rPr>
                <w:t>133</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80" w:type="dxa"/>
            <w:vAlign w:val="bottom"/>
            <w:gridSpan w:val="6"/>
            <w:shd w:val="clear" w:color="auto" w:fill="CCEEFF"/>
          </w:tcPr>
          <w:p>
            <w:pPr>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Item 13.</w:t>
              </w:r>
            </w:hyperlink>
          </w:p>
        </w:tc>
        <w:tc>
          <w:tcPr>
            <w:tcW w:w="7960" w:type="dxa"/>
            <w:vAlign w:val="bottom"/>
            <w:gridSpan w:val="29"/>
            <w:shd w:val="clear" w:color="auto" w:fill="CCEEFF"/>
          </w:tcPr>
          <w:p>
            <w:pPr>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Certain Relationships and Related Transactions, and Director Independence.</w:t>
              </w:r>
            </w:hyperlink>
          </w:p>
        </w:tc>
        <w:tc>
          <w:tcPr>
            <w:tcW w:w="1560" w:type="dxa"/>
            <w:vAlign w:val="bottom"/>
            <w:gridSpan w:val="8"/>
            <w:shd w:val="clear" w:color="auto" w:fill="CCEEFF"/>
          </w:tcPr>
          <w:p>
            <w:pPr>
              <w:jc w:val="center"/>
              <w:spacing w:after="0" w:line="176" w:lineRule="exact"/>
              <w:rPr>
                <w:rFonts w:ascii="Arial" w:cs="Arial" w:eastAsia="Arial" w:hAnsi="Arial"/>
                <w:sz w:val="18"/>
                <w:szCs w:val="18"/>
                <w:color w:val="0000EE"/>
                <w:w w:val="93"/>
              </w:rPr>
            </w:pPr>
            <w:hyperlink w:anchor="page138">
              <w:r>
                <w:rPr>
                  <w:rFonts w:ascii="Arial" w:cs="Arial" w:eastAsia="Arial" w:hAnsi="Arial"/>
                  <w:sz w:val="18"/>
                  <w:szCs w:val="18"/>
                  <w:color w:val="0000EE"/>
                  <w:w w:val="93"/>
                </w:rPr>
                <w:t>136</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80" w:type="dxa"/>
            <w:vAlign w:val="bottom"/>
            <w:gridSpan w:val="6"/>
          </w:tcPr>
          <w:p>
            <w:pPr>
              <w:spacing w:after="0" w:line="176" w:lineRule="exact"/>
              <w:rPr>
                <w:rFonts w:ascii="Arial" w:cs="Arial" w:eastAsia="Arial" w:hAnsi="Arial"/>
                <w:sz w:val="18"/>
                <w:szCs w:val="18"/>
                <w:color w:val="0000EE"/>
              </w:rPr>
            </w:pPr>
            <w:hyperlink w:anchor="page141">
              <w:r>
                <w:rPr>
                  <w:rFonts w:ascii="Arial" w:cs="Arial" w:eastAsia="Arial" w:hAnsi="Arial"/>
                  <w:sz w:val="18"/>
                  <w:szCs w:val="18"/>
                  <w:color w:val="0000EE"/>
                </w:rPr>
                <w:t>Item 14.</w:t>
              </w:r>
            </w:hyperlink>
          </w:p>
        </w:tc>
        <w:tc>
          <w:tcPr>
            <w:tcW w:w="7960" w:type="dxa"/>
            <w:vAlign w:val="bottom"/>
            <w:gridSpan w:val="29"/>
          </w:tcPr>
          <w:p>
            <w:pPr>
              <w:spacing w:after="0" w:line="176" w:lineRule="exact"/>
              <w:rPr>
                <w:rFonts w:ascii="Arial" w:cs="Arial" w:eastAsia="Arial" w:hAnsi="Arial"/>
                <w:sz w:val="18"/>
                <w:szCs w:val="18"/>
                <w:color w:val="0000EE"/>
              </w:rPr>
            </w:pPr>
            <w:hyperlink w:anchor="page141">
              <w:r>
                <w:rPr>
                  <w:rFonts w:ascii="Arial" w:cs="Arial" w:eastAsia="Arial" w:hAnsi="Arial"/>
                  <w:sz w:val="18"/>
                  <w:szCs w:val="18"/>
                  <w:color w:val="0000EE"/>
                </w:rPr>
                <w:t>Principal Accountant Fees and Services.</w:t>
              </w:r>
            </w:hyperlink>
          </w:p>
        </w:tc>
        <w:tc>
          <w:tcPr>
            <w:tcW w:w="1560" w:type="dxa"/>
            <w:vAlign w:val="bottom"/>
            <w:gridSpan w:val="8"/>
          </w:tcPr>
          <w:p>
            <w:pPr>
              <w:jc w:val="center"/>
              <w:spacing w:after="0" w:line="176" w:lineRule="exact"/>
              <w:rPr>
                <w:rFonts w:ascii="Arial" w:cs="Arial" w:eastAsia="Arial" w:hAnsi="Arial"/>
                <w:sz w:val="18"/>
                <w:szCs w:val="18"/>
                <w:color w:val="0000EE"/>
                <w:w w:val="93"/>
              </w:rPr>
            </w:pPr>
            <w:hyperlink w:anchor="page141">
              <w:r>
                <w:rPr>
                  <w:rFonts w:ascii="Arial" w:cs="Arial" w:eastAsia="Arial" w:hAnsi="Arial"/>
                  <w:sz w:val="18"/>
                  <w:szCs w:val="18"/>
                  <w:color w:val="0000EE"/>
                  <w:w w:val="93"/>
                </w:rPr>
                <w:t>139</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500" w:type="dxa"/>
            <w:vAlign w:val="bottom"/>
            <w:gridSpan w:val="14"/>
          </w:tcPr>
          <w:p>
            <w:pPr>
              <w:jc w:val="center"/>
              <w:ind w:right="3780"/>
              <w:spacing w:after="0" w:line="176" w:lineRule="exact"/>
              <w:rPr>
                <w:rFonts w:ascii="Arial" w:cs="Arial" w:eastAsia="Arial" w:hAnsi="Arial"/>
                <w:sz w:val="18"/>
                <w:szCs w:val="18"/>
                <w:b w:val="1"/>
                <w:bCs w:val="1"/>
                <w:color w:val="0000EE"/>
              </w:rPr>
            </w:pPr>
            <w:hyperlink w:anchor="page142">
              <w:r>
                <w:rPr>
                  <w:rFonts w:ascii="Arial" w:cs="Arial" w:eastAsia="Arial" w:hAnsi="Arial"/>
                  <w:sz w:val="18"/>
                  <w:szCs w:val="18"/>
                  <w:b w:val="1"/>
                  <w:bCs w:val="1"/>
                  <w:color w:val="0000EE"/>
                </w:rPr>
                <w:t>PART IV</w:t>
              </w:r>
            </w:hyperlink>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80" w:type="dxa"/>
            <w:vAlign w:val="bottom"/>
            <w:gridSpan w:val="6"/>
            <w:shd w:val="clear" w:color="auto" w:fill="CCEEFF"/>
          </w:tcPr>
          <w:p>
            <w:pPr>
              <w:spacing w:after="0" w:line="176" w:lineRule="exact"/>
              <w:rPr>
                <w:rFonts w:ascii="Arial" w:cs="Arial" w:eastAsia="Arial" w:hAnsi="Arial"/>
                <w:sz w:val="18"/>
                <w:szCs w:val="18"/>
                <w:color w:val="0000EE"/>
              </w:rPr>
            </w:pPr>
            <w:hyperlink w:anchor="page142">
              <w:r>
                <w:rPr>
                  <w:rFonts w:ascii="Arial" w:cs="Arial" w:eastAsia="Arial" w:hAnsi="Arial"/>
                  <w:sz w:val="18"/>
                  <w:szCs w:val="18"/>
                  <w:color w:val="0000EE"/>
                </w:rPr>
                <w:t>Item 15.</w:t>
              </w:r>
            </w:hyperlink>
          </w:p>
        </w:tc>
        <w:tc>
          <w:tcPr>
            <w:tcW w:w="7960" w:type="dxa"/>
            <w:vAlign w:val="bottom"/>
            <w:gridSpan w:val="29"/>
            <w:shd w:val="clear" w:color="auto" w:fill="CCEEFF"/>
          </w:tcPr>
          <w:p>
            <w:pPr>
              <w:spacing w:after="0" w:line="176" w:lineRule="exact"/>
              <w:rPr>
                <w:rFonts w:ascii="Arial" w:cs="Arial" w:eastAsia="Arial" w:hAnsi="Arial"/>
                <w:sz w:val="18"/>
                <w:szCs w:val="18"/>
                <w:color w:val="0000EE"/>
              </w:rPr>
            </w:pPr>
            <w:hyperlink w:anchor="page142">
              <w:r>
                <w:rPr>
                  <w:rFonts w:ascii="Arial" w:cs="Arial" w:eastAsia="Arial" w:hAnsi="Arial"/>
                  <w:sz w:val="18"/>
                  <w:szCs w:val="18"/>
                  <w:color w:val="0000EE"/>
                </w:rPr>
                <w:t>Exhibits, Financial Statement Schedules.</w:t>
              </w:r>
            </w:hyperlink>
          </w:p>
        </w:tc>
        <w:tc>
          <w:tcPr>
            <w:tcW w:w="1560" w:type="dxa"/>
            <w:vAlign w:val="bottom"/>
            <w:gridSpan w:val="8"/>
            <w:shd w:val="clear" w:color="auto" w:fill="CCEEFF"/>
          </w:tcPr>
          <w:p>
            <w:pPr>
              <w:jc w:val="center"/>
              <w:spacing w:after="0" w:line="176" w:lineRule="exact"/>
              <w:rPr>
                <w:rFonts w:ascii="Arial" w:cs="Arial" w:eastAsia="Arial" w:hAnsi="Arial"/>
                <w:sz w:val="18"/>
                <w:szCs w:val="18"/>
                <w:color w:val="0000EE"/>
                <w:w w:val="93"/>
              </w:rPr>
            </w:pPr>
            <w:hyperlink w:anchor="page142">
              <w:r>
                <w:rPr>
                  <w:rFonts w:ascii="Arial" w:cs="Arial" w:eastAsia="Arial" w:hAnsi="Arial"/>
                  <w:sz w:val="18"/>
                  <w:szCs w:val="18"/>
                  <w:color w:val="0000EE"/>
                  <w:w w:val="93"/>
                </w:rPr>
                <w:t>140</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80" w:type="dxa"/>
            <w:vAlign w:val="bottom"/>
            <w:gridSpan w:val="6"/>
          </w:tcPr>
          <w:p>
            <w:pPr>
              <w:spacing w:after="0" w:line="176" w:lineRule="exact"/>
              <w:rPr>
                <w:rFonts w:ascii="Arial" w:cs="Arial" w:eastAsia="Arial" w:hAnsi="Arial"/>
                <w:sz w:val="18"/>
                <w:szCs w:val="18"/>
                <w:color w:val="0000EE"/>
              </w:rPr>
            </w:pPr>
            <w:hyperlink w:anchor="page151">
              <w:r>
                <w:rPr>
                  <w:rFonts w:ascii="Arial" w:cs="Arial" w:eastAsia="Arial" w:hAnsi="Arial"/>
                  <w:sz w:val="18"/>
                  <w:szCs w:val="18"/>
                  <w:color w:val="0000EE"/>
                </w:rPr>
                <w:t>Item 16.</w:t>
              </w:r>
            </w:hyperlink>
          </w:p>
        </w:tc>
        <w:tc>
          <w:tcPr>
            <w:tcW w:w="7960" w:type="dxa"/>
            <w:vAlign w:val="bottom"/>
            <w:gridSpan w:val="29"/>
          </w:tcPr>
          <w:p>
            <w:pPr>
              <w:spacing w:after="0" w:line="176" w:lineRule="exact"/>
              <w:rPr>
                <w:rFonts w:ascii="Arial" w:cs="Arial" w:eastAsia="Arial" w:hAnsi="Arial"/>
                <w:sz w:val="18"/>
                <w:szCs w:val="18"/>
                <w:color w:val="0000EE"/>
              </w:rPr>
            </w:pPr>
            <w:hyperlink w:anchor="page151">
              <w:r>
                <w:rPr>
                  <w:rFonts w:ascii="Arial" w:cs="Arial" w:eastAsia="Arial" w:hAnsi="Arial"/>
                  <w:sz w:val="18"/>
                  <w:szCs w:val="18"/>
                  <w:color w:val="0000EE"/>
                </w:rPr>
                <w:t>Form 10-K Summary.</w:t>
              </w:r>
            </w:hyperlink>
          </w:p>
        </w:tc>
        <w:tc>
          <w:tcPr>
            <w:tcW w:w="1560" w:type="dxa"/>
            <w:vAlign w:val="bottom"/>
            <w:gridSpan w:val="8"/>
          </w:tcPr>
          <w:p>
            <w:pPr>
              <w:jc w:val="center"/>
              <w:spacing w:after="0" w:line="176" w:lineRule="exact"/>
              <w:rPr>
                <w:rFonts w:ascii="Arial" w:cs="Arial" w:eastAsia="Arial" w:hAnsi="Arial"/>
                <w:sz w:val="18"/>
                <w:szCs w:val="18"/>
                <w:color w:val="0000EE"/>
                <w:w w:val="93"/>
              </w:rPr>
            </w:pPr>
            <w:hyperlink w:anchor="page151">
              <w:r>
                <w:rPr>
                  <w:rFonts w:ascii="Arial" w:cs="Arial" w:eastAsia="Arial" w:hAnsi="Arial"/>
                  <w:sz w:val="18"/>
                  <w:szCs w:val="18"/>
                  <w:color w:val="0000EE"/>
                  <w:w w:val="93"/>
                </w:rPr>
                <w:t>149</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80" w:type="dxa"/>
            <w:vAlign w:val="bottom"/>
            <w:gridSpan w:val="6"/>
          </w:tcPr>
          <w:p>
            <w:pPr>
              <w:spacing w:after="0" w:line="176" w:lineRule="exact"/>
              <w:rPr>
                <w:rFonts w:ascii="Arial" w:cs="Arial" w:eastAsia="Arial" w:hAnsi="Arial"/>
                <w:sz w:val="18"/>
                <w:szCs w:val="18"/>
                <w:color w:val="0000EE"/>
              </w:rPr>
            </w:pPr>
            <w:hyperlink w:anchor="page152">
              <w:r>
                <w:rPr>
                  <w:rFonts w:ascii="Arial" w:cs="Arial" w:eastAsia="Arial" w:hAnsi="Arial"/>
                  <w:sz w:val="18"/>
                  <w:szCs w:val="18"/>
                  <w:color w:val="0000EE"/>
                </w:rPr>
                <w:t>Signatures</w:t>
              </w:r>
            </w:hyperlink>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60" w:type="dxa"/>
            <w:vAlign w:val="bottom"/>
            <w:gridSpan w:val="8"/>
          </w:tcPr>
          <w:p>
            <w:pPr>
              <w:jc w:val="center"/>
              <w:spacing w:after="0" w:line="176" w:lineRule="exact"/>
              <w:rPr>
                <w:rFonts w:ascii="Arial" w:cs="Arial" w:eastAsia="Arial" w:hAnsi="Arial"/>
                <w:sz w:val="18"/>
                <w:szCs w:val="18"/>
                <w:color w:val="0000EE"/>
                <w:w w:val="93"/>
              </w:rPr>
            </w:pPr>
            <w:hyperlink w:anchor="page152">
              <w:r>
                <w:rPr>
                  <w:rFonts w:ascii="Arial" w:cs="Arial" w:eastAsia="Arial" w:hAnsi="Arial"/>
                  <w:sz w:val="18"/>
                  <w:szCs w:val="18"/>
                  <w:color w:val="0000EE"/>
                  <w:w w:val="93"/>
                </w:rPr>
                <w:t>150</w:t>
              </w:r>
            </w:hyperlink>
          </w:p>
        </w:tc>
        <w:tc>
          <w:tcPr>
            <w:tcW w:w="0" w:type="dxa"/>
            <w:vAlign w:val="bottom"/>
          </w:tcPr>
          <w:p>
            <w:pPr>
              <w:spacing w:after="0"/>
              <w:rPr>
                <w:sz w:val="1"/>
                <w:szCs w:val="1"/>
                <w:color w:val="auto"/>
              </w:rPr>
            </w:pPr>
          </w:p>
        </w:tc>
      </w:tr>
      <w:tr>
        <w:trPr>
          <w:trHeight w:val="2458"/>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REFERENCES USED IN THIS REPORT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Unless the context requires otherwise, references to “we,” “us,” “our” or “Enterprise” are intended to mean the business and operations of Enterprise Products Partners L.P. and its consolidated subsidiaries. References to “EPD” mean Enterprise Products Partners L.P. on a standalone basis. References to “EPO” mean Enterprise Products Operating LLC, which is an indirect wholly owned subsidiary of EPD, and its consolidated subsidiaries, through which EPD conducts its business. Enterprise is managed by its general partner, Enterprise Products Holdings LLC (“Enterprise GP”), which is a wholly owned subsidiary of Dan Duncan LLC, a privately held Texas limited liability company.</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membership interests of Dan Duncan LLC are owned by a voting trust, the current trustees (“DD LLC Trustees”) of which are: (i) Randa Duncan Williams, who is also a director and Chairman of the Board of Directors (the “Board”) of Enterprise GP; (ii) Richard H. Bachmann, who is also a director and Vice Chairman of the Board of Enterprise GP; and (iii) Dr. Ralph S. Cunningham, who is also an advisory director of Enterprise GP. Ms. Duncan Williams and Mr. Bachmann also currently serve as managers of Dan Duncan LLC along with W. Randall Fowler, who is also a director and the Co-Chief Executive Officer and Chief Financial Officer of Enterprise GP.</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References to “EPCO” mean Enterprise Products Company, a privately held Texas corporation, and its privately held affiliates. A majority of the outstanding voting capital stock of EPCO is owned by a voting trust, the current trustees (“EPCO Trustees”) of which are: (i) Ms. Duncan Williams, who serves as Chairman of EPCO; (ii) Dr. Cunningham, who serves as Vice Chairman of EPCO; and (iii) Mr. Bachmann, who serves as the President and Chief Executive Officer of EPCO. Ms. Duncan Williams and Mr. Bachmann also currently serve as directors of EPCO along with Mr. Fowler, who is also the Executive Vice President and Chief Financial Officer of EPCO. EPCO, together with its privately held affiliates, owned approximately 32% of EPD’s limited partner common units at December 31, 2019.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As generally used in the energy industry and in this annual report, the acronyms below have the following meanings:</w:t>
      </w:r>
    </w:p>
    <w:p>
      <w:pPr>
        <w:spacing w:after="0" w:line="25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20" w:type="dxa"/>
            <w:vAlign w:val="bottom"/>
            <w:shd w:val="clear" w:color="auto" w:fill="CCEEFF"/>
          </w:tcPr>
          <w:p>
            <w:pPr>
              <w:spacing w:after="0"/>
              <w:rPr>
                <w:sz w:val="20"/>
                <w:szCs w:val="20"/>
                <w:color w:val="auto"/>
              </w:rPr>
            </w:pPr>
            <w:r>
              <w:rPr>
                <w:rFonts w:ascii="Arial" w:cs="Arial" w:eastAsia="Arial" w:hAnsi="Arial"/>
                <w:sz w:val="14"/>
                <w:szCs w:val="14"/>
                <w:color w:val="auto"/>
              </w:rPr>
              <w:t>/d</w:t>
            </w:r>
          </w:p>
        </w:tc>
        <w:tc>
          <w:tcPr>
            <w:tcW w:w="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040" w:type="dxa"/>
            <w:vAlign w:val="bottom"/>
            <w:shd w:val="clear" w:color="auto" w:fill="CCEEFF"/>
          </w:tcPr>
          <w:p>
            <w:pPr>
              <w:ind w:left="80"/>
              <w:spacing w:after="0"/>
              <w:rPr>
                <w:sz w:val="20"/>
                <w:szCs w:val="20"/>
                <w:color w:val="auto"/>
              </w:rPr>
            </w:pPr>
            <w:r>
              <w:rPr>
                <w:rFonts w:ascii="Arial" w:cs="Arial" w:eastAsia="Arial" w:hAnsi="Arial"/>
                <w:sz w:val="14"/>
                <w:szCs w:val="14"/>
                <w:color w:val="auto"/>
              </w:rPr>
              <w:t>per day</w:t>
            </w:r>
          </w:p>
        </w:tc>
        <w:tc>
          <w:tcPr>
            <w:tcW w:w="1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MMBbls</w:t>
            </w:r>
          </w:p>
        </w:tc>
        <w:tc>
          <w:tcPr>
            <w:tcW w:w="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million barrels</w:t>
            </w:r>
          </w:p>
        </w:tc>
      </w:tr>
      <w:tr>
        <w:trPr>
          <w:trHeight w:val="149"/>
        </w:trPr>
        <w:tc>
          <w:tcPr>
            <w:tcW w:w="520" w:type="dxa"/>
            <w:vAlign w:val="bottom"/>
          </w:tcPr>
          <w:p>
            <w:pPr>
              <w:spacing w:after="0" w:line="149" w:lineRule="exact"/>
              <w:rPr>
                <w:sz w:val="20"/>
                <w:szCs w:val="20"/>
                <w:color w:val="auto"/>
              </w:rPr>
            </w:pPr>
            <w:r>
              <w:rPr>
                <w:rFonts w:ascii="Arial" w:cs="Arial" w:eastAsia="Arial" w:hAnsi="Arial"/>
                <w:sz w:val="14"/>
                <w:szCs w:val="14"/>
                <w:color w:val="auto"/>
              </w:rPr>
              <w:t>BBtus</w:t>
            </w:r>
          </w:p>
        </w:tc>
        <w:tc>
          <w:tcPr>
            <w:tcW w:w="2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  billion British thermal units</w:t>
            </w:r>
          </w:p>
        </w:tc>
        <w:tc>
          <w:tcPr>
            <w:tcW w:w="1100" w:type="dxa"/>
            <w:vAlign w:val="bottom"/>
          </w:tcPr>
          <w:p>
            <w:pPr>
              <w:ind w:left="380"/>
              <w:spacing w:after="0" w:line="149" w:lineRule="exact"/>
              <w:rPr>
                <w:sz w:val="20"/>
                <w:szCs w:val="20"/>
                <w:color w:val="auto"/>
              </w:rPr>
            </w:pPr>
            <w:r>
              <w:rPr>
                <w:rFonts w:ascii="Arial" w:cs="Arial" w:eastAsia="Arial" w:hAnsi="Arial"/>
                <w:sz w:val="14"/>
                <w:szCs w:val="14"/>
                <w:color w:val="auto"/>
              </w:rPr>
              <w:t>MMBPD</w:t>
            </w:r>
          </w:p>
        </w:tc>
        <w:tc>
          <w:tcPr>
            <w:tcW w:w="29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  million barrels per day</w:t>
            </w:r>
          </w:p>
        </w:tc>
      </w:tr>
      <w:tr>
        <w:trPr>
          <w:trHeight w:val="149"/>
        </w:trPr>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Bcf</w:t>
            </w:r>
          </w:p>
        </w:tc>
        <w:tc>
          <w:tcPr>
            <w:tcW w:w="2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0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billion cubic feet</w:t>
            </w:r>
          </w:p>
        </w:tc>
        <w:tc>
          <w:tcPr>
            <w:tcW w:w="11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MMBtus</w:t>
            </w:r>
          </w:p>
        </w:tc>
        <w:tc>
          <w:tcPr>
            <w:tcW w:w="29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  million British thermal units</w:t>
            </w:r>
          </w:p>
        </w:tc>
      </w:tr>
      <w:tr>
        <w:trPr>
          <w:trHeight w:val="149"/>
        </w:trPr>
        <w:tc>
          <w:tcPr>
            <w:tcW w:w="520" w:type="dxa"/>
            <w:vAlign w:val="bottom"/>
          </w:tcPr>
          <w:p>
            <w:pPr>
              <w:spacing w:after="0" w:line="149" w:lineRule="exact"/>
              <w:rPr>
                <w:sz w:val="20"/>
                <w:szCs w:val="20"/>
                <w:color w:val="auto"/>
              </w:rPr>
            </w:pPr>
            <w:r>
              <w:rPr>
                <w:rFonts w:ascii="Arial" w:cs="Arial" w:eastAsia="Arial" w:hAnsi="Arial"/>
                <w:sz w:val="14"/>
                <w:szCs w:val="14"/>
                <w:color w:val="auto"/>
              </w:rPr>
              <w:t>BPD</w:t>
            </w:r>
          </w:p>
        </w:tc>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040" w:type="dxa"/>
            <w:vAlign w:val="bottom"/>
          </w:tcPr>
          <w:p>
            <w:pPr>
              <w:ind w:left="80"/>
              <w:spacing w:after="0" w:line="149" w:lineRule="exact"/>
              <w:rPr>
                <w:sz w:val="20"/>
                <w:szCs w:val="20"/>
                <w:color w:val="auto"/>
              </w:rPr>
            </w:pPr>
            <w:r>
              <w:rPr>
                <w:rFonts w:ascii="Arial" w:cs="Arial" w:eastAsia="Arial" w:hAnsi="Arial"/>
                <w:sz w:val="14"/>
                <w:szCs w:val="14"/>
                <w:color w:val="auto"/>
              </w:rPr>
              <w:t>barrels per day</w:t>
            </w:r>
          </w:p>
        </w:tc>
        <w:tc>
          <w:tcPr>
            <w:tcW w:w="1100" w:type="dxa"/>
            <w:vAlign w:val="bottom"/>
          </w:tcPr>
          <w:p>
            <w:pPr>
              <w:ind w:left="380"/>
              <w:spacing w:after="0" w:line="149" w:lineRule="exact"/>
              <w:rPr>
                <w:sz w:val="20"/>
                <w:szCs w:val="20"/>
                <w:color w:val="auto"/>
              </w:rPr>
            </w:pPr>
            <w:r>
              <w:rPr>
                <w:rFonts w:ascii="Arial" w:cs="Arial" w:eastAsia="Arial" w:hAnsi="Arial"/>
                <w:sz w:val="14"/>
                <w:szCs w:val="14"/>
                <w:color w:val="auto"/>
              </w:rPr>
              <w:t>MMcf</w:t>
            </w:r>
          </w:p>
        </w:tc>
        <w:tc>
          <w:tcPr>
            <w:tcW w:w="34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580" w:type="dxa"/>
            <w:vAlign w:val="bottom"/>
          </w:tcPr>
          <w:p>
            <w:pPr>
              <w:ind w:left="80"/>
              <w:spacing w:after="0" w:line="149" w:lineRule="exact"/>
              <w:rPr>
                <w:sz w:val="20"/>
                <w:szCs w:val="20"/>
                <w:color w:val="auto"/>
              </w:rPr>
            </w:pPr>
            <w:r>
              <w:rPr>
                <w:rFonts w:ascii="Arial" w:cs="Arial" w:eastAsia="Arial" w:hAnsi="Arial"/>
                <w:sz w:val="14"/>
                <w:szCs w:val="14"/>
                <w:color w:val="auto"/>
              </w:rPr>
              <w:t>million cubic feet</w:t>
            </w:r>
          </w:p>
        </w:tc>
      </w:tr>
      <w:tr>
        <w:trPr>
          <w:trHeight w:val="149"/>
        </w:trPr>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MBPD</w:t>
            </w:r>
          </w:p>
        </w:tc>
        <w:tc>
          <w:tcPr>
            <w:tcW w:w="2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  thousand barrels per day</w:t>
            </w:r>
          </w:p>
        </w:tc>
        <w:tc>
          <w:tcPr>
            <w:tcW w:w="11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TBtus</w:t>
            </w:r>
          </w:p>
        </w:tc>
        <w:tc>
          <w:tcPr>
            <w:tcW w:w="29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  trillion British thermal units</w:t>
            </w: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annual report on Form 10-K for the year ended December 31, 2019 (our “annual report”) contains various forward-looking statements and information that are based on our beliefs and those of Enterprise GP, as well as assumptions made by us and information currently available to us. When used in this document, words such as “anticipate,” “project,” “expect,” “plan,” “seek,” “goal,” “estimate,” “forecast,” “intend,” “could,” “should,” “would,” “will,” “believe,” “may,” “potential” and similar expressions and statements regarding our plans and objectives for future operations are intended to identify forward-looking statements. Although we and Enterprise GP believe that our expectations reflected in such forward-looking statements are reasonable, neither we nor Enterprise GP can give any assurances that such expectations will prove to be correct. Forward-looking statements are subject to a variety of risks, uncertainties and assumptions as described in more detail under Part I, Item 1A of this annual report. If one or more of these risks or uncertainties materialize, or if underlying assumptions prove incorrect, our actual results may vary materially from those anticipated, estimated, projected or expected. You should not put undue reliance on any forward-looking statements. The forward-looking statements in this annual report speak only as of the date hereof. Except as required by federal and state securities laws, we undertake no obligation to publicly update or revise any forward-looking statements, whether as a result of new information, future events or any other reason.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ITEMS 1 AND 2. BUSINESS AND PROPERTIES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a publicly traded Delaware limited partnership, the common units of which are listed on the New York Stock Exchange (“NYSE”) under the ticker symbol “EPD.” We were formed in April 1998 to own and operate certain natural gas liquids (“NGLs”) related businesses of EPCO and are a leading North American provider of midstream energy services to producers and consumers of natural gas, NGLs, crude oil, petrochemicals and refined products.</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integrated midstream energy asset network links producers of natural gas, NGLs and crude oil from some of the largest supply basins in the United States (“U.S.”), Canada and the Gulf of Mexico with domestic consumers and international markets. Our midstream energy operations currently include: natural gas gathering, treating, processing, transportation and storage; NGL transportation, fractionation, storage, and export and import terminals (including those used to export liquefied petroleum gases, or “LPG,” and ethane); crude oil gathering, transportation, storage, and export and import terminals; petrochemical and refined products transportation, storage, export and import terminals, and related services; and a marine transportation business that operates primarily on the U.S. inland and Intracoastal Waterway systems. Our assets currently include approximately 50,000 miles of pipelines; 260 MMBbls of storage capacity for NGLs, crude oil, petrochemicals and refined products; and 14 Bcf of natural gas storage capacity.</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safe operation of our assets is a top priority. We are committed to protecting the environment and the health and safety of the public and those working on our behalf by conducting our business activities in a safe and environmentally responsible manner. For additional information, see “Environmental, Safety and Conservation” within the Regulatory Matters section of this Part I, Items 1 and 2 discussion.</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 substantially all of our business through EPO and are owned 100% by EPD’s limited partners from an economic perspective. Enterprise GP manages our partnership and owns a non-economic general partner interest in us. We, Enterprise GP, EPCO and Dan Duncan LLC are affiliates under the</w:t>
      </w:r>
    </w:p>
    <w:p>
      <w:pPr>
        <w:jc w:val="both"/>
        <w:spacing w:after="0" w:line="205" w:lineRule="auto"/>
        <w:rPr>
          <w:sz w:val="20"/>
          <w:szCs w:val="20"/>
          <w:color w:val="auto"/>
        </w:rPr>
      </w:pPr>
      <w:r>
        <w:rPr>
          <w:rFonts w:ascii="Arial" w:cs="Arial" w:eastAsia="Arial" w:hAnsi="Arial"/>
          <w:sz w:val="18"/>
          <w:szCs w:val="18"/>
          <w:color w:val="auto"/>
        </w:rPr>
        <w:t>collective common control of the DD LLC Trustees and the EPCO Trustees. Our principal executive offices are located at 1100 Louisiana Street,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Houston, Texas 77002, our telephone number is (713) 381-6500 and our website address is </w:t>
      </w:r>
      <w:r>
        <w:rPr>
          <w:rFonts w:ascii="Arial" w:cs="Arial" w:eastAsia="Arial" w:hAnsi="Arial"/>
          <w:sz w:val="18"/>
          <w:szCs w:val="18"/>
          <w:u w:val="single" w:color="auto"/>
          <w:color w:val="auto"/>
        </w:rPr>
        <w:t>www.enterpriseproducts.com</w:t>
      </w:r>
      <w:r>
        <w:rPr>
          <w:rFonts w:ascii="Arial" w:cs="Arial" w:eastAsia="Arial" w:hAnsi="Arial"/>
          <w:sz w:val="18"/>
          <w:szCs w:val="18"/>
          <w:color w:val="auto"/>
        </w:rPr>
        <w:t>.</w:t>
      </w:r>
    </w:p>
    <w:p>
      <w:pPr>
        <w:spacing w:after="0" w:line="2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Like many publicly traded partnerships, we have no employees. All of our management, administrative and operating functions are performed by employees of EPCO pursuant to an administrative services agreement (the “ASA”) or by other service providers. As of February 1, 2020, there were approximately 7,300 EPCO personnel who spend all or a substantial portion of their time engaged in our business. For additional information regarding the ASA, see Note 15 of the Notes to Consolidated Financial Statements included under Part II, Item 8 of this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integrated midstream energy asset network links producers of natural gas, NGLs and crude oil from some of the largest supply basins in the U.S., Canada and Gulf of Mexico with domestic consumers and international markets. Our business strategy seeks to leverage this network to:</w:t>
      </w:r>
    </w:p>
    <w:p>
      <w:pPr>
        <w:spacing w:after="0" w:line="70" w:lineRule="exact"/>
        <w:rPr>
          <w:sz w:val="20"/>
          <w:szCs w:val="20"/>
          <w:color w:val="auto"/>
        </w:rPr>
      </w:pPr>
    </w:p>
    <w:p>
      <w:pPr>
        <w:ind w:left="500" w:hanging="330"/>
        <w:spacing w:after="0"/>
        <w:tabs>
          <w:tab w:leader="none" w:pos="50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capitalize on expected demand growth, including exports, for natural gas, NGLs, crude oil and petrochemical and refined products;</w:t>
      </w:r>
    </w:p>
    <w:p>
      <w:pPr>
        <w:spacing w:after="0" w:line="228" w:lineRule="exact"/>
        <w:rPr>
          <w:rFonts w:ascii="Arial" w:cs="Arial" w:eastAsia="Arial" w:hAnsi="Arial"/>
          <w:sz w:val="29"/>
          <w:szCs w:val="29"/>
          <w:color w:val="auto"/>
          <w:vertAlign w:val="superscript"/>
        </w:rPr>
      </w:pPr>
    </w:p>
    <w:p>
      <w:pPr>
        <w:ind w:left="500" w:hanging="330"/>
        <w:spacing w:after="0" w:line="198" w:lineRule="auto"/>
        <w:tabs>
          <w:tab w:leader="none" w:pos="50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maintain a diversified portfolio of midstream energy assets and expand this asset base through growth capital projects and accretive acquisitions of complementary midstream energy assets;</w:t>
      </w:r>
    </w:p>
    <w:p>
      <w:pPr>
        <w:spacing w:after="0" w:line="126" w:lineRule="exact"/>
        <w:rPr>
          <w:rFonts w:ascii="Arial" w:cs="Arial" w:eastAsia="Arial" w:hAnsi="Arial"/>
          <w:sz w:val="29"/>
          <w:szCs w:val="29"/>
          <w:color w:val="auto"/>
          <w:vertAlign w:val="superscript"/>
        </w:rPr>
      </w:pPr>
    </w:p>
    <w:p>
      <w:pPr>
        <w:ind w:left="500" w:hanging="330"/>
        <w:spacing w:after="0"/>
        <w:tabs>
          <w:tab w:leader="none" w:pos="50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enhance the stability of our cash flows by investing in pipelines and other fee-based businesses;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hanging="330"/>
        <w:spacing w:after="0" w:line="198" w:lineRule="auto"/>
        <w:tabs>
          <w:tab w:leader="none" w:pos="50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share capital costs and risks through business ventures or alliances with strategic partners, including those that provide processing, throughput or feedstock volumes for growth capital projects or the purchase of such projects’ end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Outlook for 2020</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midstream energy services to producers and consumers of natural gas, NGLs, crude oil, petrochemicals and refined products. Our financial position, results of operations and cash flows are contingent on the supply of, and demand for the energy commodities we handle across our integrated midstream energy asset network. See “General Outlook for 2020” included under Part II, Item 7 of this annual report for our views on key midstream energy supply and demand fundamentals going into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 Information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Substantially all of our consolidated revenues are earned in the U.S. and derived from a wide customer base. Our largest non-affiliated customer for the years ended December 31, 2019, 2018 and 2017 was Vitol Holding B.V. and its affiliates (collectively, “Vitol”), which accounted for 10.1%, 7.8% and 11.2%, respectively, of our consolidated revenues. Vitol is a global energy and commodity trading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sections provide an overview of our business segments, including information regarding principal products produced and/or services rendered and properties owned. Our operations are reported under four business segments: (i) NGL Pipelines &amp; Services, (ii) Crude Oil Pipelines &amp; Services, (iii) Natural Gas Pipelines &amp; Services, and (iv) Petrochemical &amp; Refined Products Services. Our business segments are generally organized and managed according to the types of services rendered (or technologies employed) and products produced and/or sold.</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Each of our business segments benefits from the supporting role of our related marketing activities. The main purpose of our marketing activities is to support the utilization and expansion of assets across our midstream energy asset network by increasing the volumes handled by such assets, which results in additional fee-based earnings for each business segment. In performing these support roles, our marketing activities also seek to participate in supply and demand opportunities as a supplemental source of gross operating margin, a non-generally accepted accounting principle (“non-GAAP”) financial measure, for the partnership. The financial results of our marketing efforts fluctuate due to changes in volumes handled and overall market conditions, which are influenced by current and forward market prices for the products bought and sold.</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results of operations and financial condition are subject to certain significant risks. Factors that can affect the demand for our products and services include domestic and international economic conditions, the market price and demand for energy, the cost to develop natural gas and crude oil reserves in the U.S., federal and state regulation, the cost and availability of capital to energy companies to invest in upstream exploration and production activities and the credit quality of our customers. For information regarding such risks, see Part I, Item 1A of this annual report. In addition, our business activities are subject to various federal, state and local laws and regulations governing a wide variety of topics, including commercial, operational, environmental, safety and other matters. For a discussion of the principal effects of such laws and regulations on our business activities, see “Regulatory Matters” within this Part I, Items 1 and 2 discussion.</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management’s discussion and analysis of our results of operations, liquidity and capital resources and capital investment program, see Part II, Item 7 of this annual report.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detailed financial information regarding our business segments, see Note 10 of the Notes to Consolidated Financial Statements included under Part II, Item 8 of this annual report.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Pipelines &amp; Services Segment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NGL Pipelines &amp; Services business segment currently includes 22 natural gas processing facilities and related NGL marketing activities; approximately 19,900 miles of NGL pipelines; NGL and related product storage facilities; and 16 NGL fractionators. This segment also includes our LPG and ethane export terminals and related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Natural gas processing facilities and related NGL marketing activities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the core of our natural gas processing business are 22 processing facilities located in Colorado, Louisiana, Mississippi, New Mexico, Texas and Wyoming. The results of operations from our natural gas processing facilities are primarily dependent on the difference between the revenues we earn from extracting NGLs (in terms of cash processing fees and/or the value of any retained NGLs) and the cost of natural gas and other operating costs incurred in connection with such extraction activities.</w:t>
      </w:r>
    </w:p>
    <w:p>
      <w:pPr>
        <w:spacing w:after="0" w:line="2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its raw form, natural gas produced at the wellhead (especially in association with crude oil) contains varying amounts of NGLs, such as ethane and propane. Natural gas streams containing NGLs are usually not acceptable for transportation in natural gas pipelines or for commercial use as a fuel; therefore, the raw (or unprocessed) natural gas streams must be transported to a natural gas processing facility to remove the NGLs and other impurities. Once the natural gas is processed and NGLs and impurities are removed, the residue natural gas meets pipeline and commercial quality specifications. Natural gas that has a high NGL content is referred to as “rich” or “wet” natural gas, whereas natural gas from the wellhead that is relatively free of NGLs and impurities is referred to as “lean” or “dry” natural gas. Dry natural gas can be shipped on pipelines and used as fuel with little to no processing.</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general, on an energy-equivalent basis, most NGLs have greater economic value as feedstock for petrochemical and motor gasoline production than as components of a natural gas stream. Once the mixed NGLs are extracted at a natural gas processing facility, they are transported to a centralized fractionation facility for separation into purity NGL products (ethane, propane, normal butane, isobutane and natural gasoline). Typical uses of purity NGL products include the following:</w:t>
      </w:r>
    </w:p>
    <w:p>
      <w:pPr>
        <w:spacing w:after="0" w:line="214" w:lineRule="exact"/>
        <w:rPr>
          <w:sz w:val="20"/>
          <w:szCs w:val="20"/>
          <w:color w:val="auto"/>
        </w:rPr>
      </w:pPr>
    </w:p>
    <w:p>
      <w:pPr>
        <w:ind w:left="500" w:hanging="330"/>
        <w:spacing w:after="0" w:line="198" w:lineRule="auto"/>
        <w:tabs>
          <w:tab w:leader="none" w:pos="50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Ethane is primarily used in the petrochemical industry as a feedstock in the production of ethylene, one of the basic building blocks for a wide range of plastics and other chemical products.</w:t>
      </w:r>
    </w:p>
    <w:p>
      <w:pPr>
        <w:spacing w:after="0" w:line="137" w:lineRule="exact"/>
        <w:rPr>
          <w:rFonts w:ascii="Arial" w:cs="Arial" w:eastAsia="Arial" w:hAnsi="Arial"/>
          <w:sz w:val="29"/>
          <w:szCs w:val="29"/>
          <w:color w:val="auto"/>
          <w:vertAlign w:val="superscript"/>
        </w:rPr>
      </w:pPr>
    </w:p>
    <w:p>
      <w:pPr>
        <w:ind w:left="500" w:hanging="330"/>
        <w:spacing w:after="0"/>
        <w:tabs>
          <w:tab w:leader="none" w:pos="500"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Propane is used for heating, as an engine and industrial fuel, and as a petrochemical feedstock in the production of ethylene and propylene.</w:t>
      </w:r>
    </w:p>
    <w:p>
      <w:pPr>
        <w:spacing w:after="0" w:line="228" w:lineRule="exact"/>
        <w:rPr>
          <w:rFonts w:ascii="Arial" w:cs="Arial" w:eastAsia="Arial" w:hAnsi="Arial"/>
          <w:sz w:val="28"/>
          <w:szCs w:val="28"/>
          <w:color w:val="auto"/>
          <w:vertAlign w:val="superscript"/>
        </w:rPr>
      </w:pPr>
    </w:p>
    <w:p>
      <w:pPr>
        <w:ind w:left="500" w:hanging="330"/>
        <w:spacing w:after="0" w:line="198" w:lineRule="auto"/>
        <w:tabs>
          <w:tab w:leader="none" w:pos="50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Normal butane is used as a petrochemical feedstock in the production of ethylene and butadiene (a key ingredient of synthetic rubber), as a blendstock for motor gasoline, and to produce isobutane through isomerization.</w:t>
      </w:r>
    </w:p>
    <w:p>
      <w:pPr>
        <w:spacing w:after="0" w:line="229" w:lineRule="exact"/>
        <w:rPr>
          <w:rFonts w:ascii="Arial" w:cs="Arial" w:eastAsia="Arial" w:hAnsi="Arial"/>
          <w:sz w:val="29"/>
          <w:szCs w:val="29"/>
          <w:color w:val="auto"/>
          <w:vertAlign w:val="superscript"/>
        </w:rPr>
      </w:pPr>
    </w:p>
    <w:p>
      <w:pPr>
        <w:jc w:val="both"/>
        <w:ind w:left="500" w:hanging="330"/>
        <w:spacing w:after="0" w:line="212" w:lineRule="auto"/>
        <w:tabs>
          <w:tab w:leader="none" w:pos="50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Isobutane is fractionated from mixed butane (a mixed stream of normal butane and isobutane) or produced from normal butane through the process of isomerization, and is used in refinery alkylation to enhance the octane content of motor gasoline, in the production of isooctane and other octane additives, and in the production of propylene oxide.</w:t>
      </w:r>
    </w:p>
    <w:p>
      <w:pPr>
        <w:spacing w:after="0" w:line="231" w:lineRule="exact"/>
        <w:rPr>
          <w:rFonts w:ascii="Arial" w:cs="Arial" w:eastAsia="Arial" w:hAnsi="Arial"/>
          <w:sz w:val="29"/>
          <w:szCs w:val="29"/>
          <w:color w:val="auto"/>
          <w:vertAlign w:val="superscript"/>
        </w:rPr>
      </w:pPr>
    </w:p>
    <w:p>
      <w:pPr>
        <w:ind w:left="500" w:hanging="330"/>
        <w:spacing w:after="0" w:line="198" w:lineRule="auto"/>
        <w:tabs>
          <w:tab w:leader="none" w:pos="50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Natural gasoline, a mixture of pentanes and heavier hydrocarbons, is primarily used as a blendstock for motor gasoline, diluent in crude oil to aid in transportation, and as a petrochemical feedstock.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natural gas processing business, contracts are either fee-based, commodity-based or a combination of the two. When a cash fee for natural gas processing services is stipulated by a contract, we record revenue when a producer’s natural gas has been processed and redelivered. Our commodity-based contracts include keepwhole, margin-band, percent-of-liquids, percent-of-proceeds and contracts featuring a combination of commodity and fee-based terms. To the extent we earn all or a portion of the extracted NGLs as consideration for our processing services, we refer to such volumes as our “equity NGL production.” The terms of our natural gas processing agreements typically range from month-to-month to life of the associated production lease, with intermediate terms of one to ten years being common.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recent years, our portfolio of natural gas processing contracts has become increasingly weighted towards those with fee-based terms as producers seek to maximize the value of their production by retaining all or a portion of the NGLs extracted from their natural gas stream. As of December 31, 2019, we estimate that approximately 53% of our portfolio of natural gas processing contracts (based on natural gas inlet volumes) were entirely fee-based, with an additional 21% of this portfolio reflecting a combination of fee-based and commodity-based terms. The terms of the remaining 26% of our portfolio of natural gas processing contracts were entirely commodity-based.</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value of natural gas that is removed from the processed stream as a result of NGL extraction (i.e., the “shrinkage”) and the value of natural gas that is consumed as plant fuel are significant costs of natural gas processing. To the extent that we are obligated under keepwhole and margin-band contracts to compensate the producer for shrinkage and plant fuel, we are exposed to fluctuations in the price of natural gas; however, margin-band contracts typically contain terms that limit our exposure to such risks. Under the terms of our other processing arrangements (i.e., those agreements with fee-based, percent-of-liquids and percent-of-proceeds terms), the producer typically bears the cost of shrinkage. If the operating costs of a natural gas processing facility are higher than the incremental value of the NGL products that would be extracted, then recovery levels of certain NGL products, principally ethane, may be purposefully reduced. This scenario is typically referred to as “ethane rejection” and leads to a reduction in NGL volumes available for subsequent transportation, fractionation, storage and marketing.</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NGL marketing activities entail spot and term sales of NGLs that we take title to through our natural gas processing activities (i.e., our equity NGL production) and open market and contract purchases. The results of operations for NGL marketing are primarily dependent on the difference between NGL sales prices and the associated purchase and other costs, including those costs attributable to the use of our other assets. In general, sales prices referenced in the underlying contracts are market-based and may include pricing adjustments for factors such as location, timing or product quality. Market prices for NGLs are subject to fluctuations in response to changes in supply and demand and a variety of additional factors that are beyond our control. We attempt to mitigate these price risks through the use of commodity derivative instruments. For a discussion of our commodity hedging program, see Part II, Item 7A of this annual report.</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NGL marketing activities utilize a fleet of approximately 850 railcars, the majority of which are leased from third parties. These railcars are used to deliver feedstocks to our facilities and to distribute NGLs throughout the U.S. and parts of Canada. We have rail loading and unloading capabilities at certain of our terminal facilities in Arizona, Kansas, Louisiana, Minnesota, Mississippi, New York, North Carolina and Texas. These facilities service both our rail shipments and those of our customers. Our NGL marketing activities also utilize a fleet of approximately 90 tractor-trailer tank trucks that are used to transport LPG for us and on behalf of third parties. We lease and operate the majority of these trucks and trailers.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information regarding our natural gas processing facilities at February 1,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tcPr>
          <w:p>
            <w:pPr>
              <w:jc w:val="center"/>
              <w:ind w:right="188"/>
              <w:spacing w:after="0"/>
              <w:rPr>
                <w:sz w:val="20"/>
                <w:szCs w:val="20"/>
                <w:color w:val="auto"/>
              </w:rPr>
            </w:pPr>
            <w:r>
              <w:rPr>
                <w:rFonts w:ascii="Arial" w:cs="Arial" w:eastAsia="Arial" w:hAnsi="Arial"/>
                <w:sz w:val="14"/>
                <w:szCs w:val="14"/>
                <w:b w:val="1"/>
                <w:bCs w:val="1"/>
                <w:color w:val="auto"/>
                <w:w w:val="90"/>
              </w:rPr>
              <w:t>Total Gas</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Net Gas</w:t>
            </w:r>
          </w:p>
        </w:tc>
        <w:tc>
          <w:tcPr>
            <w:tcW w:w="640" w:type="dxa"/>
            <w:vAlign w:val="bottom"/>
          </w:tcPr>
          <w:p>
            <w:pPr>
              <w:spacing w:after="0"/>
              <w:rPr>
                <w:sz w:val="18"/>
                <w:szCs w:val="18"/>
                <w:color w:val="auto"/>
              </w:rPr>
            </w:pPr>
          </w:p>
        </w:tc>
        <w:tc>
          <w:tcPr>
            <w:tcW w:w="1440" w:type="dxa"/>
            <w:vAlign w:val="bottom"/>
          </w:tcPr>
          <w:p>
            <w:pPr>
              <w:jc w:val="center"/>
              <w:ind w:right="188"/>
              <w:spacing w:after="0"/>
              <w:rPr>
                <w:sz w:val="20"/>
                <w:szCs w:val="20"/>
                <w:color w:val="auto"/>
              </w:rPr>
            </w:pPr>
            <w:r>
              <w:rPr>
                <w:rFonts w:ascii="Arial" w:cs="Arial" w:eastAsia="Arial" w:hAnsi="Arial"/>
                <w:sz w:val="14"/>
                <w:szCs w:val="14"/>
                <w:b w:val="1"/>
                <w:bCs w:val="1"/>
                <w:color w:val="auto"/>
                <w:w w:val="87"/>
              </w:rPr>
              <w:t>Processing</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920" w:type="dxa"/>
            <w:vAlign w:val="bottom"/>
          </w:tcPr>
          <w:p>
            <w:pPr>
              <w:ind w:left="920"/>
              <w:spacing w:after="0"/>
              <w:rPr>
                <w:sz w:val="20"/>
                <w:szCs w:val="20"/>
                <w:color w:val="auto"/>
              </w:rPr>
            </w:pPr>
            <w:r>
              <w:rPr>
                <w:rFonts w:ascii="Arial" w:cs="Arial" w:eastAsia="Arial" w:hAnsi="Arial"/>
                <w:sz w:val="14"/>
                <w:szCs w:val="14"/>
                <w:b w:val="1"/>
                <w:bCs w:val="1"/>
                <w:color w:val="auto"/>
              </w:rPr>
              <w:t>Production</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jc w:val="center"/>
              <w:ind w:left="288"/>
              <w:spacing w:after="0"/>
              <w:rPr>
                <w:sz w:val="20"/>
                <w:szCs w:val="20"/>
                <w:color w:val="auto"/>
              </w:rPr>
            </w:pPr>
            <w:r>
              <w:rPr>
                <w:rFonts w:ascii="Arial" w:cs="Arial" w:eastAsia="Arial" w:hAnsi="Arial"/>
                <w:sz w:val="14"/>
                <w:szCs w:val="14"/>
                <w:b w:val="1"/>
                <w:bCs w:val="1"/>
                <w:color w:val="auto"/>
                <w:w w:val="87"/>
              </w:rPr>
              <w:t>Processing</w:t>
            </w:r>
          </w:p>
        </w:tc>
        <w:tc>
          <w:tcPr>
            <w:tcW w:w="640" w:type="dxa"/>
            <w:vAlign w:val="bottom"/>
          </w:tcPr>
          <w:p>
            <w:pPr>
              <w:spacing w:after="0"/>
              <w:rPr>
                <w:sz w:val="18"/>
                <w:szCs w:val="18"/>
                <w:color w:val="auto"/>
              </w:rPr>
            </w:pPr>
          </w:p>
        </w:tc>
        <w:tc>
          <w:tcPr>
            <w:tcW w:w="1440" w:type="dxa"/>
            <w:vAlign w:val="bottom"/>
          </w:tcPr>
          <w:p>
            <w:pPr>
              <w:jc w:val="center"/>
              <w:ind w:right="188"/>
              <w:spacing w:after="0"/>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178"/>
        </w:trPr>
        <w:tc>
          <w:tcPr>
            <w:tcW w:w="258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Facility Name</w:t>
            </w:r>
          </w:p>
        </w:tc>
        <w:tc>
          <w:tcPr>
            <w:tcW w:w="180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w w:val="92"/>
              </w:rPr>
              <w:t>Location</w:t>
            </w:r>
          </w:p>
        </w:tc>
        <w:tc>
          <w:tcPr>
            <w:tcW w:w="1920" w:type="dxa"/>
            <w:vAlign w:val="bottom"/>
          </w:tcPr>
          <w:p>
            <w:pPr>
              <w:ind w:left="1040"/>
              <w:spacing w:after="0"/>
              <w:rPr>
                <w:sz w:val="20"/>
                <w:szCs w:val="20"/>
                <w:color w:val="auto"/>
              </w:rPr>
            </w:pPr>
            <w:r>
              <w:rPr>
                <w:rFonts w:ascii="Arial" w:cs="Arial" w:eastAsia="Arial" w:hAnsi="Arial"/>
                <w:sz w:val="14"/>
                <w:szCs w:val="14"/>
                <w:b w:val="1"/>
                <w:bCs w:val="1"/>
                <w:color w:val="auto"/>
              </w:rPr>
              <w:t>Region</w:t>
            </w:r>
          </w:p>
        </w:tc>
        <w:tc>
          <w:tcPr>
            <w:tcW w:w="174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Ownership</w:t>
            </w:r>
          </w:p>
        </w:tc>
        <w:tc>
          <w:tcPr>
            <w:tcW w:w="1300" w:type="dxa"/>
            <w:vAlign w:val="bottom"/>
          </w:tcPr>
          <w:p>
            <w:pPr>
              <w:jc w:val="center"/>
              <w:ind w:left="308"/>
              <w:spacing w:after="0"/>
              <w:rPr>
                <w:sz w:val="20"/>
                <w:szCs w:val="20"/>
                <w:color w:val="auto"/>
              </w:rPr>
            </w:pPr>
            <w:r>
              <w:rPr>
                <w:rFonts w:ascii="Arial" w:cs="Arial" w:eastAsia="Arial" w:hAnsi="Arial"/>
                <w:sz w:val="14"/>
                <w:szCs w:val="14"/>
                <w:b w:val="1"/>
                <w:bCs w:val="1"/>
                <w:color w:val="auto"/>
                <w:w w:val="95"/>
              </w:rPr>
              <w:t>Capacity</w:t>
            </w:r>
          </w:p>
        </w:tc>
        <w:tc>
          <w:tcPr>
            <w:tcW w:w="640" w:type="dxa"/>
            <w:vAlign w:val="bottom"/>
          </w:tcPr>
          <w:p>
            <w:pPr>
              <w:spacing w:after="0"/>
              <w:rPr>
                <w:sz w:val="15"/>
                <w:szCs w:val="15"/>
                <w:color w:val="auto"/>
              </w:rPr>
            </w:pPr>
          </w:p>
        </w:tc>
        <w:tc>
          <w:tcPr>
            <w:tcW w:w="1440" w:type="dxa"/>
            <w:vAlign w:val="bottom"/>
          </w:tcPr>
          <w:p>
            <w:pPr>
              <w:jc w:val="center"/>
              <w:ind w:right="188"/>
              <w:spacing w:after="0"/>
              <w:rPr>
                <w:sz w:val="20"/>
                <w:szCs w:val="20"/>
                <w:color w:val="auto"/>
              </w:rPr>
            </w:pPr>
            <w:r>
              <w:rPr>
                <w:rFonts w:ascii="Arial" w:cs="Arial" w:eastAsia="Arial" w:hAnsi="Arial"/>
                <w:sz w:val="14"/>
                <w:szCs w:val="14"/>
                <w:b w:val="1"/>
                <w:bCs w:val="1"/>
                <w:color w:val="auto"/>
                <w:w w:val="97"/>
              </w:rPr>
              <w:t>of Plant</w:t>
            </w:r>
          </w:p>
        </w:tc>
        <w:tc>
          <w:tcPr>
            <w:tcW w:w="0" w:type="dxa"/>
            <w:vAlign w:val="bottom"/>
          </w:tcPr>
          <w:p>
            <w:pPr>
              <w:spacing w:after="0"/>
              <w:rPr>
                <w:sz w:val="1"/>
                <w:szCs w:val="1"/>
                <w:color w:val="auto"/>
              </w:rPr>
            </w:pPr>
          </w:p>
        </w:tc>
      </w:tr>
      <w:tr>
        <w:trPr>
          <w:trHeight w:val="178"/>
        </w:trPr>
        <w:tc>
          <w:tcPr>
            <w:tcW w:w="2580" w:type="dxa"/>
            <w:vAlign w:val="bottom"/>
            <w:tcBorders>
              <w:bottom w:val="single" w:sz="8" w:color="auto"/>
            </w:tcBorders>
            <w:vMerge w:val="continue"/>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192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Served</w:t>
            </w:r>
          </w:p>
        </w:tc>
        <w:tc>
          <w:tcPr>
            <w:tcW w:w="7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4"/>
              </w:rPr>
              <w:t>Interest</w:t>
            </w:r>
          </w:p>
        </w:tc>
        <w:tc>
          <w:tcPr>
            <w:tcW w:w="130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rPr>
              <w:t xml:space="preserve">(MMcf/d) </w:t>
            </w:r>
            <w:r>
              <w:rPr>
                <w:rFonts w:ascii="Arial" w:cs="Arial" w:eastAsia="Arial" w:hAnsi="Arial"/>
                <w:sz w:val="14"/>
                <w:szCs w:val="14"/>
                <w:color w:val="auto"/>
              </w:rPr>
              <w:t>(1)</w:t>
            </w:r>
          </w:p>
        </w:tc>
        <w:tc>
          <w:tcPr>
            <w:tcW w:w="6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(MMcf/d)</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Meeker</w:t>
            </w:r>
          </w:p>
        </w:tc>
        <w:tc>
          <w:tcPr>
            <w:tcW w:w="1800" w:type="dxa"/>
            <w:vAlign w:val="bottom"/>
            <w:shd w:val="clear" w:color="auto" w:fill="CCEEFF"/>
          </w:tcPr>
          <w:p>
            <w:pPr>
              <w:jc w:val="center"/>
              <w:ind w:left="408"/>
              <w:spacing w:after="0" w:line="149" w:lineRule="exact"/>
              <w:rPr>
                <w:sz w:val="20"/>
                <w:szCs w:val="20"/>
                <w:color w:val="auto"/>
              </w:rPr>
            </w:pPr>
            <w:r>
              <w:rPr>
                <w:rFonts w:ascii="Arial" w:cs="Arial" w:eastAsia="Arial" w:hAnsi="Arial"/>
                <w:sz w:val="14"/>
                <w:szCs w:val="14"/>
                <w:color w:val="auto"/>
                <w:w w:val="91"/>
              </w:rPr>
              <w:t>Colorado</w:t>
            </w:r>
          </w:p>
        </w:tc>
        <w:tc>
          <w:tcPr>
            <w:tcW w:w="19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Piceance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9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1,800</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w:t>
            </w:r>
          </w:p>
        </w:tc>
        <w:tc>
          <w:tcPr>
            <w:tcW w:w="0" w:type="dxa"/>
            <w:vAlign w:val="bottom"/>
          </w:tcPr>
          <w:p>
            <w:pPr>
              <w:spacing w:after="0"/>
              <w:rPr>
                <w:sz w:val="1"/>
                <w:szCs w:val="1"/>
                <w:color w:val="auto"/>
              </w:rPr>
            </w:pPr>
          </w:p>
        </w:tc>
      </w:tr>
      <w:tr>
        <w:trPr>
          <w:trHeight w:val="149"/>
        </w:trPr>
        <w:tc>
          <w:tcPr>
            <w:tcW w:w="2580" w:type="dxa"/>
            <w:vAlign w:val="bottom"/>
          </w:tcPr>
          <w:p>
            <w:pPr>
              <w:ind w:left="20"/>
              <w:spacing w:after="0" w:line="149" w:lineRule="exact"/>
              <w:rPr>
                <w:sz w:val="20"/>
                <w:szCs w:val="20"/>
                <w:color w:val="auto"/>
              </w:rPr>
            </w:pPr>
            <w:r>
              <w:rPr>
                <w:rFonts w:ascii="Arial" w:cs="Arial" w:eastAsia="Arial" w:hAnsi="Arial"/>
                <w:sz w:val="14"/>
                <w:szCs w:val="14"/>
                <w:color w:val="auto"/>
              </w:rPr>
              <w:t>Pioneer</w:t>
            </w:r>
          </w:p>
        </w:tc>
        <w:tc>
          <w:tcPr>
            <w:tcW w:w="1800" w:type="dxa"/>
            <w:vAlign w:val="bottom"/>
          </w:tcPr>
          <w:p>
            <w:pPr>
              <w:jc w:val="center"/>
              <w:ind w:left="408"/>
              <w:spacing w:after="0" w:line="149" w:lineRule="exact"/>
              <w:rPr>
                <w:sz w:val="20"/>
                <w:szCs w:val="20"/>
                <w:color w:val="auto"/>
              </w:rPr>
            </w:pPr>
            <w:r>
              <w:rPr>
                <w:rFonts w:ascii="Arial" w:cs="Arial" w:eastAsia="Arial" w:hAnsi="Arial"/>
                <w:sz w:val="14"/>
                <w:szCs w:val="14"/>
                <w:color w:val="auto"/>
                <w:w w:val="95"/>
              </w:rPr>
              <w:t>Wyoming</w:t>
            </w:r>
          </w:p>
        </w:tc>
        <w:tc>
          <w:tcPr>
            <w:tcW w:w="1920" w:type="dxa"/>
            <w:vAlign w:val="bottom"/>
          </w:tcPr>
          <w:p>
            <w:pPr>
              <w:ind w:left="300"/>
              <w:spacing w:after="0" w:line="149" w:lineRule="exact"/>
              <w:rPr>
                <w:sz w:val="20"/>
                <w:szCs w:val="20"/>
                <w:color w:val="auto"/>
              </w:rPr>
            </w:pPr>
            <w:r>
              <w:rPr>
                <w:rFonts w:ascii="Arial" w:cs="Arial" w:eastAsia="Arial" w:hAnsi="Arial"/>
                <w:sz w:val="14"/>
                <w:szCs w:val="14"/>
                <w:color w:val="auto"/>
              </w:rPr>
              <w:t>Green River</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1,400</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Yoakum</w:t>
            </w:r>
          </w:p>
        </w:tc>
        <w:tc>
          <w:tcPr>
            <w:tcW w:w="1800" w:type="dxa"/>
            <w:vAlign w:val="bottom"/>
            <w:shd w:val="clear" w:color="auto" w:fill="CCEEFF"/>
          </w:tcPr>
          <w:p>
            <w:pPr>
              <w:jc w:val="center"/>
              <w:ind w:left="408"/>
              <w:spacing w:after="0" w:line="149" w:lineRule="exact"/>
              <w:rPr>
                <w:sz w:val="20"/>
                <w:szCs w:val="20"/>
                <w:color w:val="auto"/>
              </w:rPr>
            </w:pPr>
            <w:r>
              <w:rPr>
                <w:rFonts w:ascii="Arial" w:cs="Arial" w:eastAsia="Arial" w:hAnsi="Arial"/>
                <w:sz w:val="14"/>
                <w:szCs w:val="14"/>
                <w:color w:val="auto"/>
                <w:w w:val="83"/>
              </w:rPr>
              <w:t>Texas</w:t>
            </w:r>
          </w:p>
        </w:tc>
        <w:tc>
          <w:tcPr>
            <w:tcW w:w="19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Eagle Ford</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9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1,050</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149"/>
        </w:trPr>
        <w:tc>
          <w:tcPr>
            <w:tcW w:w="2580" w:type="dxa"/>
            <w:vAlign w:val="bottom"/>
          </w:tcPr>
          <w:p>
            <w:pPr>
              <w:ind w:left="20"/>
              <w:spacing w:after="0" w:line="149" w:lineRule="exact"/>
              <w:rPr>
                <w:sz w:val="20"/>
                <w:szCs w:val="20"/>
                <w:color w:val="auto"/>
              </w:rPr>
            </w:pPr>
            <w:r>
              <w:rPr>
                <w:rFonts w:ascii="Arial" w:cs="Arial" w:eastAsia="Arial" w:hAnsi="Arial"/>
                <w:sz w:val="14"/>
                <w:szCs w:val="14"/>
                <w:color w:val="auto"/>
              </w:rPr>
              <w:t>Pascagoula</w:t>
            </w:r>
          </w:p>
        </w:tc>
        <w:tc>
          <w:tcPr>
            <w:tcW w:w="1800" w:type="dxa"/>
            <w:vAlign w:val="bottom"/>
          </w:tcPr>
          <w:p>
            <w:pPr>
              <w:jc w:val="center"/>
              <w:ind w:left="428"/>
              <w:spacing w:after="0" w:line="149" w:lineRule="exact"/>
              <w:rPr>
                <w:sz w:val="20"/>
                <w:szCs w:val="20"/>
                <w:color w:val="auto"/>
              </w:rPr>
            </w:pPr>
            <w:r>
              <w:rPr>
                <w:rFonts w:ascii="Arial" w:cs="Arial" w:eastAsia="Arial" w:hAnsi="Arial"/>
                <w:sz w:val="14"/>
                <w:szCs w:val="14"/>
                <w:color w:val="auto"/>
                <w:w w:val="97"/>
              </w:rPr>
              <w:t>Mississippi</w:t>
            </w:r>
          </w:p>
        </w:tc>
        <w:tc>
          <w:tcPr>
            <w:tcW w:w="1920" w:type="dxa"/>
            <w:vAlign w:val="bottom"/>
          </w:tcPr>
          <w:p>
            <w:pPr>
              <w:ind w:left="300"/>
              <w:spacing w:after="0" w:line="149" w:lineRule="exact"/>
              <w:rPr>
                <w:sz w:val="20"/>
                <w:szCs w:val="20"/>
                <w:color w:val="auto"/>
              </w:rPr>
            </w:pPr>
            <w:r>
              <w:rPr>
                <w:rFonts w:ascii="Arial" w:cs="Arial" w:eastAsia="Arial" w:hAnsi="Arial"/>
                <w:sz w:val="14"/>
                <w:szCs w:val="14"/>
                <w:color w:val="auto"/>
              </w:rPr>
              <w:t>Gulf of Mexico</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980" w:type="dxa"/>
            <w:vAlign w:val="bottom"/>
          </w:tcPr>
          <w:p>
            <w:pPr>
              <w:jc w:val="right"/>
              <w:ind w:right="648"/>
              <w:spacing w:after="0" w:line="149" w:lineRule="exact"/>
              <w:rPr>
                <w:sz w:val="20"/>
                <w:szCs w:val="20"/>
                <w:color w:val="auto"/>
              </w:rPr>
            </w:pPr>
            <w:r>
              <w:rPr>
                <w:rFonts w:ascii="Arial" w:cs="Arial" w:eastAsia="Arial" w:hAnsi="Arial"/>
                <w:sz w:val="14"/>
                <w:szCs w:val="14"/>
                <w:color w:val="auto"/>
              </w:rPr>
              <w:t>(2)</w:t>
            </w:r>
          </w:p>
        </w:tc>
        <w:tc>
          <w:tcPr>
            <w:tcW w:w="1300" w:type="dxa"/>
            <w:vAlign w:val="bottom"/>
          </w:tcPr>
          <w:p>
            <w:pPr>
              <w:spacing w:after="0"/>
              <w:rPr>
                <w:sz w:val="12"/>
                <w:szCs w:val="12"/>
                <w:color w:val="auto"/>
              </w:rPr>
            </w:pPr>
          </w:p>
        </w:tc>
        <w:tc>
          <w:tcPr>
            <w:tcW w:w="6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750</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Chaco</w:t>
            </w:r>
          </w:p>
        </w:tc>
        <w:tc>
          <w:tcPr>
            <w:tcW w:w="1800" w:type="dxa"/>
            <w:vAlign w:val="bottom"/>
            <w:shd w:val="clear" w:color="auto" w:fill="CCEEFF"/>
          </w:tcPr>
          <w:p>
            <w:pPr>
              <w:jc w:val="center"/>
              <w:ind w:left="408"/>
              <w:spacing w:after="0" w:line="149" w:lineRule="exact"/>
              <w:rPr>
                <w:sz w:val="20"/>
                <w:szCs w:val="20"/>
                <w:color w:val="auto"/>
              </w:rPr>
            </w:pPr>
            <w:r>
              <w:rPr>
                <w:rFonts w:ascii="Arial" w:cs="Arial" w:eastAsia="Arial" w:hAnsi="Arial"/>
                <w:sz w:val="14"/>
                <w:szCs w:val="14"/>
                <w:color w:val="auto"/>
                <w:w w:val="99"/>
              </w:rPr>
              <w:t>New Mexico</w:t>
            </w:r>
          </w:p>
        </w:tc>
        <w:tc>
          <w:tcPr>
            <w:tcW w:w="19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San Juan</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9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600</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49"/>
        </w:trPr>
        <w:tc>
          <w:tcPr>
            <w:tcW w:w="2580" w:type="dxa"/>
            <w:vAlign w:val="bottom"/>
          </w:tcPr>
          <w:p>
            <w:pPr>
              <w:ind w:left="20"/>
              <w:spacing w:after="0" w:line="149" w:lineRule="exact"/>
              <w:rPr>
                <w:sz w:val="20"/>
                <w:szCs w:val="20"/>
                <w:color w:val="auto"/>
              </w:rPr>
            </w:pPr>
            <w:r>
              <w:rPr>
                <w:rFonts w:ascii="Arial" w:cs="Arial" w:eastAsia="Arial" w:hAnsi="Arial"/>
                <w:sz w:val="14"/>
                <w:szCs w:val="14"/>
                <w:color w:val="auto"/>
              </w:rPr>
              <w:t>Orla</w:t>
            </w:r>
          </w:p>
        </w:tc>
        <w:tc>
          <w:tcPr>
            <w:tcW w:w="1800" w:type="dxa"/>
            <w:vAlign w:val="bottom"/>
          </w:tcPr>
          <w:p>
            <w:pPr>
              <w:jc w:val="center"/>
              <w:ind w:left="408"/>
              <w:spacing w:after="0" w:line="149" w:lineRule="exact"/>
              <w:rPr>
                <w:sz w:val="20"/>
                <w:szCs w:val="20"/>
                <w:color w:val="auto"/>
              </w:rPr>
            </w:pPr>
            <w:r>
              <w:rPr>
                <w:rFonts w:ascii="Arial" w:cs="Arial" w:eastAsia="Arial" w:hAnsi="Arial"/>
                <w:sz w:val="14"/>
                <w:szCs w:val="14"/>
                <w:color w:val="auto"/>
                <w:w w:val="83"/>
              </w:rPr>
              <w:t>Texas</w:t>
            </w:r>
          </w:p>
        </w:tc>
        <w:tc>
          <w:tcPr>
            <w:tcW w:w="1920" w:type="dxa"/>
            <w:vAlign w:val="bottom"/>
          </w:tcPr>
          <w:p>
            <w:pPr>
              <w:ind w:left="300"/>
              <w:spacing w:after="0" w:line="149" w:lineRule="exact"/>
              <w:rPr>
                <w:sz w:val="20"/>
                <w:szCs w:val="20"/>
                <w:color w:val="auto"/>
              </w:rPr>
            </w:pPr>
            <w:r>
              <w:rPr>
                <w:rFonts w:ascii="Arial" w:cs="Arial" w:eastAsia="Arial" w:hAnsi="Arial"/>
                <w:sz w:val="14"/>
                <w:szCs w:val="14"/>
                <w:color w:val="auto"/>
              </w:rPr>
              <w:t>Delaware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900</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Neptune</w:t>
            </w:r>
          </w:p>
        </w:tc>
        <w:tc>
          <w:tcPr>
            <w:tcW w:w="1800" w:type="dxa"/>
            <w:vAlign w:val="bottom"/>
            <w:shd w:val="clear" w:color="auto" w:fill="CCEEFF"/>
          </w:tcPr>
          <w:p>
            <w:pPr>
              <w:jc w:val="center"/>
              <w:ind w:left="408"/>
              <w:spacing w:after="0" w:line="149" w:lineRule="exact"/>
              <w:rPr>
                <w:sz w:val="20"/>
                <w:szCs w:val="20"/>
                <w:color w:val="auto"/>
              </w:rPr>
            </w:pPr>
            <w:r>
              <w:rPr>
                <w:rFonts w:ascii="Arial" w:cs="Arial" w:eastAsia="Arial" w:hAnsi="Arial"/>
                <w:sz w:val="14"/>
                <w:szCs w:val="14"/>
                <w:color w:val="auto"/>
                <w:w w:val="93"/>
              </w:rPr>
              <w:t>Louisiana</w:t>
            </w:r>
          </w:p>
        </w:tc>
        <w:tc>
          <w:tcPr>
            <w:tcW w:w="19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Gulf of Mexico</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w:t>
            </w:r>
          </w:p>
        </w:tc>
        <w:tc>
          <w:tcPr>
            <w:tcW w:w="980" w:type="dxa"/>
            <w:vAlign w:val="bottom"/>
            <w:shd w:val="clear" w:color="auto" w:fill="CCEEFF"/>
          </w:tcPr>
          <w:p>
            <w:pPr>
              <w:jc w:val="right"/>
              <w:ind w:right="648"/>
              <w:spacing w:after="0" w:line="149" w:lineRule="exact"/>
              <w:rPr>
                <w:sz w:val="20"/>
                <w:szCs w:val="20"/>
                <w:color w:val="auto"/>
              </w:rPr>
            </w:pPr>
            <w:r>
              <w:rPr>
                <w:rFonts w:ascii="Arial" w:cs="Arial" w:eastAsia="Arial" w:hAnsi="Arial"/>
                <w:sz w:val="14"/>
                <w:szCs w:val="14"/>
                <w:color w:val="auto"/>
              </w:rPr>
              <w:t>(3)</w:t>
            </w:r>
          </w:p>
        </w:tc>
        <w:tc>
          <w:tcPr>
            <w:tcW w:w="13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430</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149"/>
        </w:trPr>
        <w:tc>
          <w:tcPr>
            <w:tcW w:w="2580" w:type="dxa"/>
            <w:vAlign w:val="bottom"/>
          </w:tcPr>
          <w:p>
            <w:pPr>
              <w:ind w:left="20"/>
              <w:spacing w:after="0" w:line="149" w:lineRule="exact"/>
              <w:rPr>
                <w:sz w:val="20"/>
                <w:szCs w:val="20"/>
                <w:color w:val="auto"/>
              </w:rPr>
            </w:pPr>
            <w:r>
              <w:rPr>
                <w:rFonts w:ascii="Arial" w:cs="Arial" w:eastAsia="Arial" w:hAnsi="Arial"/>
                <w:sz w:val="14"/>
                <w:szCs w:val="14"/>
                <w:color w:val="auto"/>
              </w:rPr>
              <w:t>Sea Robin</w:t>
            </w:r>
          </w:p>
        </w:tc>
        <w:tc>
          <w:tcPr>
            <w:tcW w:w="1800" w:type="dxa"/>
            <w:vAlign w:val="bottom"/>
          </w:tcPr>
          <w:p>
            <w:pPr>
              <w:jc w:val="center"/>
              <w:ind w:left="408"/>
              <w:spacing w:after="0" w:line="149" w:lineRule="exact"/>
              <w:rPr>
                <w:sz w:val="20"/>
                <w:szCs w:val="20"/>
                <w:color w:val="auto"/>
              </w:rPr>
            </w:pPr>
            <w:r>
              <w:rPr>
                <w:rFonts w:ascii="Arial" w:cs="Arial" w:eastAsia="Arial" w:hAnsi="Arial"/>
                <w:sz w:val="14"/>
                <w:szCs w:val="14"/>
                <w:color w:val="auto"/>
                <w:w w:val="93"/>
              </w:rPr>
              <w:t>Louisiana</w:t>
            </w:r>
          </w:p>
        </w:tc>
        <w:tc>
          <w:tcPr>
            <w:tcW w:w="1920" w:type="dxa"/>
            <w:vAlign w:val="bottom"/>
          </w:tcPr>
          <w:p>
            <w:pPr>
              <w:ind w:left="300"/>
              <w:spacing w:after="0" w:line="149" w:lineRule="exact"/>
              <w:rPr>
                <w:sz w:val="20"/>
                <w:szCs w:val="20"/>
                <w:color w:val="auto"/>
              </w:rPr>
            </w:pPr>
            <w:r>
              <w:rPr>
                <w:rFonts w:ascii="Arial" w:cs="Arial" w:eastAsia="Arial" w:hAnsi="Arial"/>
                <w:sz w:val="14"/>
                <w:szCs w:val="14"/>
                <w:color w:val="auto"/>
              </w:rPr>
              <w:t>Gulf of Mexico</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54.1%</w:t>
            </w:r>
          </w:p>
        </w:tc>
        <w:tc>
          <w:tcPr>
            <w:tcW w:w="980" w:type="dxa"/>
            <w:vAlign w:val="bottom"/>
          </w:tcPr>
          <w:p>
            <w:pPr>
              <w:jc w:val="right"/>
              <w:ind w:right="648"/>
              <w:spacing w:after="0" w:line="149" w:lineRule="exact"/>
              <w:rPr>
                <w:sz w:val="20"/>
                <w:szCs w:val="20"/>
                <w:color w:val="auto"/>
              </w:rPr>
            </w:pPr>
            <w:r>
              <w:rPr>
                <w:rFonts w:ascii="Arial" w:cs="Arial" w:eastAsia="Arial" w:hAnsi="Arial"/>
                <w:sz w:val="14"/>
                <w:szCs w:val="14"/>
                <w:color w:val="auto"/>
              </w:rPr>
              <w:t>(3)</w:t>
            </w:r>
          </w:p>
        </w:tc>
        <w:tc>
          <w:tcPr>
            <w:tcW w:w="1300" w:type="dxa"/>
            <w:vAlign w:val="bottom"/>
          </w:tcPr>
          <w:p>
            <w:pPr>
              <w:spacing w:after="0"/>
              <w:rPr>
                <w:sz w:val="12"/>
                <w:szCs w:val="12"/>
                <w:color w:val="auto"/>
              </w:rPr>
            </w:pPr>
          </w:p>
        </w:tc>
        <w:tc>
          <w:tcPr>
            <w:tcW w:w="6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352</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Thompsonville</w:t>
            </w:r>
          </w:p>
        </w:tc>
        <w:tc>
          <w:tcPr>
            <w:tcW w:w="1800" w:type="dxa"/>
            <w:vAlign w:val="bottom"/>
            <w:shd w:val="clear" w:color="auto" w:fill="CCEEFF"/>
          </w:tcPr>
          <w:p>
            <w:pPr>
              <w:jc w:val="center"/>
              <w:ind w:left="408"/>
              <w:spacing w:after="0" w:line="149" w:lineRule="exact"/>
              <w:rPr>
                <w:sz w:val="20"/>
                <w:szCs w:val="20"/>
                <w:color w:val="auto"/>
              </w:rPr>
            </w:pPr>
            <w:r>
              <w:rPr>
                <w:rFonts w:ascii="Arial" w:cs="Arial" w:eastAsia="Arial" w:hAnsi="Arial"/>
                <w:sz w:val="14"/>
                <w:szCs w:val="14"/>
                <w:color w:val="auto"/>
                <w:w w:val="83"/>
              </w:rPr>
              <w:t>Texas</w:t>
            </w:r>
          </w:p>
        </w:tc>
        <w:tc>
          <w:tcPr>
            <w:tcW w:w="19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Eagle Ford</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9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330</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49"/>
        </w:trPr>
        <w:tc>
          <w:tcPr>
            <w:tcW w:w="2580" w:type="dxa"/>
            <w:vAlign w:val="bottom"/>
          </w:tcPr>
          <w:p>
            <w:pPr>
              <w:ind w:left="20"/>
              <w:spacing w:after="0" w:line="149" w:lineRule="exact"/>
              <w:rPr>
                <w:sz w:val="20"/>
                <w:szCs w:val="20"/>
                <w:color w:val="auto"/>
              </w:rPr>
            </w:pPr>
            <w:r>
              <w:rPr>
                <w:rFonts w:ascii="Arial" w:cs="Arial" w:eastAsia="Arial" w:hAnsi="Arial"/>
                <w:sz w:val="14"/>
                <w:szCs w:val="14"/>
                <w:color w:val="auto"/>
              </w:rPr>
              <w:t>Carthage (4)</w:t>
            </w:r>
          </w:p>
        </w:tc>
        <w:tc>
          <w:tcPr>
            <w:tcW w:w="1800" w:type="dxa"/>
            <w:vAlign w:val="bottom"/>
          </w:tcPr>
          <w:p>
            <w:pPr>
              <w:jc w:val="center"/>
              <w:ind w:left="408"/>
              <w:spacing w:after="0" w:line="149" w:lineRule="exact"/>
              <w:rPr>
                <w:sz w:val="20"/>
                <w:szCs w:val="20"/>
                <w:color w:val="auto"/>
              </w:rPr>
            </w:pPr>
            <w:r>
              <w:rPr>
                <w:rFonts w:ascii="Arial" w:cs="Arial" w:eastAsia="Arial" w:hAnsi="Arial"/>
                <w:sz w:val="14"/>
                <w:szCs w:val="14"/>
                <w:color w:val="auto"/>
                <w:w w:val="83"/>
              </w:rPr>
              <w:t>Texas</w:t>
            </w:r>
          </w:p>
        </w:tc>
        <w:tc>
          <w:tcPr>
            <w:tcW w:w="1920" w:type="dxa"/>
            <w:vAlign w:val="bottom"/>
          </w:tcPr>
          <w:p>
            <w:pPr>
              <w:ind w:left="300"/>
              <w:spacing w:after="0" w:line="149" w:lineRule="exact"/>
              <w:rPr>
                <w:sz w:val="20"/>
                <w:szCs w:val="20"/>
                <w:color w:val="auto"/>
              </w:rPr>
            </w:pPr>
            <w:r>
              <w:rPr>
                <w:rFonts w:ascii="Arial" w:cs="Arial" w:eastAsia="Arial" w:hAnsi="Arial"/>
                <w:sz w:val="14"/>
                <w:szCs w:val="14"/>
                <w:color w:val="auto"/>
              </w:rPr>
              <w:t>Cotton Valley</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320</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Mentone</w:t>
            </w:r>
          </w:p>
        </w:tc>
        <w:tc>
          <w:tcPr>
            <w:tcW w:w="1800" w:type="dxa"/>
            <w:vAlign w:val="bottom"/>
            <w:shd w:val="clear" w:color="auto" w:fill="CCEEFF"/>
          </w:tcPr>
          <w:p>
            <w:pPr>
              <w:jc w:val="center"/>
              <w:ind w:left="408"/>
              <w:spacing w:after="0" w:line="149" w:lineRule="exact"/>
              <w:rPr>
                <w:sz w:val="20"/>
                <w:szCs w:val="20"/>
                <w:color w:val="auto"/>
              </w:rPr>
            </w:pPr>
            <w:r>
              <w:rPr>
                <w:rFonts w:ascii="Arial" w:cs="Arial" w:eastAsia="Arial" w:hAnsi="Arial"/>
                <w:sz w:val="14"/>
                <w:szCs w:val="14"/>
                <w:color w:val="auto"/>
                <w:w w:val="83"/>
              </w:rPr>
              <w:t>Texas</w:t>
            </w:r>
          </w:p>
        </w:tc>
        <w:tc>
          <w:tcPr>
            <w:tcW w:w="19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Delaware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9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300</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580" w:type="dxa"/>
            <w:vAlign w:val="bottom"/>
          </w:tcPr>
          <w:p>
            <w:pPr>
              <w:ind w:left="20"/>
              <w:spacing w:after="0" w:line="149" w:lineRule="exact"/>
              <w:rPr>
                <w:sz w:val="20"/>
                <w:szCs w:val="20"/>
                <w:color w:val="auto"/>
              </w:rPr>
            </w:pPr>
            <w:r>
              <w:rPr>
                <w:rFonts w:ascii="Arial" w:cs="Arial" w:eastAsia="Arial" w:hAnsi="Arial"/>
                <w:sz w:val="14"/>
                <w:szCs w:val="14"/>
                <w:color w:val="auto"/>
              </w:rPr>
              <w:t>Shoup</w:t>
            </w:r>
          </w:p>
        </w:tc>
        <w:tc>
          <w:tcPr>
            <w:tcW w:w="1800" w:type="dxa"/>
            <w:vAlign w:val="bottom"/>
          </w:tcPr>
          <w:p>
            <w:pPr>
              <w:jc w:val="center"/>
              <w:ind w:left="408"/>
              <w:spacing w:after="0" w:line="149" w:lineRule="exact"/>
              <w:rPr>
                <w:sz w:val="20"/>
                <w:szCs w:val="20"/>
                <w:color w:val="auto"/>
              </w:rPr>
            </w:pPr>
            <w:r>
              <w:rPr>
                <w:rFonts w:ascii="Arial" w:cs="Arial" w:eastAsia="Arial" w:hAnsi="Arial"/>
                <w:sz w:val="14"/>
                <w:szCs w:val="14"/>
                <w:color w:val="auto"/>
                <w:w w:val="83"/>
              </w:rPr>
              <w:t>Texas</w:t>
            </w:r>
          </w:p>
        </w:tc>
        <w:tc>
          <w:tcPr>
            <w:tcW w:w="1920" w:type="dxa"/>
            <w:vAlign w:val="bottom"/>
          </w:tcPr>
          <w:p>
            <w:pPr>
              <w:ind w:left="300"/>
              <w:spacing w:after="0" w:line="149" w:lineRule="exact"/>
              <w:rPr>
                <w:sz w:val="20"/>
                <w:szCs w:val="20"/>
                <w:color w:val="auto"/>
              </w:rPr>
            </w:pPr>
            <w:r>
              <w:rPr>
                <w:rFonts w:ascii="Arial" w:cs="Arial" w:eastAsia="Arial" w:hAnsi="Arial"/>
                <w:sz w:val="14"/>
                <w:szCs w:val="14"/>
                <w:color w:val="auto"/>
              </w:rPr>
              <w:t>Eagle Ford</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280</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Armstrong</w:t>
            </w:r>
          </w:p>
        </w:tc>
        <w:tc>
          <w:tcPr>
            <w:tcW w:w="1800" w:type="dxa"/>
            <w:vAlign w:val="bottom"/>
            <w:shd w:val="clear" w:color="auto" w:fill="CCEEFF"/>
          </w:tcPr>
          <w:p>
            <w:pPr>
              <w:jc w:val="center"/>
              <w:ind w:left="408"/>
              <w:spacing w:after="0" w:line="149" w:lineRule="exact"/>
              <w:rPr>
                <w:sz w:val="20"/>
                <w:szCs w:val="20"/>
                <w:color w:val="auto"/>
              </w:rPr>
            </w:pPr>
            <w:r>
              <w:rPr>
                <w:rFonts w:ascii="Arial" w:cs="Arial" w:eastAsia="Arial" w:hAnsi="Arial"/>
                <w:sz w:val="14"/>
                <w:szCs w:val="14"/>
                <w:color w:val="auto"/>
                <w:w w:val="83"/>
              </w:rPr>
              <w:t>Texas</w:t>
            </w:r>
          </w:p>
        </w:tc>
        <w:tc>
          <w:tcPr>
            <w:tcW w:w="19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Eagle Ford</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9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250</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49"/>
        </w:trPr>
        <w:tc>
          <w:tcPr>
            <w:tcW w:w="2580" w:type="dxa"/>
            <w:vAlign w:val="bottom"/>
          </w:tcPr>
          <w:p>
            <w:pPr>
              <w:ind w:left="20"/>
              <w:spacing w:after="0" w:line="149" w:lineRule="exact"/>
              <w:rPr>
                <w:sz w:val="20"/>
                <w:szCs w:val="20"/>
                <w:color w:val="auto"/>
              </w:rPr>
            </w:pPr>
            <w:r>
              <w:rPr>
                <w:rFonts w:ascii="Arial" w:cs="Arial" w:eastAsia="Arial" w:hAnsi="Arial"/>
                <w:sz w:val="14"/>
                <w:szCs w:val="14"/>
                <w:color w:val="auto"/>
              </w:rPr>
              <w:t>Gilmore</w:t>
            </w:r>
          </w:p>
        </w:tc>
        <w:tc>
          <w:tcPr>
            <w:tcW w:w="1800" w:type="dxa"/>
            <w:vAlign w:val="bottom"/>
          </w:tcPr>
          <w:p>
            <w:pPr>
              <w:jc w:val="center"/>
              <w:ind w:left="408"/>
              <w:spacing w:after="0" w:line="149" w:lineRule="exact"/>
              <w:rPr>
                <w:sz w:val="20"/>
                <w:szCs w:val="20"/>
                <w:color w:val="auto"/>
              </w:rPr>
            </w:pPr>
            <w:r>
              <w:rPr>
                <w:rFonts w:ascii="Arial" w:cs="Arial" w:eastAsia="Arial" w:hAnsi="Arial"/>
                <w:sz w:val="14"/>
                <w:szCs w:val="14"/>
                <w:color w:val="auto"/>
                <w:w w:val="83"/>
              </w:rPr>
              <w:t>Texas</w:t>
            </w:r>
          </w:p>
        </w:tc>
        <w:tc>
          <w:tcPr>
            <w:tcW w:w="1920" w:type="dxa"/>
            <w:vAlign w:val="bottom"/>
          </w:tcPr>
          <w:p>
            <w:pPr>
              <w:ind w:left="300"/>
              <w:spacing w:after="0" w:line="149" w:lineRule="exact"/>
              <w:rPr>
                <w:sz w:val="20"/>
                <w:szCs w:val="20"/>
                <w:color w:val="auto"/>
              </w:rPr>
            </w:pPr>
            <w:r>
              <w:rPr>
                <w:rFonts w:ascii="Arial" w:cs="Arial" w:eastAsia="Arial" w:hAnsi="Arial"/>
                <w:sz w:val="14"/>
                <w:szCs w:val="14"/>
                <w:color w:val="auto"/>
              </w:rPr>
              <w:t>Frio-Vicksburg</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250</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San Martin</w:t>
            </w:r>
          </w:p>
        </w:tc>
        <w:tc>
          <w:tcPr>
            <w:tcW w:w="1800" w:type="dxa"/>
            <w:vAlign w:val="bottom"/>
            <w:shd w:val="clear" w:color="auto" w:fill="CCEEFF"/>
          </w:tcPr>
          <w:p>
            <w:pPr>
              <w:jc w:val="center"/>
              <w:ind w:left="408"/>
              <w:spacing w:after="0" w:line="149" w:lineRule="exact"/>
              <w:rPr>
                <w:sz w:val="20"/>
                <w:szCs w:val="20"/>
                <w:color w:val="auto"/>
              </w:rPr>
            </w:pPr>
            <w:r>
              <w:rPr>
                <w:rFonts w:ascii="Arial" w:cs="Arial" w:eastAsia="Arial" w:hAnsi="Arial"/>
                <w:sz w:val="14"/>
                <w:szCs w:val="14"/>
                <w:color w:val="auto"/>
                <w:w w:val="83"/>
              </w:rPr>
              <w:t>Texas</w:t>
            </w:r>
          </w:p>
        </w:tc>
        <w:tc>
          <w:tcPr>
            <w:tcW w:w="19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Eagle Ford</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9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200</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9"/>
        </w:trPr>
        <w:tc>
          <w:tcPr>
            <w:tcW w:w="2580" w:type="dxa"/>
            <w:vAlign w:val="bottom"/>
          </w:tcPr>
          <w:p>
            <w:pPr>
              <w:ind w:left="20"/>
              <w:spacing w:after="0" w:line="149" w:lineRule="exact"/>
              <w:rPr>
                <w:sz w:val="20"/>
                <w:szCs w:val="20"/>
                <w:color w:val="auto"/>
              </w:rPr>
            </w:pPr>
            <w:r>
              <w:rPr>
                <w:rFonts w:ascii="Arial" w:cs="Arial" w:eastAsia="Arial" w:hAnsi="Arial"/>
                <w:sz w:val="14"/>
                <w:szCs w:val="14"/>
                <w:color w:val="auto"/>
              </w:rPr>
              <w:t>South Eddy</w:t>
            </w:r>
          </w:p>
        </w:tc>
        <w:tc>
          <w:tcPr>
            <w:tcW w:w="1800" w:type="dxa"/>
            <w:vAlign w:val="bottom"/>
          </w:tcPr>
          <w:p>
            <w:pPr>
              <w:jc w:val="center"/>
              <w:ind w:left="408"/>
              <w:spacing w:after="0" w:line="149" w:lineRule="exact"/>
              <w:rPr>
                <w:sz w:val="20"/>
                <w:szCs w:val="20"/>
                <w:color w:val="auto"/>
              </w:rPr>
            </w:pPr>
            <w:r>
              <w:rPr>
                <w:rFonts w:ascii="Arial" w:cs="Arial" w:eastAsia="Arial" w:hAnsi="Arial"/>
                <w:sz w:val="14"/>
                <w:szCs w:val="14"/>
                <w:color w:val="auto"/>
                <w:w w:val="99"/>
              </w:rPr>
              <w:t>New Mexico</w:t>
            </w:r>
          </w:p>
        </w:tc>
        <w:tc>
          <w:tcPr>
            <w:tcW w:w="1920" w:type="dxa"/>
            <w:vAlign w:val="bottom"/>
          </w:tcPr>
          <w:p>
            <w:pPr>
              <w:ind w:left="300"/>
              <w:spacing w:after="0" w:line="149" w:lineRule="exact"/>
              <w:rPr>
                <w:sz w:val="20"/>
                <w:szCs w:val="20"/>
                <w:color w:val="auto"/>
              </w:rPr>
            </w:pPr>
            <w:r>
              <w:rPr>
                <w:rFonts w:ascii="Arial" w:cs="Arial" w:eastAsia="Arial" w:hAnsi="Arial"/>
                <w:sz w:val="14"/>
                <w:szCs w:val="14"/>
                <w:color w:val="auto"/>
              </w:rPr>
              <w:t>Delaware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200</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Waha</w:t>
            </w:r>
          </w:p>
        </w:tc>
        <w:tc>
          <w:tcPr>
            <w:tcW w:w="1800" w:type="dxa"/>
            <w:vAlign w:val="bottom"/>
            <w:shd w:val="clear" w:color="auto" w:fill="CCEEFF"/>
          </w:tcPr>
          <w:p>
            <w:pPr>
              <w:jc w:val="center"/>
              <w:ind w:left="408"/>
              <w:spacing w:after="0" w:line="149" w:lineRule="exact"/>
              <w:rPr>
                <w:sz w:val="20"/>
                <w:szCs w:val="20"/>
                <w:color w:val="auto"/>
              </w:rPr>
            </w:pPr>
            <w:r>
              <w:rPr>
                <w:rFonts w:ascii="Arial" w:cs="Arial" w:eastAsia="Arial" w:hAnsi="Arial"/>
                <w:sz w:val="14"/>
                <w:szCs w:val="14"/>
                <w:color w:val="auto"/>
                <w:w w:val="83"/>
              </w:rPr>
              <w:t>Texas</w:t>
            </w:r>
          </w:p>
        </w:tc>
        <w:tc>
          <w:tcPr>
            <w:tcW w:w="19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Delaware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9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150</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2580" w:type="dxa"/>
            <w:vAlign w:val="bottom"/>
          </w:tcPr>
          <w:p>
            <w:pPr>
              <w:ind w:left="20"/>
              <w:spacing w:after="0" w:line="149" w:lineRule="exact"/>
              <w:rPr>
                <w:sz w:val="20"/>
                <w:szCs w:val="20"/>
                <w:color w:val="auto"/>
              </w:rPr>
            </w:pPr>
            <w:r>
              <w:rPr>
                <w:rFonts w:ascii="Arial" w:cs="Arial" w:eastAsia="Arial" w:hAnsi="Arial"/>
                <w:sz w:val="14"/>
                <w:szCs w:val="14"/>
                <w:color w:val="auto"/>
              </w:rPr>
              <w:t>Sonora</w:t>
            </w:r>
          </w:p>
        </w:tc>
        <w:tc>
          <w:tcPr>
            <w:tcW w:w="1800" w:type="dxa"/>
            <w:vAlign w:val="bottom"/>
          </w:tcPr>
          <w:p>
            <w:pPr>
              <w:jc w:val="center"/>
              <w:ind w:left="408"/>
              <w:spacing w:after="0" w:line="149" w:lineRule="exact"/>
              <w:rPr>
                <w:sz w:val="20"/>
                <w:szCs w:val="20"/>
                <w:color w:val="auto"/>
              </w:rPr>
            </w:pPr>
            <w:r>
              <w:rPr>
                <w:rFonts w:ascii="Arial" w:cs="Arial" w:eastAsia="Arial" w:hAnsi="Arial"/>
                <w:sz w:val="14"/>
                <w:szCs w:val="14"/>
                <w:color w:val="auto"/>
                <w:w w:val="83"/>
              </w:rPr>
              <w:t>Texas</w:t>
            </w:r>
          </w:p>
        </w:tc>
        <w:tc>
          <w:tcPr>
            <w:tcW w:w="1920" w:type="dxa"/>
            <w:vAlign w:val="bottom"/>
          </w:tcPr>
          <w:p>
            <w:pPr>
              <w:ind w:left="300"/>
              <w:spacing w:after="0" w:line="149" w:lineRule="exact"/>
              <w:rPr>
                <w:sz w:val="20"/>
                <w:szCs w:val="20"/>
                <w:color w:val="auto"/>
              </w:rPr>
            </w:pPr>
            <w:r>
              <w:rPr>
                <w:rFonts w:ascii="Arial" w:cs="Arial" w:eastAsia="Arial" w:hAnsi="Arial"/>
                <w:sz w:val="14"/>
                <w:szCs w:val="14"/>
                <w:color w:val="auto"/>
              </w:rPr>
              <w:t>Strawn</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120</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Venice</w:t>
            </w:r>
          </w:p>
        </w:tc>
        <w:tc>
          <w:tcPr>
            <w:tcW w:w="1800" w:type="dxa"/>
            <w:vAlign w:val="bottom"/>
            <w:shd w:val="clear" w:color="auto" w:fill="CCEEFF"/>
          </w:tcPr>
          <w:p>
            <w:pPr>
              <w:jc w:val="center"/>
              <w:ind w:left="408"/>
              <w:spacing w:after="0" w:line="149" w:lineRule="exact"/>
              <w:rPr>
                <w:sz w:val="20"/>
                <w:szCs w:val="20"/>
                <w:color w:val="auto"/>
              </w:rPr>
            </w:pPr>
            <w:r>
              <w:rPr>
                <w:rFonts w:ascii="Arial" w:cs="Arial" w:eastAsia="Arial" w:hAnsi="Arial"/>
                <w:sz w:val="14"/>
                <w:szCs w:val="14"/>
                <w:color w:val="auto"/>
                <w:w w:val="93"/>
              </w:rPr>
              <w:t>Louisiana</w:t>
            </w:r>
          </w:p>
        </w:tc>
        <w:tc>
          <w:tcPr>
            <w:tcW w:w="19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Gulf of Mexico</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980" w:type="dxa"/>
            <w:vAlign w:val="bottom"/>
            <w:shd w:val="clear" w:color="auto" w:fill="CCEEFF"/>
          </w:tcPr>
          <w:p>
            <w:pPr>
              <w:jc w:val="right"/>
              <w:ind w:right="648"/>
              <w:spacing w:after="0" w:line="149" w:lineRule="exact"/>
              <w:rPr>
                <w:sz w:val="20"/>
                <w:szCs w:val="20"/>
                <w:color w:val="auto"/>
              </w:rPr>
            </w:pPr>
            <w:r>
              <w:rPr>
                <w:rFonts w:ascii="Arial" w:cs="Arial" w:eastAsia="Arial" w:hAnsi="Arial"/>
                <w:sz w:val="14"/>
                <w:szCs w:val="14"/>
                <w:color w:val="auto"/>
              </w:rPr>
              <w:t>(5)</w:t>
            </w:r>
          </w:p>
        </w:tc>
        <w:tc>
          <w:tcPr>
            <w:tcW w:w="13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98</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49"/>
        </w:trPr>
        <w:tc>
          <w:tcPr>
            <w:tcW w:w="2580" w:type="dxa"/>
            <w:vAlign w:val="bottom"/>
          </w:tcPr>
          <w:p>
            <w:pPr>
              <w:ind w:left="20"/>
              <w:spacing w:after="0" w:line="149" w:lineRule="exact"/>
              <w:rPr>
                <w:sz w:val="20"/>
                <w:szCs w:val="20"/>
                <w:color w:val="auto"/>
              </w:rPr>
            </w:pPr>
            <w:r>
              <w:rPr>
                <w:rFonts w:ascii="Arial" w:cs="Arial" w:eastAsia="Arial" w:hAnsi="Arial"/>
                <w:sz w:val="14"/>
                <w:szCs w:val="14"/>
                <w:color w:val="auto"/>
              </w:rPr>
              <w:t>Indian Springs</w:t>
            </w:r>
          </w:p>
        </w:tc>
        <w:tc>
          <w:tcPr>
            <w:tcW w:w="1800" w:type="dxa"/>
            <w:vAlign w:val="bottom"/>
          </w:tcPr>
          <w:p>
            <w:pPr>
              <w:jc w:val="center"/>
              <w:ind w:left="408"/>
              <w:spacing w:after="0" w:line="149" w:lineRule="exact"/>
              <w:rPr>
                <w:sz w:val="20"/>
                <w:szCs w:val="20"/>
                <w:color w:val="auto"/>
              </w:rPr>
            </w:pPr>
            <w:r>
              <w:rPr>
                <w:rFonts w:ascii="Arial" w:cs="Arial" w:eastAsia="Arial" w:hAnsi="Arial"/>
                <w:sz w:val="14"/>
                <w:szCs w:val="14"/>
                <w:color w:val="auto"/>
                <w:w w:val="83"/>
              </w:rPr>
              <w:t>Texas</w:t>
            </w:r>
          </w:p>
        </w:tc>
        <w:tc>
          <w:tcPr>
            <w:tcW w:w="1920" w:type="dxa"/>
            <w:vAlign w:val="bottom"/>
          </w:tcPr>
          <w:p>
            <w:pPr>
              <w:ind w:left="300"/>
              <w:spacing w:after="0" w:line="149" w:lineRule="exact"/>
              <w:rPr>
                <w:sz w:val="20"/>
                <w:szCs w:val="20"/>
                <w:color w:val="auto"/>
              </w:rPr>
            </w:pPr>
            <w:r>
              <w:rPr>
                <w:rFonts w:ascii="Arial" w:cs="Arial" w:eastAsia="Arial" w:hAnsi="Arial"/>
                <w:sz w:val="14"/>
                <w:szCs w:val="14"/>
                <w:color w:val="auto"/>
              </w:rPr>
              <w:t>Wilcox-Woodbine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980" w:type="dxa"/>
            <w:vAlign w:val="bottom"/>
          </w:tcPr>
          <w:p>
            <w:pPr>
              <w:jc w:val="right"/>
              <w:ind w:right="648"/>
              <w:spacing w:after="0" w:line="149" w:lineRule="exact"/>
              <w:rPr>
                <w:sz w:val="20"/>
                <w:szCs w:val="20"/>
                <w:color w:val="auto"/>
              </w:rPr>
            </w:pPr>
            <w:r>
              <w:rPr>
                <w:rFonts w:ascii="Arial" w:cs="Arial" w:eastAsia="Arial" w:hAnsi="Arial"/>
                <w:sz w:val="14"/>
                <w:szCs w:val="14"/>
                <w:color w:val="auto"/>
              </w:rPr>
              <w:t>(3)</w:t>
            </w:r>
          </w:p>
        </w:tc>
        <w:tc>
          <w:tcPr>
            <w:tcW w:w="1300" w:type="dxa"/>
            <w:vAlign w:val="bottom"/>
          </w:tcPr>
          <w:p>
            <w:pPr>
              <w:spacing w:after="0"/>
              <w:rPr>
                <w:sz w:val="12"/>
                <w:szCs w:val="12"/>
                <w:color w:val="auto"/>
              </w:rPr>
            </w:pPr>
          </w:p>
        </w:tc>
        <w:tc>
          <w:tcPr>
            <w:tcW w:w="6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90</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Chaparral</w:t>
            </w:r>
          </w:p>
        </w:tc>
        <w:tc>
          <w:tcPr>
            <w:tcW w:w="1800" w:type="dxa"/>
            <w:vAlign w:val="bottom"/>
            <w:shd w:val="clear" w:color="auto" w:fill="CCEEFF"/>
          </w:tcPr>
          <w:p>
            <w:pPr>
              <w:jc w:val="center"/>
              <w:ind w:left="408"/>
              <w:spacing w:after="0" w:line="149" w:lineRule="exact"/>
              <w:rPr>
                <w:sz w:val="20"/>
                <w:szCs w:val="20"/>
                <w:color w:val="auto"/>
              </w:rPr>
            </w:pPr>
            <w:r>
              <w:rPr>
                <w:rFonts w:ascii="Arial" w:cs="Arial" w:eastAsia="Arial" w:hAnsi="Arial"/>
                <w:sz w:val="14"/>
                <w:szCs w:val="14"/>
                <w:color w:val="auto"/>
                <w:w w:val="99"/>
              </w:rPr>
              <w:t>New Mexico</w:t>
            </w:r>
          </w:p>
        </w:tc>
        <w:tc>
          <w:tcPr>
            <w:tcW w:w="19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Delaware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9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45</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56"/>
        </w:trPr>
        <w:tc>
          <w:tcPr>
            <w:tcW w:w="258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Fairway</w:t>
            </w:r>
          </w:p>
        </w:tc>
        <w:tc>
          <w:tcPr>
            <w:tcW w:w="1800" w:type="dxa"/>
            <w:vAlign w:val="bottom"/>
            <w:tcBorders>
              <w:bottom w:val="single" w:sz="8" w:color="CCEEFF"/>
            </w:tcBorders>
          </w:tcPr>
          <w:p>
            <w:pPr>
              <w:jc w:val="center"/>
              <w:ind w:left="408"/>
              <w:spacing w:after="0" w:line="149" w:lineRule="exact"/>
              <w:rPr>
                <w:sz w:val="20"/>
                <w:szCs w:val="20"/>
                <w:color w:val="auto"/>
              </w:rPr>
            </w:pPr>
            <w:r>
              <w:rPr>
                <w:rFonts w:ascii="Arial" w:cs="Arial" w:eastAsia="Arial" w:hAnsi="Arial"/>
                <w:sz w:val="14"/>
                <w:szCs w:val="14"/>
                <w:color w:val="auto"/>
                <w:w w:val="83"/>
              </w:rPr>
              <w:t>Texas</w:t>
            </w:r>
          </w:p>
        </w:tc>
        <w:tc>
          <w:tcPr>
            <w:tcW w:w="1920" w:type="dxa"/>
            <w:vAlign w:val="bottom"/>
            <w:tcBorders>
              <w:bottom w:val="single" w:sz="8" w:color="CCEEFF"/>
            </w:tcBorders>
          </w:tcPr>
          <w:p>
            <w:pPr>
              <w:ind w:left="300"/>
              <w:spacing w:after="0" w:line="149" w:lineRule="exact"/>
              <w:rPr>
                <w:sz w:val="20"/>
                <w:szCs w:val="20"/>
                <w:color w:val="auto"/>
              </w:rPr>
            </w:pPr>
            <w:r>
              <w:rPr>
                <w:rFonts w:ascii="Arial" w:cs="Arial" w:eastAsia="Arial" w:hAnsi="Arial"/>
                <w:sz w:val="14"/>
                <w:szCs w:val="14"/>
                <w:color w:val="auto"/>
              </w:rPr>
              <w:t>Cotton Valley</w:t>
            </w:r>
          </w:p>
        </w:tc>
        <w:tc>
          <w:tcPr>
            <w:tcW w:w="76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100.0%</w:t>
            </w:r>
          </w:p>
        </w:tc>
        <w:tc>
          <w:tcPr>
            <w:tcW w:w="9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rPr>
              <w:t>5</w:t>
            </w:r>
          </w:p>
        </w:tc>
        <w:tc>
          <w:tcPr>
            <w:tcW w:w="1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1"/>
        </w:trPr>
        <w:tc>
          <w:tcPr>
            <w:tcW w:w="2580" w:type="dxa"/>
            <w:vAlign w:val="bottom"/>
            <w:tcBorders>
              <w:bottom w:val="single" w:sz="8" w:color="CCEEFF"/>
            </w:tcBorders>
            <w:shd w:val="clear" w:color="auto" w:fill="CCEEFF"/>
          </w:tcPr>
          <w:p>
            <w:pPr>
              <w:ind w:left="160"/>
              <w:spacing w:after="0" w:line="155" w:lineRule="exact"/>
              <w:rPr>
                <w:sz w:val="20"/>
                <w:szCs w:val="20"/>
                <w:color w:val="auto"/>
              </w:rPr>
            </w:pPr>
            <w:r>
              <w:rPr>
                <w:rFonts w:ascii="Arial" w:cs="Arial" w:eastAsia="Arial" w:hAnsi="Arial"/>
                <w:sz w:val="14"/>
                <w:szCs w:val="14"/>
                <w:color w:val="auto"/>
              </w:rPr>
              <w:t>Total</w:t>
            </w:r>
          </w:p>
        </w:tc>
        <w:tc>
          <w:tcPr>
            <w:tcW w:w="180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88"/>
              <w:spacing w:after="0" w:line="155" w:lineRule="exact"/>
              <w:rPr>
                <w:sz w:val="20"/>
                <w:szCs w:val="20"/>
                <w:color w:val="auto"/>
              </w:rPr>
            </w:pPr>
            <w:r>
              <w:rPr>
                <w:rFonts w:ascii="Arial" w:cs="Arial" w:eastAsia="Arial" w:hAnsi="Arial"/>
                <w:sz w:val="14"/>
                <w:szCs w:val="14"/>
                <w:color w:val="auto"/>
              </w:rPr>
              <w:t>9,920</w:t>
            </w:r>
          </w:p>
        </w:tc>
        <w:tc>
          <w:tcPr>
            <w:tcW w:w="14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11,370</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520" w:right="20" w:hanging="512"/>
        <w:spacing w:after="0" w:line="230"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approximate net gas processing capacity does not necessarily correspond to our ownership interest in each facility. The capacity is based on a variety of factors such as the level of volumes an owner processes at the facility and contractual arrangements with joint owners.</w:t>
      </w:r>
    </w:p>
    <w:p>
      <w:pPr>
        <w:ind w:left="520" w:hanging="512"/>
        <w:spacing w:after="0" w:line="221"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own a 75.0% consolidated interest in the Pascagoula facility through our majority owned subsidiary, Pascagoula Gas Processing LLC.</w:t>
      </w:r>
    </w:p>
    <w:p>
      <w:pPr>
        <w:ind w:left="520" w:hanging="512"/>
        <w:spacing w:after="0" w:line="221"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proportionately consolidate our undivided interests in these operating assets.</w:t>
      </w:r>
    </w:p>
    <w:p>
      <w:pPr>
        <w:ind w:left="520" w:hanging="512"/>
        <w:spacing w:after="0" w:line="221"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Carthage facility consists of two plants: our legacy Panola gas plant and our recently completed Bulldog gas plant.</w:t>
      </w:r>
    </w:p>
    <w:p>
      <w:pPr>
        <w:ind w:left="520" w:hanging="512"/>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ownership in the Venice plant is held indirectly through our equity method investment in Venice Energy Services Company, L.L.C.</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all of our natural gas processing facilities except for the Venice plant. On a weighted-average basis, utilization rates for our natural gas processing facilities were approximately 57.4%, 52.7% and 51.8% for the years ended December 31, 2019, 2018 and 2017, respectively.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Orla natural gas processing facility. </w:t>
      </w:r>
      <w:r>
        <w:rPr>
          <w:rFonts w:ascii="Arial" w:cs="Arial" w:eastAsia="Arial" w:hAnsi="Arial"/>
          <w:sz w:val="18"/>
          <w:szCs w:val="18"/>
          <w:color w:val="auto"/>
        </w:rPr>
        <w:t>In July 2019, we completed and placed into service a third processing train (“Orla III”) at our cryogenic natural gas</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facility located near Orla, Texas in Reeves County. The Orla facility, which has the capability to process up to 900 MMcf/d of natural gas and extract up to 140 MBPD of mixed NGLs, is designed to support the continued growth of NGL-rich natural gas production in the Delaware Basin and is supported by long-term customer commitments. We own and operate the Orla facility.</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Bulldog natural gas processing plant</w:t>
      </w:r>
      <w:r>
        <w:rPr>
          <w:rFonts w:ascii="Arial" w:cs="Arial" w:eastAsia="Arial" w:hAnsi="Arial"/>
          <w:sz w:val="18"/>
          <w:szCs w:val="18"/>
          <w:color w:val="auto"/>
        </w:rPr>
        <w:t>. In November 2019, we placed our Bulldog cryogenic natural gas processing plant, which is part of our Carthage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into service. The Bulldog plant has the capability to process up to 200 MMcf/d of natural gas and extract up to 12 MBPD of NGLs. When combined with our legacy Panola cryogenic plant, the Bulldog plant provides us with the capacity to process up to a total of 320 MMcf/d of natural gas and extract up to 18 MBPD of NGLs in the region. The new plant, along with related natural gas pipeline infrastructure we are building that is scheduled to be placed into service in the third quarter of 2020, supports continued growth of natural gas from the Cotton Valley and Haynesville formations in East Texas. In addition, the Bulldog plant complements our value chain as mixed NGLs produced at the plant are transported on the Panola pipeline to our Mont Belvieu complex for fractionation.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Mentone natural gas processing facility. </w:t>
      </w:r>
      <w:r>
        <w:rPr>
          <w:rFonts w:ascii="Arial" w:cs="Arial" w:eastAsia="Arial" w:hAnsi="Arial"/>
          <w:sz w:val="17"/>
          <w:szCs w:val="17"/>
          <w:color w:val="auto"/>
        </w:rPr>
        <w:t>In December 2019, we completed the first processing train at our Mentone cryogenic natural gas processing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(“Mentone I”) and placed it into service. The Mentone facility, which is located in Loving County, Texas, has a current capacity to process up to 300 MMcf/d of natural gas and extract more than 40 MBPD of NGLs. Mentone and its related infrastructure further extends our presence in the Delaware Basin and provides producers access to our fully integrated midstream asset network, including our Texas Intrastate System and Shin Oak NGL Pipeline. We own and operate the Mentone facility and related infrastructure. Following completion of Mentone I, we have the capability to process up to 1.6 Bcf/d of natural gas and extract up to 250 MBPD of NGLs from our processing facilities in the Delaware Basin.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NGL pipelines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NGL pipelines transport mixed NGLs from natural gas processing facilities, refineries and marine terminals to downstream fractionation plants and storage facilities; gather and distribute purity NGL products to and from fractionation plants, storage and terminal facilities, petrochemical plants, refineries and export facilities; and deliver propane and ethane to destinations along our pipeline systems.</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operations from our NGL pipelines are primarily dependent upon the volume of NGLs transported (or capacity reserved) and the associated fees we charge for such transportation services. Transportation fees charged to shippers are based on either tariffs regulated by federal governmental agencies, including the Federal Energy Regulatory Commission (“FERC”), or contractual arrangements. See “Regulatory Matters” within this Part I, Items 1 and 2 for additional information regarding governmental oversight of our liquids pipelines.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Excluding certain linefill volumes and volumes shipped in connection with our marketing activities, we typically do not take title to NGLs transported by third party shippers on our pipelines; rather, the third party shipper retains title and the associated commodity price risk.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information regarding our NGL pipelines at February 1,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80" w:type="dxa"/>
            <w:vAlign w:val="bottom"/>
          </w:tcPr>
          <w:p>
            <w:pPr>
              <w:jc w:val="right"/>
              <w:ind w:right="408"/>
              <w:spacing w:after="0"/>
              <w:rPr>
                <w:sz w:val="20"/>
                <w:szCs w:val="20"/>
                <w:color w:val="auto"/>
              </w:rPr>
            </w:pPr>
            <w:r>
              <w:rPr>
                <w:rFonts w:ascii="Arial" w:cs="Arial" w:eastAsia="Arial" w:hAnsi="Arial"/>
                <w:sz w:val="14"/>
                <w:szCs w:val="14"/>
                <w:b w:val="1"/>
                <w:bCs w:val="1"/>
                <w:color w:val="auto"/>
              </w:rPr>
              <w:t>Pipeline</w:t>
            </w:r>
          </w:p>
        </w:tc>
        <w:tc>
          <w:tcPr>
            <w:tcW w:w="0" w:type="dxa"/>
            <w:vAlign w:val="bottom"/>
          </w:tcPr>
          <w:p>
            <w:pPr>
              <w:spacing w:after="0"/>
              <w:rPr>
                <w:sz w:val="1"/>
                <w:szCs w:val="1"/>
                <w:color w:val="auto"/>
              </w:rPr>
            </w:pPr>
          </w:p>
        </w:tc>
      </w:tr>
      <w:tr>
        <w:trPr>
          <w:trHeight w:val="178"/>
        </w:trPr>
        <w:tc>
          <w:tcPr>
            <w:tcW w:w="4260" w:type="dxa"/>
            <w:vAlign w:val="bottom"/>
            <w:vMerge w:val="restart"/>
          </w:tcPr>
          <w:p>
            <w:pPr>
              <w:ind w:left="1760"/>
              <w:spacing w:after="0"/>
              <w:rPr>
                <w:sz w:val="20"/>
                <w:szCs w:val="20"/>
                <w:color w:val="auto"/>
              </w:rPr>
            </w:pPr>
            <w:r>
              <w:rPr>
                <w:rFonts w:ascii="Arial" w:cs="Arial" w:eastAsia="Arial" w:hAnsi="Arial"/>
                <w:sz w:val="14"/>
                <w:szCs w:val="14"/>
                <w:b w:val="1"/>
                <w:bCs w:val="1"/>
                <w:color w:val="auto"/>
              </w:rPr>
              <w:t>Description of Asset</w:t>
            </w:r>
          </w:p>
        </w:tc>
        <w:tc>
          <w:tcPr>
            <w:tcW w:w="3840" w:type="dxa"/>
            <w:vAlign w:val="bottom"/>
            <w:vMerge w:val="restart"/>
          </w:tcPr>
          <w:p>
            <w:pPr>
              <w:jc w:val="center"/>
              <w:ind w:left="788"/>
              <w:spacing w:after="0"/>
              <w:rPr>
                <w:sz w:val="20"/>
                <w:szCs w:val="20"/>
                <w:color w:val="auto"/>
              </w:rPr>
            </w:pPr>
            <w:r>
              <w:rPr>
                <w:rFonts w:ascii="Arial" w:cs="Arial" w:eastAsia="Arial" w:hAnsi="Arial"/>
                <w:sz w:val="14"/>
                <w:szCs w:val="14"/>
                <w:b w:val="1"/>
                <w:bCs w:val="1"/>
                <w:color w:val="auto"/>
                <w:w w:val="92"/>
              </w:rPr>
              <w:t>Location(s)</w:t>
            </w:r>
          </w:p>
        </w:tc>
        <w:tc>
          <w:tcPr>
            <w:tcW w:w="1840" w:type="dxa"/>
            <w:vAlign w:val="bottom"/>
          </w:tcPr>
          <w:p>
            <w:pPr>
              <w:jc w:val="right"/>
              <w:ind w:right="308"/>
              <w:spacing w:after="0"/>
              <w:rPr>
                <w:sz w:val="20"/>
                <w:szCs w:val="20"/>
                <w:color w:val="auto"/>
              </w:rPr>
            </w:pPr>
            <w:r>
              <w:rPr>
                <w:rFonts w:ascii="Arial" w:cs="Arial" w:eastAsia="Arial" w:hAnsi="Arial"/>
                <w:sz w:val="14"/>
                <w:szCs w:val="14"/>
                <w:b w:val="1"/>
                <w:bCs w:val="1"/>
                <w:color w:val="auto"/>
              </w:rPr>
              <w:t>Ownership</w:t>
            </w:r>
          </w:p>
        </w:tc>
        <w:tc>
          <w:tcPr>
            <w:tcW w:w="1480" w:type="dxa"/>
            <w:vAlign w:val="bottom"/>
          </w:tcPr>
          <w:p>
            <w:pPr>
              <w:jc w:val="right"/>
              <w:ind w:right="448"/>
              <w:spacing w:after="0"/>
              <w:rPr>
                <w:sz w:val="20"/>
                <w:szCs w:val="20"/>
                <w:color w:val="auto"/>
              </w:rPr>
            </w:pPr>
            <w:r>
              <w:rPr>
                <w:rFonts w:ascii="Arial" w:cs="Arial" w:eastAsia="Arial" w:hAnsi="Arial"/>
                <w:sz w:val="14"/>
                <w:szCs w:val="14"/>
                <w:b w:val="1"/>
                <w:bCs w:val="1"/>
                <w:color w:val="auto"/>
              </w:rPr>
              <w:t>Length</w:t>
            </w:r>
          </w:p>
        </w:tc>
        <w:tc>
          <w:tcPr>
            <w:tcW w:w="0" w:type="dxa"/>
            <w:vAlign w:val="bottom"/>
          </w:tcPr>
          <w:p>
            <w:pPr>
              <w:spacing w:after="0"/>
              <w:rPr>
                <w:sz w:val="1"/>
                <w:szCs w:val="1"/>
                <w:color w:val="auto"/>
              </w:rPr>
            </w:pPr>
          </w:p>
        </w:tc>
      </w:tr>
      <w:tr>
        <w:trPr>
          <w:trHeight w:val="178"/>
        </w:trPr>
        <w:tc>
          <w:tcPr>
            <w:tcW w:w="4260" w:type="dxa"/>
            <w:vAlign w:val="bottom"/>
            <w:tcBorders>
              <w:bottom w:val="single" w:sz="8" w:color="auto"/>
            </w:tcBorders>
            <w:vMerge w:val="continue"/>
          </w:tcPr>
          <w:p>
            <w:pPr>
              <w:spacing w:after="0"/>
              <w:rPr>
                <w:sz w:val="15"/>
                <w:szCs w:val="15"/>
                <w:color w:val="auto"/>
              </w:rPr>
            </w:pPr>
          </w:p>
        </w:tc>
        <w:tc>
          <w:tcPr>
            <w:tcW w:w="3840" w:type="dxa"/>
            <w:vAlign w:val="bottom"/>
            <w:tcBorders>
              <w:bottom w:val="single" w:sz="8" w:color="auto"/>
            </w:tcBorders>
            <w:vMerge w:val="continue"/>
          </w:tcPr>
          <w:p>
            <w:pPr>
              <w:spacing w:after="0"/>
              <w:rPr>
                <w:sz w:val="15"/>
                <w:szCs w:val="15"/>
                <w:color w:val="auto"/>
              </w:rPr>
            </w:pPr>
          </w:p>
        </w:tc>
        <w:tc>
          <w:tcPr>
            <w:tcW w:w="1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Interest</w:t>
            </w:r>
          </w:p>
        </w:tc>
        <w:tc>
          <w:tcPr>
            <w:tcW w:w="14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(Miles)</w:t>
            </w: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Mid-America Pipeline System (1)</w:t>
            </w:r>
          </w:p>
        </w:tc>
        <w:tc>
          <w:tcPr>
            <w:tcW w:w="3840" w:type="dxa"/>
            <w:vAlign w:val="bottom"/>
            <w:shd w:val="clear" w:color="auto" w:fill="CCEEFF"/>
          </w:tcPr>
          <w:p>
            <w:pPr>
              <w:jc w:val="center"/>
              <w:ind w:left="788"/>
              <w:spacing w:after="0" w:line="149" w:lineRule="exact"/>
              <w:rPr>
                <w:sz w:val="20"/>
                <w:szCs w:val="20"/>
                <w:color w:val="auto"/>
              </w:rPr>
            </w:pPr>
            <w:r>
              <w:rPr>
                <w:rFonts w:ascii="Arial" w:cs="Arial" w:eastAsia="Arial" w:hAnsi="Arial"/>
                <w:sz w:val="14"/>
                <w:szCs w:val="14"/>
                <w:color w:val="auto"/>
                <w:w w:val="92"/>
              </w:rPr>
              <w:t>Midwest and Western U.S.</w:t>
            </w:r>
          </w:p>
        </w:tc>
        <w:tc>
          <w:tcPr>
            <w:tcW w:w="1840" w:type="dxa"/>
            <w:vAlign w:val="bottom"/>
            <w:shd w:val="clear" w:color="auto" w:fill="CCEEFF"/>
          </w:tcPr>
          <w:p>
            <w:pPr>
              <w:jc w:val="right"/>
              <w:ind w:right="908"/>
              <w:spacing w:after="0" w:line="149" w:lineRule="exact"/>
              <w:rPr>
                <w:sz w:val="20"/>
                <w:szCs w:val="20"/>
                <w:color w:val="auto"/>
              </w:rPr>
            </w:pPr>
            <w:r>
              <w:rPr>
                <w:rFonts w:ascii="Arial" w:cs="Arial" w:eastAsia="Arial" w:hAnsi="Arial"/>
                <w:sz w:val="14"/>
                <w:szCs w:val="14"/>
                <w:color w:val="auto"/>
              </w:rPr>
              <w:t>100.0%</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7,985</w:t>
            </w:r>
          </w:p>
        </w:tc>
        <w:tc>
          <w:tcPr>
            <w:tcW w:w="0" w:type="dxa"/>
            <w:vAlign w:val="bottom"/>
          </w:tcPr>
          <w:p>
            <w:pPr>
              <w:spacing w:after="0"/>
              <w:rPr>
                <w:sz w:val="1"/>
                <w:szCs w:val="1"/>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South Texas NGL Pipeline System</w:t>
            </w:r>
          </w:p>
        </w:tc>
        <w:tc>
          <w:tcPr>
            <w:tcW w:w="3840" w:type="dxa"/>
            <w:vAlign w:val="bottom"/>
          </w:tcPr>
          <w:p>
            <w:pPr>
              <w:jc w:val="center"/>
              <w:ind w:left="788"/>
              <w:spacing w:after="0" w:line="149" w:lineRule="exact"/>
              <w:rPr>
                <w:sz w:val="20"/>
                <w:szCs w:val="20"/>
                <w:color w:val="auto"/>
              </w:rPr>
            </w:pPr>
            <w:r>
              <w:rPr>
                <w:rFonts w:ascii="Arial" w:cs="Arial" w:eastAsia="Arial" w:hAnsi="Arial"/>
                <w:sz w:val="14"/>
                <w:szCs w:val="14"/>
                <w:color w:val="auto"/>
                <w:w w:val="89"/>
              </w:rPr>
              <w:t>Texas</w:t>
            </w:r>
          </w:p>
        </w:tc>
        <w:tc>
          <w:tcPr>
            <w:tcW w:w="1840" w:type="dxa"/>
            <w:vAlign w:val="bottom"/>
          </w:tcPr>
          <w:p>
            <w:pPr>
              <w:jc w:val="right"/>
              <w:ind w:right="908"/>
              <w:spacing w:after="0" w:line="149" w:lineRule="exact"/>
              <w:rPr>
                <w:sz w:val="20"/>
                <w:szCs w:val="20"/>
                <w:color w:val="auto"/>
              </w:rPr>
            </w:pPr>
            <w:r>
              <w:rPr>
                <w:rFonts w:ascii="Arial" w:cs="Arial" w:eastAsia="Arial" w:hAnsi="Arial"/>
                <w:sz w:val="14"/>
                <w:szCs w:val="14"/>
                <w:color w:val="auto"/>
              </w:rPr>
              <w:t>100.0%</w:t>
            </w: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Dixie Pipeline (1)</w:t>
            </w:r>
          </w:p>
        </w:tc>
        <w:tc>
          <w:tcPr>
            <w:tcW w:w="3840" w:type="dxa"/>
            <w:vAlign w:val="bottom"/>
            <w:shd w:val="clear" w:color="auto" w:fill="CCEEFF"/>
          </w:tcPr>
          <w:p>
            <w:pPr>
              <w:jc w:val="center"/>
              <w:ind w:left="788"/>
              <w:spacing w:after="0" w:line="149" w:lineRule="exact"/>
              <w:rPr>
                <w:sz w:val="20"/>
                <w:szCs w:val="20"/>
                <w:color w:val="auto"/>
              </w:rPr>
            </w:pPr>
            <w:r>
              <w:rPr>
                <w:rFonts w:ascii="Arial" w:cs="Arial" w:eastAsia="Arial" w:hAnsi="Arial"/>
                <w:sz w:val="14"/>
                <w:szCs w:val="14"/>
                <w:color w:val="auto"/>
                <w:w w:val="91"/>
              </w:rPr>
              <w:t>South and Southeastern U.S.</w:t>
            </w:r>
          </w:p>
        </w:tc>
        <w:tc>
          <w:tcPr>
            <w:tcW w:w="1840" w:type="dxa"/>
            <w:vAlign w:val="bottom"/>
            <w:shd w:val="clear" w:color="auto" w:fill="CCEEFF"/>
          </w:tcPr>
          <w:p>
            <w:pPr>
              <w:jc w:val="right"/>
              <w:ind w:right="908"/>
              <w:spacing w:after="0" w:line="149" w:lineRule="exact"/>
              <w:rPr>
                <w:sz w:val="20"/>
                <w:szCs w:val="20"/>
                <w:color w:val="auto"/>
              </w:rPr>
            </w:pPr>
            <w:r>
              <w:rPr>
                <w:rFonts w:ascii="Arial" w:cs="Arial" w:eastAsia="Arial" w:hAnsi="Arial"/>
                <w:sz w:val="14"/>
                <w:szCs w:val="14"/>
                <w:color w:val="auto"/>
              </w:rPr>
              <w:t>100.0%</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1,307</w:t>
            </w:r>
          </w:p>
        </w:tc>
        <w:tc>
          <w:tcPr>
            <w:tcW w:w="0" w:type="dxa"/>
            <w:vAlign w:val="bottom"/>
          </w:tcPr>
          <w:p>
            <w:pPr>
              <w:spacing w:after="0"/>
              <w:rPr>
                <w:sz w:val="1"/>
                <w:szCs w:val="1"/>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ATEX (1)</w:t>
            </w:r>
          </w:p>
        </w:tc>
        <w:tc>
          <w:tcPr>
            <w:tcW w:w="3840" w:type="dxa"/>
            <w:vAlign w:val="bottom"/>
          </w:tcPr>
          <w:p>
            <w:pPr>
              <w:jc w:val="center"/>
              <w:ind w:left="788"/>
              <w:spacing w:after="0" w:line="149" w:lineRule="exact"/>
              <w:rPr>
                <w:sz w:val="20"/>
                <w:szCs w:val="20"/>
                <w:color w:val="auto"/>
              </w:rPr>
            </w:pPr>
            <w:r>
              <w:rPr>
                <w:rFonts w:ascii="Arial" w:cs="Arial" w:eastAsia="Arial" w:hAnsi="Arial"/>
                <w:sz w:val="14"/>
                <w:szCs w:val="14"/>
                <w:color w:val="auto"/>
                <w:w w:val="92"/>
              </w:rPr>
              <w:t>Texas to Midwest and Northeast U.S.</w:t>
            </w:r>
          </w:p>
        </w:tc>
        <w:tc>
          <w:tcPr>
            <w:tcW w:w="1840" w:type="dxa"/>
            <w:vAlign w:val="bottom"/>
          </w:tcPr>
          <w:p>
            <w:pPr>
              <w:jc w:val="right"/>
              <w:ind w:right="908"/>
              <w:spacing w:after="0" w:line="149" w:lineRule="exact"/>
              <w:rPr>
                <w:sz w:val="20"/>
                <w:szCs w:val="20"/>
                <w:color w:val="auto"/>
              </w:rPr>
            </w:pPr>
            <w:r>
              <w:rPr>
                <w:rFonts w:ascii="Arial" w:cs="Arial" w:eastAsia="Arial" w:hAnsi="Arial"/>
                <w:sz w:val="14"/>
                <w:szCs w:val="14"/>
                <w:color w:val="auto"/>
              </w:rPr>
              <w:t>100.0%</w:t>
            </w: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1,192</w:t>
            </w: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Chaparral NGL System (1)</w:t>
            </w:r>
          </w:p>
        </w:tc>
        <w:tc>
          <w:tcPr>
            <w:tcW w:w="3840" w:type="dxa"/>
            <w:vAlign w:val="bottom"/>
            <w:shd w:val="clear" w:color="auto" w:fill="CCEEFF"/>
          </w:tcPr>
          <w:p>
            <w:pPr>
              <w:jc w:val="center"/>
              <w:ind w:left="788"/>
              <w:spacing w:after="0" w:line="149" w:lineRule="exact"/>
              <w:rPr>
                <w:sz w:val="20"/>
                <w:szCs w:val="20"/>
                <w:color w:val="auto"/>
              </w:rPr>
            </w:pPr>
            <w:r>
              <w:rPr>
                <w:rFonts w:ascii="Arial" w:cs="Arial" w:eastAsia="Arial" w:hAnsi="Arial"/>
                <w:sz w:val="14"/>
                <w:szCs w:val="14"/>
                <w:color w:val="auto"/>
                <w:w w:val="93"/>
              </w:rPr>
              <w:t>Texas, New Mexico</w:t>
            </w:r>
          </w:p>
        </w:tc>
        <w:tc>
          <w:tcPr>
            <w:tcW w:w="1840" w:type="dxa"/>
            <w:vAlign w:val="bottom"/>
            <w:shd w:val="clear" w:color="auto" w:fill="CCEEFF"/>
          </w:tcPr>
          <w:p>
            <w:pPr>
              <w:jc w:val="right"/>
              <w:ind w:right="908"/>
              <w:spacing w:after="0" w:line="149" w:lineRule="exact"/>
              <w:rPr>
                <w:sz w:val="20"/>
                <w:szCs w:val="20"/>
                <w:color w:val="auto"/>
              </w:rPr>
            </w:pPr>
            <w:r>
              <w:rPr>
                <w:rFonts w:ascii="Arial" w:cs="Arial" w:eastAsia="Arial" w:hAnsi="Arial"/>
                <w:sz w:val="14"/>
                <w:szCs w:val="14"/>
                <w:color w:val="auto"/>
              </w:rPr>
              <w:t>100.0%</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Louisiana Pipeline System (1)</w:t>
            </w:r>
          </w:p>
        </w:tc>
        <w:tc>
          <w:tcPr>
            <w:tcW w:w="3840" w:type="dxa"/>
            <w:vAlign w:val="bottom"/>
          </w:tcPr>
          <w:p>
            <w:pPr>
              <w:jc w:val="center"/>
              <w:ind w:left="788"/>
              <w:spacing w:after="0" w:line="149" w:lineRule="exact"/>
              <w:rPr>
                <w:sz w:val="20"/>
                <w:szCs w:val="20"/>
                <w:color w:val="auto"/>
              </w:rPr>
            </w:pPr>
            <w:r>
              <w:rPr>
                <w:rFonts w:ascii="Arial" w:cs="Arial" w:eastAsia="Arial" w:hAnsi="Arial"/>
                <w:sz w:val="14"/>
                <w:szCs w:val="14"/>
                <w:color w:val="auto"/>
                <w:w w:val="96"/>
              </w:rPr>
              <w:t>Louisiana</w:t>
            </w:r>
          </w:p>
        </w:tc>
        <w:tc>
          <w:tcPr>
            <w:tcW w:w="1840" w:type="dxa"/>
            <w:vAlign w:val="bottom"/>
          </w:tcPr>
          <w:p>
            <w:pPr>
              <w:jc w:val="right"/>
              <w:ind w:right="908"/>
              <w:spacing w:after="0" w:line="149" w:lineRule="exact"/>
              <w:rPr>
                <w:sz w:val="20"/>
                <w:szCs w:val="20"/>
                <w:color w:val="auto"/>
              </w:rPr>
            </w:pPr>
            <w:r>
              <w:rPr>
                <w:rFonts w:ascii="Arial" w:cs="Arial" w:eastAsia="Arial" w:hAnsi="Arial"/>
                <w:sz w:val="14"/>
                <w:szCs w:val="14"/>
                <w:color w:val="auto"/>
              </w:rPr>
              <w:t>100.0%</w:t>
            </w: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Seminole NGL Pipeline (1,2)</w:t>
            </w:r>
          </w:p>
        </w:tc>
        <w:tc>
          <w:tcPr>
            <w:tcW w:w="3840" w:type="dxa"/>
            <w:vAlign w:val="bottom"/>
            <w:shd w:val="clear" w:color="auto" w:fill="CCEEFF"/>
          </w:tcPr>
          <w:p>
            <w:pPr>
              <w:jc w:val="center"/>
              <w:ind w:left="788"/>
              <w:spacing w:after="0" w:line="149" w:lineRule="exact"/>
              <w:rPr>
                <w:sz w:val="20"/>
                <w:szCs w:val="20"/>
                <w:color w:val="auto"/>
              </w:rPr>
            </w:pPr>
            <w:r>
              <w:rPr>
                <w:rFonts w:ascii="Arial" w:cs="Arial" w:eastAsia="Arial" w:hAnsi="Arial"/>
                <w:sz w:val="14"/>
                <w:szCs w:val="14"/>
                <w:color w:val="auto"/>
                <w:w w:val="89"/>
              </w:rPr>
              <w:t>Texas</w:t>
            </w:r>
          </w:p>
        </w:tc>
        <w:tc>
          <w:tcPr>
            <w:tcW w:w="1840" w:type="dxa"/>
            <w:vAlign w:val="bottom"/>
            <w:shd w:val="clear" w:color="auto" w:fill="CCEEFF"/>
          </w:tcPr>
          <w:p>
            <w:pPr>
              <w:jc w:val="right"/>
              <w:ind w:right="908"/>
              <w:spacing w:after="0" w:line="149" w:lineRule="exact"/>
              <w:rPr>
                <w:sz w:val="20"/>
                <w:szCs w:val="20"/>
                <w:color w:val="auto"/>
              </w:rPr>
            </w:pPr>
            <w:r>
              <w:rPr>
                <w:rFonts w:ascii="Arial" w:cs="Arial" w:eastAsia="Arial" w:hAnsi="Arial"/>
                <w:sz w:val="14"/>
                <w:szCs w:val="14"/>
                <w:color w:val="auto"/>
              </w:rPr>
              <w:t>100.0%</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Shin Oak NGL Pipeline</w:t>
            </w:r>
          </w:p>
        </w:tc>
        <w:tc>
          <w:tcPr>
            <w:tcW w:w="3840" w:type="dxa"/>
            <w:vAlign w:val="bottom"/>
          </w:tcPr>
          <w:p>
            <w:pPr>
              <w:jc w:val="center"/>
              <w:ind w:left="788"/>
              <w:spacing w:after="0" w:line="149" w:lineRule="exact"/>
              <w:rPr>
                <w:sz w:val="20"/>
                <w:szCs w:val="20"/>
                <w:color w:val="auto"/>
              </w:rPr>
            </w:pPr>
            <w:r>
              <w:rPr>
                <w:rFonts w:ascii="Arial" w:cs="Arial" w:eastAsia="Arial" w:hAnsi="Arial"/>
                <w:sz w:val="14"/>
                <w:szCs w:val="14"/>
                <w:color w:val="auto"/>
                <w:w w:val="89"/>
              </w:rPr>
              <w:t>Texas</w:t>
            </w:r>
          </w:p>
        </w:tc>
        <w:tc>
          <w:tcPr>
            <w:tcW w:w="1840" w:type="dxa"/>
            <w:vAlign w:val="bottom"/>
          </w:tcPr>
          <w:p>
            <w:pPr>
              <w:jc w:val="right"/>
              <w:ind w:right="908"/>
              <w:spacing w:after="0" w:line="149" w:lineRule="exact"/>
              <w:rPr>
                <w:sz w:val="20"/>
                <w:szCs w:val="20"/>
                <w:color w:val="auto"/>
              </w:rPr>
            </w:pPr>
            <w:r>
              <w:rPr>
                <w:rFonts w:ascii="Arial" w:cs="Arial" w:eastAsia="Arial" w:hAnsi="Arial"/>
                <w:sz w:val="14"/>
                <w:szCs w:val="14"/>
                <w:color w:val="auto"/>
              </w:rPr>
              <w:t>67.0%</w:t>
            </w: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Texas Express Pipeline (1)</w:t>
            </w:r>
          </w:p>
        </w:tc>
        <w:tc>
          <w:tcPr>
            <w:tcW w:w="3840" w:type="dxa"/>
            <w:vAlign w:val="bottom"/>
            <w:shd w:val="clear" w:color="auto" w:fill="CCEEFF"/>
          </w:tcPr>
          <w:p>
            <w:pPr>
              <w:jc w:val="center"/>
              <w:ind w:left="788"/>
              <w:spacing w:after="0" w:line="149" w:lineRule="exact"/>
              <w:rPr>
                <w:sz w:val="20"/>
                <w:szCs w:val="20"/>
                <w:color w:val="auto"/>
              </w:rPr>
            </w:pPr>
            <w:r>
              <w:rPr>
                <w:rFonts w:ascii="Arial" w:cs="Arial" w:eastAsia="Arial" w:hAnsi="Arial"/>
                <w:sz w:val="14"/>
                <w:szCs w:val="14"/>
                <w:color w:val="auto"/>
                <w:w w:val="89"/>
              </w:rPr>
              <w:t>Texas</w:t>
            </w:r>
          </w:p>
        </w:tc>
        <w:tc>
          <w:tcPr>
            <w:tcW w:w="1840" w:type="dxa"/>
            <w:vAlign w:val="bottom"/>
            <w:shd w:val="clear" w:color="auto" w:fill="CCEEFF"/>
          </w:tcPr>
          <w:p>
            <w:pPr>
              <w:jc w:val="right"/>
              <w:ind w:right="908"/>
              <w:spacing w:after="0" w:line="149" w:lineRule="exact"/>
              <w:rPr>
                <w:sz w:val="20"/>
                <w:szCs w:val="20"/>
                <w:color w:val="auto"/>
              </w:rPr>
            </w:pPr>
            <w:r>
              <w:rPr>
                <w:rFonts w:ascii="Arial" w:cs="Arial" w:eastAsia="Arial" w:hAnsi="Arial"/>
                <w:sz w:val="14"/>
                <w:szCs w:val="14"/>
                <w:color w:val="auto"/>
              </w:rPr>
              <w:t>35.0%</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Skelly-Belvieu Pipeline (1)</w:t>
            </w:r>
          </w:p>
        </w:tc>
        <w:tc>
          <w:tcPr>
            <w:tcW w:w="3840" w:type="dxa"/>
            <w:vAlign w:val="bottom"/>
          </w:tcPr>
          <w:p>
            <w:pPr>
              <w:jc w:val="center"/>
              <w:ind w:left="788"/>
              <w:spacing w:after="0" w:line="149" w:lineRule="exact"/>
              <w:rPr>
                <w:sz w:val="20"/>
                <w:szCs w:val="20"/>
                <w:color w:val="auto"/>
              </w:rPr>
            </w:pPr>
            <w:r>
              <w:rPr>
                <w:rFonts w:ascii="Arial" w:cs="Arial" w:eastAsia="Arial" w:hAnsi="Arial"/>
                <w:sz w:val="14"/>
                <w:szCs w:val="14"/>
                <w:color w:val="auto"/>
                <w:w w:val="92"/>
              </w:rPr>
              <w:t>Texas, Oklahoma</w:t>
            </w:r>
          </w:p>
        </w:tc>
        <w:tc>
          <w:tcPr>
            <w:tcW w:w="1840" w:type="dxa"/>
            <w:vAlign w:val="bottom"/>
          </w:tcPr>
          <w:p>
            <w:pPr>
              <w:jc w:val="right"/>
              <w:ind w:right="908"/>
              <w:spacing w:after="0" w:line="149" w:lineRule="exact"/>
              <w:rPr>
                <w:sz w:val="20"/>
                <w:szCs w:val="20"/>
                <w:color w:val="auto"/>
              </w:rPr>
            </w:pPr>
            <w:r>
              <w:rPr>
                <w:rFonts w:ascii="Arial" w:cs="Arial" w:eastAsia="Arial" w:hAnsi="Arial"/>
                <w:sz w:val="14"/>
                <w:szCs w:val="14"/>
                <w:color w:val="auto"/>
              </w:rPr>
              <w:t>50.0%</w:t>
            </w: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Front Range Pipeline (1)</w:t>
            </w:r>
          </w:p>
        </w:tc>
        <w:tc>
          <w:tcPr>
            <w:tcW w:w="3840" w:type="dxa"/>
            <w:vAlign w:val="bottom"/>
            <w:shd w:val="clear" w:color="auto" w:fill="CCEEFF"/>
          </w:tcPr>
          <w:p>
            <w:pPr>
              <w:jc w:val="center"/>
              <w:ind w:left="788"/>
              <w:spacing w:after="0" w:line="149" w:lineRule="exact"/>
              <w:rPr>
                <w:sz w:val="20"/>
                <w:szCs w:val="20"/>
                <w:color w:val="auto"/>
              </w:rPr>
            </w:pPr>
            <w:r>
              <w:rPr>
                <w:rFonts w:ascii="Arial" w:cs="Arial" w:eastAsia="Arial" w:hAnsi="Arial"/>
                <w:sz w:val="14"/>
                <w:szCs w:val="14"/>
                <w:color w:val="auto"/>
                <w:w w:val="92"/>
              </w:rPr>
              <w:t>Colorado, Oklahoma, Texas</w:t>
            </w:r>
          </w:p>
        </w:tc>
        <w:tc>
          <w:tcPr>
            <w:tcW w:w="1840" w:type="dxa"/>
            <w:vAlign w:val="bottom"/>
            <w:shd w:val="clear" w:color="auto" w:fill="CCEEFF"/>
          </w:tcPr>
          <w:p>
            <w:pPr>
              <w:jc w:val="right"/>
              <w:ind w:right="908"/>
              <w:spacing w:after="0" w:line="149" w:lineRule="exact"/>
              <w:rPr>
                <w:sz w:val="20"/>
                <w:szCs w:val="20"/>
                <w:color w:val="auto"/>
              </w:rPr>
            </w:pPr>
            <w:r>
              <w:rPr>
                <w:rFonts w:ascii="Arial" w:cs="Arial" w:eastAsia="Arial" w:hAnsi="Arial"/>
                <w:sz w:val="14"/>
                <w:szCs w:val="14"/>
                <w:color w:val="auto"/>
              </w:rPr>
              <w:t>33.3%</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Houston Ship Channel Pipeline System</w:t>
            </w:r>
          </w:p>
        </w:tc>
        <w:tc>
          <w:tcPr>
            <w:tcW w:w="3840" w:type="dxa"/>
            <w:vAlign w:val="bottom"/>
          </w:tcPr>
          <w:p>
            <w:pPr>
              <w:jc w:val="center"/>
              <w:ind w:left="788"/>
              <w:spacing w:after="0" w:line="149" w:lineRule="exact"/>
              <w:rPr>
                <w:sz w:val="20"/>
                <w:szCs w:val="20"/>
                <w:color w:val="auto"/>
              </w:rPr>
            </w:pPr>
            <w:r>
              <w:rPr>
                <w:rFonts w:ascii="Arial" w:cs="Arial" w:eastAsia="Arial" w:hAnsi="Arial"/>
                <w:sz w:val="14"/>
                <w:szCs w:val="14"/>
                <w:color w:val="auto"/>
                <w:w w:val="89"/>
              </w:rPr>
              <w:t>Texas</w:t>
            </w:r>
          </w:p>
        </w:tc>
        <w:tc>
          <w:tcPr>
            <w:tcW w:w="1840" w:type="dxa"/>
            <w:vAlign w:val="bottom"/>
          </w:tcPr>
          <w:p>
            <w:pPr>
              <w:jc w:val="right"/>
              <w:ind w:right="908"/>
              <w:spacing w:after="0" w:line="149" w:lineRule="exact"/>
              <w:rPr>
                <w:sz w:val="20"/>
                <w:szCs w:val="20"/>
                <w:color w:val="auto"/>
              </w:rPr>
            </w:pPr>
            <w:r>
              <w:rPr>
                <w:rFonts w:ascii="Arial" w:cs="Arial" w:eastAsia="Arial" w:hAnsi="Arial"/>
                <w:sz w:val="14"/>
                <w:szCs w:val="14"/>
                <w:color w:val="auto"/>
              </w:rPr>
              <w:t>100.0%</w:t>
            </w: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Aegis Ethane Pipeline (1)</w:t>
            </w:r>
          </w:p>
        </w:tc>
        <w:tc>
          <w:tcPr>
            <w:tcW w:w="3840" w:type="dxa"/>
            <w:vAlign w:val="bottom"/>
            <w:shd w:val="clear" w:color="auto" w:fill="CCEEFF"/>
          </w:tcPr>
          <w:p>
            <w:pPr>
              <w:jc w:val="center"/>
              <w:ind w:left="788"/>
              <w:spacing w:after="0" w:line="149" w:lineRule="exact"/>
              <w:rPr>
                <w:sz w:val="20"/>
                <w:szCs w:val="20"/>
                <w:color w:val="auto"/>
              </w:rPr>
            </w:pPr>
            <w:r>
              <w:rPr>
                <w:rFonts w:ascii="Arial" w:cs="Arial" w:eastAsia="Arial" w:hAnsi="Arial"/>
                <w:sz w:val="14"/>
                <w:szCs w:val="14"/>
                <w:color w:val="auto"/>
                <w:w w:val="92"/>
              </w:rPr>
              <w:t>Texas, Louisiana</w:t>
            </w:r>
          </w:p>
        </w:tc>
        <w:tc>
          <w:tcPr>
            <w:tcW w:w="1840" w:type="dxa"/>
            <w:vAlign w:val="bottom"/>
            <w:shd w:val="clear" w:color="auto" w:fill="CCEEFF"/>
          </w:tcPr>
          <w:p>
            <w:pPr>
              <w:jc w:val="right"/>
              <w:ind w:right="908"/>
              <w:spacing w:after="0" w:line="149" w:lineRule="exact"/>
              <w:rPr>
                <w:sz w:val="20"/>
                <w:szCs w:val="20"/>
                <w:color w:val="auto"/>
              </w:rPr>
            </w:pPr>
            <w:r>
              <w:rPr>
                <w:rFonts w:ascii="Arial" w:cs="Arial" w:eastAsia="Arial" w:hAnsi="Arial"/>
                <w:sz w:val="14"/>
                <w:szCs w:val="14"/>
                <w:color w:val="auto"/>
              </w:rPr>
              <w:t>100.0%</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Rio Grande Pipeline (1)</w:t>
            </w:r>
          </w:p>
        </w:tc>
        <w:tc>
          <w:tcPr>
            <w:tcW w:w="3840" w:type="dxa"/>
            <w:vAlign w:val="bottom"/>
          </w:tcPr>
          <w:p>
            <w:pPr>
              <w:jc w:val="center"/>
              <w:ind w:left="788"/>
              <w:spacing w:after="0" w:line="149" w:lineRule="exact"/>
              <w:rPr>
                <w:sz w:val="20"/>
                <w:szCs w:val="20"/>
                <w:color w:val="auto"/>
              </w:rPr>
            </w:pPr>
            <w:r>
              <w:rPr>
                <w:rFonts w:ascii="Arial" w:cs="Arial" w:eastAsia="Arial" w:hAnsi="Arial"/>
                <w:sz w:val="14"/>
                <w:szCs w:val="14"/>
                <w:color w:val="auto"/>
                <w:w w:val="89"/>
              </w:rPr>
              <w:t>Texas</w:t>
            </w:r>
          </w:p>
        </w:tc>
        <w:tc>
          <w:tcPr>
            <w:tcW w:w="1840" w:type="dxa"/>
            <w:vAlign w:val="bottom"/>
          </w:tcPr>
          <w:p>
            <w:pPr>
              <w:jc w:val="right"/>
              <w:ind w:right="908"/>
              <w:spacing w:after="0" w:line="149" w:lineRule="exact"/>
              <w:rPr>
                <w:sz w:val="20"/>
                <w:szCs w:val="20"/>
                <w:color w:val="auto"/>
              </w:rPr>
            </w:pPr>
            <w:r>
              <w:rPr>
                <w:rFonts w:ascii="Arial" w:cs="Arial" w:eastAsia="Arial" w:hAnsi="Arial"/>
                <w:sz w:val="14"/>
                <w:szCs w:val="14"/>
                <w:color w:val="auto"/>
              </w:rPr>
              <w:t>100.0%</w:t>
            </w: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Panola Pipeline (1)</w:t>
            </w:r>
          </w:p>
        </w:tc>
        <w:tc>
          <w:tcPr>
            <w:tcW w:w="3840" w:type="dxa"/>
            <w:vAlign w:val="bottom"/>
            <w:shd w:val="clear" w:color="auto" w:fill="CCEEFF"/>
          </w:tcPr>
          <w:p>
            <w:pPr>
              <w:jc w:val="center"/>
              <w:ind w:left="788"/>
              <w:spacing w:after="0" w:line="149" w:lineRule="exact"/>
              <w:rPr>
                <w:sz w:val="20"/>
                <w:szCs w:val="20"/>
                <w:color w:val="auto"/>
              </w:rPr>
            </w:pPr>
            <w:r>
              <w:rPr>
                <w:rFonts w:ascii="Arial" w:cs="Arial" w:eastAsia="Arial" w:hAnsi="Arial"/>
                <w:sz w:val="14"/>
                <w:szCs w:val="14"/>
                <w:color w:val="auto"/>
                <w:w w:val="89"/>
              </w:rPr>
              <w:t>Texas</w:t>
            </w:r>
          </w:p>
        </w:tc>
        <w:tc>
          <w:tcPr>
            <w:tcW w:w="1840" w:type="dxa"/>
            <w:vAlign w:val="bottom"/>
            <w:shd w:val="clear" w:color="auto" w:fill="CCEEFF"/>
          </w:tcPr>
          <w:p>
            <w:pPr>
              <w:jc w:val="right"/>
              <w:ind w:right="908"/>
              <w:spacing w:after="0" w:line="149" w:lineRule="exact"/>
              <w:rPr>
                <w:sz w:val="20"/>
                <w:szCs w:val="20"/>
                <w:color w:val="auto"/>
              </w:rPr>
            </w:pPr>
            <w:r>
              <w:rPr>
                <w:rFonts w:ascii="Arial" w:cs="Arial" w:eastAsia="Arial" w:hAnsi="Arial"/>
                <w:sz w:val="14"/>
                <w:szCs w:val="14"/>
                <w:color w:val="auto"/>
              </w:rPr>
              <w:t>55.0%</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Lou-Tex NGL Pipeline (1)</w:t>
            </w:r>
          </w:p>
        </w:tc>
        <w:tc>
          <w:tcPr>
            <w:tcW w:w="3840" w:type="dxa"/>
            <w:vAlign w:val="bottom"/>
          </w:tcPr>
          <w:p>
            <w:pPr>
              <w:jc w:val="center"/>
              <w:ind w:left="788"/>
              <w:spacing w:after="0" w:line="149" w:lineRule="exact"/>
              <w:rPr>
                <w:sz w:val="20"/>
                <w:szCs w:val="20"/>
                <w:color w:val="auto"/>
              </w:rPr>
            </w:pPr>
            <w:r>
              <w:rPr>
                <w:rFonts w:ascii="Arial" w:cs="Arial" w:eastAsia="Arial" w:hAnsi="Arial"/>
                <w:sz w:val="14"/>
                <w:szCs w:val="14"/>
                <w:color w:val="auto"/>
                <w:w w:val="92"/>
              </w:rPr>
              <w:t>Texas, Louisiana</w:t>
            </w:r>
          </w:p>
        </w:tc>
        <w:tc>
          <w:tcPr>
            <w:tcW w:w="1840" w:type="dxa"/>
            <w:vAlign w:val="bottom"/>
          </w:tcPr>
          <w:p>
            <w:pPr>
              <w:jc w:val="right"/>
              <w:ind w:right="908"/>
              <w:spacing w:after="0" w:line="149" w:lineRule="exact"/>
              <w:rPr>
                <w:sz w:val="20"/>
                <w:szCs w:val="20"/>
                <w:color w:val="auto"/>
              </w:rPr>
            </w:pPr>
            <w:r>
              <w:rPr>
                <w:rFonts w:ascii="Arial" w:cs="Arial" w:eastAsia="Arial" w:hAnsi="Arial"/>
                <w:sz w:val="14"/>
                <w:szCs w:val="14"/>
                <w:color w:val="auto"/>
              </w:rPr>
              <w:t>100.0%</w:t>
            </w: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Promix NGL Gathering System</w:t>
            </w:r>
          </w:p>
        </w:tc>
        <w:tc>
          <w:tcPr>
            <w:tcW w:w="3840" w:type="dxa"/>
            <w:vAlign w:val="bottom"/>
            <w:shd w:val="clear" w:color="auto" w:fill="CCEEFF"/>
          </w:tcPr>
          <w:p>
            <w:pPr>
              <w:jc w:val="center"/>
              <w:ind w:left="788"/>
              <w:spacing w:after="0" w:line="149" w:lineRule="exact"/>
              <w:rPr>
                <w:sz w:val="20"/>
                <w:szCs w:val="20"/>
                <w:color w:val="auto"/>
              </w:rPr>
            </w:pPr>
            <w:r>
              <w:rPr>
                <w:rFonts w:ascii="Arial" w:cs="Arial" w:eastAsia="Arial" w:hAnsi="Arial"/>
                <w:sz w:val="14"/>
                <w:szCs w:val="14"/>
                <w:color w:val="auto"/>
                <w:w w:val="96"/>
              </w:rPr>
              <w:t>Louisiana</w:t>
            </w:r>
          </w:p>
        </w:tc>
        <w:tc>
          <w:tcPr>
            <w:tcW w:w="1840" w:type="dxa"/>
            <w:vAlign w:val="bottom"/>
            <w:shd w:val="clear" w:color="auto" w:fill="CCEEFF"/>
          </w:tcPr>
          <w:p>
            <w:pPr>
              <w:jc w:val="right"/>
              <w:ind w:right="908"/>
              <w:spacing w:after="0" w:line="149" w:lineRule="exact"/>
              <w:rPr>
                <w:sz w:val="20"/>
                <w:szCs w:val="20"/>
                <w:color w:val="auto"/>
              </w:rPr>
            </w:pPr>
            <w:r>
              <w:rPr>
                <w:rFonts w:ascii="Arial" w:cs="Arial" w:eastAsia="Arial" w:hAnsi="Arial"/>
                <w:sz w:val="14"/>
                <w:szCs w:val="14"/>
                <w:color w:val="auto"/>
              </w:rPr>
              <w:t>50.0%</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Texas Express Gathering System</w:t>
            </w:r>
          </w:p>
        </w:tc>
        <w:tc>
          <w:tcPr>
            <w:tcW w:w="3840" w:type="dxa"/>
            <w:vAlign w:val="bottom"/>
          </w:tcPr>
          <w:p>
            <w:pPr>
              <w:jc w:val="center"/>
              <w:ind w:left="788"/>
              <w:spacing w:after="0" w:line="149" w:lineRule="exact"/>
              <w:rPr>
                <w:sz w:val="20"/>
                <w:szCs w:val="20"/>
                <w:color w:val="auto"/>
              </w:rPr>
            </w:pPr>
            <w:r>
              <w:rPr>
                <w:rFonts w:ascii="Arial" w:cs="Arial" w:eastAsia="Arial" w:hAnsi="Arial"/>
                <w:sz w:val="14"/>
                <w:szCs w:val="14"/>
                <w:color w:val="auto"/>
                <w:w w:val="89"/>
              </w:rPr>
              <w:t>Texas</w:t>
            </w:r>
          </w:p>
        </w:tc>
        <w:tc>
          <w:tcPr>
            <w:tcW w:w="1840" w:type="dxa"/>
            <w:vAlign w:val="bottom"/>
          </w:tcPr>
          <w:p>
            <w:pPr>
              <w:jc w:val="right"/>
              <w:ind w:right="908"/>
              <w:spacing w:after="0" w:line="149" w:lineRule="exact"/>
              <w:rPr>
                <w:sz w:val="20"/>
                <w:szCs w:val="20"/>
                <w:color w:val="auto"/>
              </w:rPr>
            </w:pPr>
            <w:r>
              <w:rPr>
                <w:rFonts w:ascii="Arial" w:cs="Arial" w:eastAsia="Arial" w:hAnsi="Arial"/>
                <w:sz w:val="14"/>
                <w:szCs w:val="14"/>
                <w:color w:val="auto"/>
              </w:rPr>
              <w:t>45.0%</w:t>
            </w: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Tri-States NGL Pipeline (1)</w:t>
            </w:r>
          </w:p>
        </w:tc>
        <w:tc>
          <w:tcPr>
            <w:tcW w:w="3840" w:type="dxa"/>
            <w:vAlign w:val="bottom"/>
            <w:shd w:val="clear" w:color="auto" w:fill="CCEEFF"/>
          </w:tcPr>
          <w:p>
            <w:pPr>
              <w:jc w:val="center"/>
              <w:ind w:left="788"/>
              <w:spacing w:after="0" w:line="149" w:lineRule="exact"/>
              <w:rPr>
                <w:sz w:val="20"/>
                <w:szCs w:val="20"/>
                <w:color w:val="auto"/>
              </w:rPr>
            </w:pPr>
            <w:r>
              <w:rPr>
                <w:rFonts w:ascii="Arial" w:cs="Arial" w:eastAsia="Arial" w:hAnsi="Arial"/>
                <w:sz w:val="14"/>
                <w:szCs w:val="14"/>
                <w:color w:val="auto"/>
                <w:w w:val="95"/>
              </w:rPr>
              <w:t>Alabama, Mississippi, Louisiana</w:t>
            </w:r>
          </w:p>
        </w:tc>
        <w:tc>
          <w:tcPr>
            <w:tcW w:w="1840" w:type="dxa"/>
            <w:vAlign w:val="bottom"/>
            <w:shd w:val="clear" w:color="auto" w:fill="CCEEFF"/>
          </w:tcPr>
          <w:p>
            <w:pPr>
              <w:jc w:val="right"/>
              <w:ind w:right="908"/>
              <w:spacing w:after="0" w:line="149" w:lineRule="exact"/>
              <w:rPr>
                <w:sz w:val="20"/>
                <w:szCs w:val="20"/>
                <w:color w:val="auto"/>
              </w:rPr>
            </w:pPr>
            <w:r>
              <w:rPr>
                <w:rFonts w:ascii="Arial" w:cs="Arial" w:eastAsia="Arial" w:hAnsi="Arial"/>
                <w:sz w:val="14"/>
                <w:szCs w:val="14"/>
                <w:color w:val="auto"/>
              </w:rPr>
              <w:t>83.3%</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56"/>
        </w:trPr>
        <w:tc>
          <w:tcPr>
            <w:tcW w:w="42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Others (eight systems) (3)</w:t>
            </w:r>
          </w:p>
        </w:tc>
        <w:tc>
          <w:tcPr>
            <w:tcW w:w="3840" w:type="dxa"/>
            <w:vAlign w:val="bottom"/>
            <w:tcBorders>
              <w:bottom w:val="single" w:sz="8" w:color="CCEEFF"/>
            </w:tcBorders>
          </w:tcPr>
          <w:p>
            <w:pPr>
              <w:jc w:val="center"/>
              <w:ind w:left="808"/>
              <w:spacing w:after="0" w:line="149" w:lineRule="exact"/>
              <w:rPr>
                <w:sz w:val="20"/>
                <w:szCs w:val="20"/>
                <w:color w:val="auto"/>
              </w:rPr>
            </w:pPr>
            <w:r>
              <w:rPr>
                <w:rFonts w:ascii="Arial" w:cs="Arial" w:eastAsia="Arial" w:hAnsi="Arial"/>
                <w:sz w:val="14"/>
                <w:szCs w:val="14"/>
                <w:color w:val="auto"/>
                <w:w w:val="92"/>
              </w:rPr>
              <w:t>Various</w:t>
            </w:r>
          </w:p>
        </w:tc>
        <w:tc>
          <w:tcPr>
            <w:tcW w:w="1840" w:type="dxa"/>
            <w:vAlign w:val="bottom"/>
            <w:tcBorders>
              <w:bottom w:val="single" w:sz="8" w:color="CCEEFF"/>
            </w:tcBorders>
          </w:tcPr>
          <w:p>
            <w:pPr>
              <w:jc w:val="right"/>
              <w:ind w:right="708"/>
              <w:spacing w:after="0" w:line="149" w:lineRule="exact"/>
              <w:rPr>
                <w:sz w:val="20"/>
                <w:szCs w:val="20"/>
                <w:color w:val="auto"/>
              </w:rPr>
            </w:pPr>
            <w:r>
              <w:rPr>
                <w:rFonts w:ascii="Arial" w:cs="Arial" w:eastAsia="Arial" w:hAnsi="Arial"/>
                <w:sz w:val="14"/>
                <w:szCs w:val="14"/>
                <w:color w:val="auto"/>
              </w:rPr>
              <w:t>Various (4)</w:t>
            </w:r>
          </w:p>
        </w:tc>
        <w:tc>
          <w:tcPr>
            <w:tcW w:w="1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201"/>
        </w:trPr>
        <w:tc>
          <w:tcPr>
            <w:tcW w:w="4260" w:type="dxa"/>
            <w:vAlign w:val="bottom"/>
            <w:tcBorders>
              <w:bottom w:val="single" w:sz="8" w:color="CCEEFF"/>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Total</w:t>
            </w:r>
          </w:p>
        </w:tc>
        <w:tc>
          <w:tcPr>
            <w:tcW w:w="384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19,891</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Interstate transportation services provided by these liquids pipelines, in whole or part, are regulated by federal governmental agencies.</w:t>
      </w:r>
    </w:p>
    <w:p>
      <w:pPr>
        <w:ind w:left="540" w:hanging="532"/>
        <w:spacing w:after="0" w:line="221" w:lineRule="auto"/>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Pipeline mileage shown for the Seminole NGL Pipeline excludes 379 miles converted to crude oil service in January 2019 and used by our Midland-to-ECHO 2 pipeline.</w:t>
      </w:r>
    </w:p>
    <w:p>
      <w:pPr>
        <w:jc w:val="both"/>
        <w:ind w:left="540" w:hanging="532"/>
        <w:spacing w:after="0" w:line="221" w:lineRule="auto"/>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our Belle Rose and Wilprise pipelines located in the coastal regions of Louisiana; two pipelines located near Port Arthur in southeast Texas; our San Jacinto pipeline located in East Texas; our Permian NGL lateral pipelines located in West Texas; Leveret pipeline in West Texas and New Mexico; and a pipeline in Colorado associated with our Meeker facility. Transportation services provided by the Wilprise, Permian NGL and Leveret pipelines are regulated by federal governmental agencies.</w:t>
      </w:r>
    </w:p>
    <w:p>
      <w:pPr>
        <w:ind w:left="540" w:hanging="532"/>
        <w:spacing w:after="0" w:line="237" w:lineRule="auto"/>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own a 74.7% consolidated interest in the 30-mile Wilprise pipeline through our majority owned subsidiary, Wilprise Pipeline Company, L.L.C. We proportionately consolidate our 50% undivided interest in a 45-mile segment of the Port Arthur pipelines. The remainder of these NGL pipelines are wholly owned.</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maximum number of barrels per day that our NGL pipelines can transport depends on operating rates achieved at a given point in time between various segments of each system (e.g., demand levels at each injection and delivery point and the mix of products being transported). As a result, we measure the utilization rates of our NGL pipelines in terms of net throughput, which is based on our ownership interest. In the aggregate, net throughput volumes for these pipelines were 3,615 MBPD, 3,461 MBPD and 3,168 MBPD during the years ended December 31, 2019, 2018 and 2017,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information describes our principal NGL pipelines. We operate our NGL pipelines with the exception of the Skelly-Belvieu Pipeline and Texas Express Gathering System.</w:t>
      </w:r>
    </w:p>
    <w:p>
      <w:pPr>
        <w:spacing w:after="0" w:line="197" w:lineRule="exact"/>
        <w:rPr>
          <w:sz w:val="20"/>
          <w:szCs w:val="20"/>
          <w:color w:val="auto"/>
        </w:rPr>
      </w:pPr>
    </w:p>
    <w:p>
      <w:pPr>
        <w:jc w:val="both"/>
        <w:ind w:left="500" w:hanging="330"/>
        <w:spacing w:after="0" w:line="238" w:lineRule="auto"/>
        <w:tabs>
          <w:tab w:leader="none" w:pos="500" w:val="left"/>
        </w:tabs>
        <w:numPr>
          <w:ilvl w:val="0"/>
          <w:numId w:val="8"/>
        </w:numPr>
        <w:rPr>
          <w:rFonts w:ascii="Arial" w:cs="Arial" w:eastAsia="Arial" w:hAnsi="Arial"/>
          <w:sz w:val="28"/>
          <w:szCs w:val="28"/>
          <w:color w:val="auto"/>
          <w:vertAlign w:val="superscript"/>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Mid-America Pipeline System</w:t>
      </w:r>
      <w:r>
        <w:rPr>
          <w:rFonts w:ascii="Arial" w:cs="Arial" w:eastAsia="Arial" w:hAnsi="Arial"/>
          <w:sz w:val="17"/>
          <w:szCs w:val="17"/>
          <w:color w:val="auto"/>
        </w:rPr>
        <w:t xml:space="preserve"> is an NGL pipeline system consisting of four primary segments: the 3,119-mile Rocky Mountain pipeline, the 2,138-mile Conway North pipeline, the 632-mile Ethane-Propane (“EP”) Mix pipeline, and the 2,096-mile Conway South pipeline. The Mid-America Pipeline System operates in 13 states: Colorado, Illinois, Iowa, Kansas, Minnesota, Missouri, Nebraska, New Mexico, Oklahoma, Texas, Utah, Wisconsin and Wyoming. Volumes transported on the Mid-America Pipeline System primarily originate from natural gas processing facilities located in the Rocky Mountains and Mid-Continent regions, as well as NGL fractionation and storage facilities in Kansas and Texas.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color w:val="auto"/>
        </w:rPr>
        <w:t>The Rocky Mountain pipeline transports mixed NGLs from production fields located in the Rocky Mountain Overthrust and San Juan Basin areas to the Hobbs NGL hub located on the Texas-New Mexico border. The Conway North segment links the NGL hub at Conway, Kansas to refineries, petrochemical plants and propane markets in the upper Midwest. NGL hubs, such as those at Mont Belvieu, Hobbs and Conway, provide buyers and sellers with a centralized location for the storage and pricing of products, while also providing connections to intrastate and/or interstate pipelines. The EP Mix segment transports EP mix from the Conway hub to petrochemical plants in Iowa and Illinois. The Conway South pipeline connects the Conway hub with Kansas refineries and provides bi-directional transportation of NGLs between the Conway and Hobbs hubs. At the Hobbs NGL hub, the Mid-America Pipeline System interconnects with our Seminole NGL Pipeline and Hobbs NGL fractionation and storage facility. The Mid-America Pipeline System is also connected to 18 non-regulated NGL terminals that we own and operate.</w:t>
      </w:r>
    </w:p>
    <w:p>
      <w:pPr>
        <w:spacing w:after="0" w:line="206" w:lineRule="exact"/>
        <w:rPr>
          <w:sz w:val="20"/>
          <w:szCs w:val="20"/>
          <w:color w:val="auto"/>
        </w:rPr>
      </w:pPr>
    </w:p>
    <w:p>
      <w:pPr>
        <w:jc w:val="both"/>
        <w:ind w:left="500" w:hanging="330"/>
        <w:spacing w:after="0" w:line="264" w:lineRule="auto"/>
        <w:tabs>
          <w:tab w:leader="none" w:pos="50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South Texas NGL Pipeline System</w:t>
      </w:r>
      <w:r>
        <w:rPr>
          <w:rFonts w:ascii="Arial" w:cs="Arial" w:eastAsia="Arial" w:hAnsi="Arial"/>
          <w:sz w:val="16"/>
          <w:szCs w:val="16"/>
          <w:color w:val="auto"/>
        </w:rPr>
        <w:t xml:space="preserve"> is a network of NGL gathering and transportation pipelines located in South Texas that gather and transport mixed NGLs from natural gas processing facilities (owned by either us or third parties) located in South Texas to our NGL fractionators in South Texas and NGL fractionation and storage complex located in and near Mont Belvieu, Texas. The Mont Belvieu area in Chambers County, Texas, with its significant energy-related infrastructure, is a key hub of the global NGL industry (the “Mont Belvieu hub”). In addition, this system transports purity NGL products from our South Texas NGL fractionators to refineries and petrochemical plants located between Corpus Christi, Texas and Houston, Texas and within the Texas City-Houston area, as well as to interconnects with other NGL pipelines and to our Mont Belvieu storage complex. The South Texas NGL Pipeline System is a component of our ethane header system, extending it from the Mont Belvieu hub to Corpus Christi, Texas.</w:t>
      </w:r>
    </w:p>
    <w:p>
      <w:pPr>
        <w:spacing w:after="0" w:line="212" w:lineRule="exact"/>
        <w:rPr>
          <w:rFonts w:ascii="Arial" w:cs="Arial" w:eastAsia="Arial" w:hAnsi="Arial"/>
          <w:sz w:val="26"/>
          <w:szCs w:val="26"/>
          <w:color w:val="auto"/>
          <w:vertAlign w:val="superscript"/>
        </w:rPr>
      </w:pPr>
    </w:p>
    <w:p>
      <w:pPr>
        <w:jc w:val="both"/>
        <w:ind w:left="500" w:hanging="330"/>
        <w:spacing w:after="0" w:line="220" w:lineRule="auto"/>
        <w:tabs>
          <w:tab w:leader="none" w:pos="50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Dixie Pipeline</w:t>
      </w:r>
      <w:r>
        <w:rPr>
          <w:rFonts w:ascii="Arial" w:cs="Arial" w:eastAsia="Arial" w:hAnsi="Arial"/>
          <w:sz w:val="18"/>
          <w:szCs w:val="18"/>
          <w:color w:val="auto"/>
        </w:rPr>
        <w:t xml:space="preserve"> transports propane and other NGLs and extends from southeast Texas to markets in the southeastern U.S. Propane supplies transported on this system primarily originate from southeast Texas, south Louisiana and Mississippi. The Dixie Pipeline operates in seven states: Alabama, Georgia, Louisiana, Mississippi, North Carolina, South Carolina and Texas, and is connected to eight non-regulated propane terminals that we own and operate.</w:t>
      </w:r>
    </w:p>
    <w:p>
      <w:pPr>
        <w:spacing w:after="0" w:line="232" w:lineRule="exact"/>
        <w:rPr>
          <w:rFonts w:ascii="Arial" w:cs="Arial" w:eastAsia="Arial" w:hAnsi="Arial"/>
          <w:sz w:val="29"/>
          <w:szCs w:val="29"/>
          <w:color w:val="auto"/>
          <w:vertAlign w:val="superscript"/>
        </w:rPr>
      </w:pPr>
    </w:p>
    <w:p>
      <w:pPr>
        <w:jc w:val="both"/>
        <w:ind w:left="500" w:hanging="330"/>
        <w:spacing w:after="0" w:line="220" w:lineRule="auto"/>
        <w:tabs>
          <w:tab w:leader="none" w:pos="50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ATEX</w:t>
      </w:r>
      <w:r>
        <w:rPr>
          <w:rFonts w:ascii="Arial" w:cs="Arial" w:eastAsia="Arial" w:hAnsi="Arial"/>
          <w:sz w:val="18"/>
          <w:szCs w:val="18"/>
          <w:color w:val="auto"/>
        </w:rPr>
        <w:t>, or Appalachia-to-Texas Express, pipeline transports ethane in southbound service from third-party owned NGL fractionation plants located in Ohio, Pennsylvania and West Virginia to our Mont Belvieu storage complex. The ethane extracted by these fractionation facilities originates from the Marcellus and Utica Shale production areas. ATEX operates in nine states: Arkansas, Illinois, Indiana, Louisiana, Missouri, Ohio, Pennsylvania, Texas and West Virginia.</w:t>
      </w:r>
    </w:p>
    <w:p>
      <w:pPr>
        <w:spacing w:after="0" w:line="232" w:lineRule="exact"/>
        <w:rPr>
          <w:rFonts w:ascii="Arial" w:cs="Arial" w:eastAsia="Arial" w:hAnsi="Arial"/>
          <w:sz w:val="29"/>
          <w:szCs w:val="29"/>
          <w:color w:val="auto"/>
          <w:vertAlign w:val="superscript"/>
        </w:rPr>
      </w:pPr>
    </w:p>
    <w:p>
      <w:pPr>
        <w:jc w:val="both"/>
        <w:ind w:left="500"/>
        <w:spacing w:after="0" w:line="264" w:lineRule="auto"/>
        <w:rPr>
          <w:rFonts w:ascii="Arial" w:cs="Arial" w:eastAsia="Arial" w:hAnsi="Arial"/>
          <w:sz w:val="29"/>
          <w:szCs w:val="29"/>
          <w:color w:val="auto"/>
          <w:vertAlign w:val="superscript"/>
        </w:rPr>
      </w:pPr>
      <w:r>
        <w:rPr>
          <w:rFonts w:ascii="Arial" w:cs="Arial" w:eastAsia="Arial" w:hAnsi="Arial"/>
          <w:sz w:val="18"/>
          <w:szCs w:val="18"/>
          <w:color w:val="auto"/>
        </w:rPr>
        <w:t>In October 2019, we announced an expansion project on the ATEX pipeline that would increase its transportation capacity from 145 MBPD to 190 MBPD. The incremental capacity is expected to be achieved through improvements and modifications to existing infrastructure. We anticipate that this expansion project will be completed in 2022.</w:t>
      </w:r>
    </w:p>
    <w:p>
      <w:pPr>
        <w:spacing w:after="0" w:line="208" w:lineRule="exact"/>
        <w:rPr>
          <w:rFonts w:ascii="Arial" w:cs="Arial" w:eastAsia="Arial" w:hAnsi="Arial"/>
          <w:sz w:val="29"/>
          <w:szCs w:val="29"/>
          <w:color w:val="auto"/>
          <w:vertAlign w:val="superscript"/>
        </w:rPr>
      </w:pPr>
    </w:p>
    <w:p>
      <w:pPr>
        <w:jc w:val="both"/>
        <w:ind w:left="500" w:right="20" w:hanging="330"/>
        <w:spacing w:after="0" w:line="223" w:lineRule="auto"/>
        <w:tabs>
          <w:tab w:leader="none" w:pos="500"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Chaparral NGL System</w:t>
      </w:r>
      <w:r>
        <w:rPr>
          <w:rFonts w:ascii="Arial" w:cs="Arial" w:eastAsia="Arial" w:hAnsi="Arial"/>
          <w:sz w:val="17"/>
          <w:szCs w:val="17"/>
          <w:color w:val="auto"/>
        </w:rPr>
        <w:t xml:space="preserve"> transports mixed NGLs from natural gas processing facilities located in West Texas and New Mexico to Mont Belvieu. This system consists of the 906-mile Chaparral pipeline and the 179-mile Quanah pipeline. Interstate and intrastate transportation services provided by the Chaparral pipeline are regulated; however, transportation services provided by the Quanah pipeline are not.</w:t>
      </w:r>
    </w:p>
    <w:p>
      <w:pPr>
        <w:spacing w:after="0" w:line="228" w:lineRule="exact"/>
        <w:rPr>
          <w:rFonts w:ascii="Arial" w:cs="Arial" w:eastAsia="Arial" w:hAnsi="Arial"/>
          <w:sz w:val="28"/>
          <w:szCs w:val="28"/>
          <w:color w:val="auto"/>
          <w:vertAlign w:val="superscript"/>
        </w:rPr>
      </w:pPr>
    </w:p>
    <w:p>
      <w:pPr>
        <w:jc w:val="both"/>
        <w:ind w:left="500" w:hanging="330"/>
        <w:spacing w:after="0" w:line="223" w:lineRule="auto"/>
        <w:tabs>
          <w:tab w:leader="none" w:pos="500"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Louisiana Pipeline System</w:t>
      </w:r>
      <w:r>
        <w:rPr>
          <w:rFonts w:ascii="Arial" w:cs="Arial" w:eastAsia="Arial" w:hAnsi="Arial"/>
          <w:sz w:val="17"/>
          <w:szCs w:val="17"/>
          <w:color w:val="auto"/>
        </w:rPr>
        <w:t xml:space="preserve"> is a network of NGL pipelines located in southern Louisiana. This system transports NGLs originating in Louisiana and Texas to refineries and petrochemical plants located along the Mississippi River corridor in southern Louisiana. This system also provides transportation services for our natural gas processing facilities, NGL fractionators and other assets located in Louisiana.</w:t>
      </w:r>
    </w:p>
    <w:p>
      <w:pPr>
        <w:spacing w:after="0" w:line="228" w:lineRule="exact"/>
        <w:rPr>
          <w:rFonts w:ascii="Arial" w:cs="Arial" w:eastAsia="Arial" w:hAnsi="Arial"/>
          <w:sz w:val="28"/>
          <w:szCs w:val="28"/>
          <w:color w:val="auto"/>
          <w:vertAlign w:val="superscript"/>
        </w:rPr>
      </w:pPr>
    </w:p>
    <w:p>
      <w:pPr>
        <w:jc w:val="both"/>
        <w:ind w:left="500" w:hanging="330"/>
        <w:spacing w:after="0" w:line="212" w:lineRule="auto"/>
        <w:tabs>
          <w:tab w:leader="none" w:pos="50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Seminole NGL Pipeline</w:t>
      </w:r>
      <w:r>
        <w:rPr>
          <w:rFonts w:ascii="Arial" w:cs="Arial" w:eastAsia="Arial" w:hAnsi="Arial"/>
          <w:sz w:val="18"/>
          <w:szCs w:val="18"/>
          <w:color w:val="auto"/>
        </w:rPr>
        <w:t xml:space="preserve"> transports NGLs from the Hobbs hub and the Permian Basin to markets in southeast Texas, including our NGL fractionation complex located in and near Mont Belvieu. NGLs originating on the Mid-America Pipeline System are a significant source of throughput for the Seminole NGL Pipeline.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In January 2019, we completed the conversion of a portion of one of the two pipelines comprising the Seminole NGL Pipeline system from NGL service to crude oil service. The converted segment, which extends from Midland, Texas to Sealy, Texas, makes up substantially all of our Midland-to-ECHO 2 crude oil pipeline. The conversion did not reduce our overall NGL transportation capacity since displaced NGLs are transported using our other NGL pipelines, including our Shin Oak NGL Pipeline. We have the ability to convert this pipeline back to NGL service should market and physical takeaway conditions warrant.</w:t>
      </w:r>
    </w:p>
    <w:p>
      <w:pPr>
        <w:spacing w:after="0" w:line="215"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See “Crude Oil Pipelines &amp; Services Segment – Crude Oil Pipelines” within this Items 1 and 2 for additional information regarding our Midland-to-ECHO System.</w:t>
      </w:r>
    </w:p>
    <w:p>
      <w:pPr>
        <w:spacing w:after="0" w:line="197" w:lineRule="exact"/>
        <w:rPr>
          <w:sz w:val="20"/>
          <w:szCs w:val="20"/>
          <w:color w:val="auto"/>
        </w:rPr>
      </w:pPr>
    </w:p>
    <w:p>
      <w:pPr>
        <w:jc w:val="both"/>
        <w:ind w:left="500" w:hanging="330"/>
        <w:spacing w:after="0" w:line="226" w:lineRule="auto"/>
        <w:tabs>
          <w:tab w:leader="none" w:pos="50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Shin Oak NGL Pipeline</w:t>
      </w:r>
      <w:r>
        <w:rPr>
          <w:rFonts w:ascii="Arial" w:cs="Arial" w:eastAsia="Arial" w:hAnsi="Arial"/>
          <w:sz w:val="18"/>
          <w:szCs w:val="18"/>
          <w:color w:val="auto"/>
        </w:rPr>
        <w:t xml:space="preserve"> (“Shin Oak”) transports NGL production from the Permian Basin to our NGL fractionation and storage complex located at the Mont Belvieu hub. In February 2019, the mainline segment of Shin Oak from Orla, Texas to Mont Belvieu was placed into limited service with an initial transportation capacity of 250 MBPD. In June 2019, an additional pipeline segment, the Waha lateral, was placed into service and increased Shin Oak’s transportation capacity to 350 MBPD. We completed construction of the remaining components of Shin Oak in the fourth quarter of 2019, which increased its transportation capacity to 550 MBPD.</w:t>
      </w:r>
    </w:p>
    <w:p>
      <w:pPr>
        <w:spacing w:after="0" w:line="229" w:lineRule="exact"/>
        <w:rPr>
          <w:rFonts w:ascii="Arial" w:cs="Arial" w:eastAsia="Arial" w:hAnsi="Arial"/>
          <w:sz w:val="29"/>
          <w:szCs w:val="29"/>
          <w:color w:val="auto"/>
          <w:vertAlign w:val="superscript"/>
        </w:rPr>
      </w:pPr>
    </w:p>
    <w:p>
      <w:pPr>
        <w:jc w:val="both"/>
        <w:ind w:left="500"/>
        <w:spacing w:after="0" w:line="276" w:lineRule="auto"/>
        <w:rPr>
          <w:rFonts w:ascii="Arial" w:cs="Arial" w:eastAsia="Arial" w:hAnsi="Arial"/>
          <w:sz w:val="29"/>
          <w:szCs w:val="29"/>
          <w:color w:val="auto"/>
          <w:vertAlign w:val="superscript"/>
        </w:rPr>
      </w:pPr>
      <w:r>
        <w:rPr>
          <w:rFonts w:ascii="Arial" w:cs="Arial" w:eastAsia="Arial" w:hAnsi="Arial"/>
          <w:sz w:val="17"/>
          <w:szCs w:val="17"/>
          <w:color w:val="auto"/>
        </w:rPr>
        <w:t>In May 2018, we granted Apache Midstream LLC (“Apache”) an option to acquire up to a 33% equity interest in our consolidated subsidiary that owns Shin Oak. In November 2018, Apache contributed this option to Altus Midstream Processing LP (“Altus”), which is a consolidated subsidiary of Apache. In July 2019, Altus exercised the option and acquired a 33% equity interest (effective July 31, 2019) in our subsidiary that owns Shin Oak. As a result, we received a $440.7 million cash payment from Altus, which is included in contributions from noncontrolling interests as presented on our Statement of Consolidated Cash Flows for the year ended December 31, 2019.</w:t>
      </w:r>
    </w:p>
    <w:p>
      <w:pPr>
        <w:spacing w:after="0" w:line="199" w:lineRule="exact"/>
        <w:rPr>
          <w:rFonts w:ascii="Arial" w:cs="Arial" w:eastAsia="Arial" w:hAnsi="Arial"/>
          <w:sz w:val="29"/>
          <w:szCs w:val="29"/>
          <w:color w:val="auto"/>
          <w:vertAlign w:val="superscript"/>
        </w:rPr>
      </w:pPr>
    </w:p>
    <w:p>
      <w:pPr>
        <w:jc w:val="both"/>
        <w:ind w:left="500" w:hanging="330"/>
        <w:spacing w:after="0" w:line="229" w:lineRule="auto"/>
        <w:tabs>
          <w:tab w:leader="none" w:pos="50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Texas Express Pipeline</w:t>
      </w:r>
      <w:r>
        <w:rPr>
          <w:rFonts w:ascii="Arial" w:cs="Arial" w:eastAsia="Arial" w:hAnsi="Arial"/>
          <w:sz w:val="18"/>
          <w:szCs w:val="18"/>
          <w:color w:val="auto"/>
        </w:rPr>
        <w:t xml:space="preserve"> extends from Skellytown, Texas to our NGL fractionation and storage complex located in and near Mont Belvieu. Mixed NGLs from production fields located in the Rocky Mountains, Permian Basin and Mid-Continent regions are delivered to the Texas Express Pipeline via an interconnect with our Mid-America Pipeline System near Skellytown. In addition, the Texas Express Pipeline transports mixed NGLs gathered by the Texas Express Gathering System. Also, mixed NGLs originating from the Denver-Julesburg (“DJ”) Basin in Colorado are transported to the Texas Express Pipeline using the Front Range Pipeline. Our 35% ownership interest in the Texas Express Pipeline is held indirectly through our equity method investment in Texas Express Pipeline LLC.</w:t>
      </w:r>
    </w:p>
    <w:p>
      <w:pPr>
        <w:spacing w:after="0" w:line="233" w:lineRule="exact"/>
        <w:rPr>
          <w:rFonts w:ascii="Arial" w:cs="Arial" w:eastAsia="Arial" w:hAnsi="Arial"/>
          <w:sz w:val="29"/>
          <w:szCs w:val="29"/>
          <w:color w:val="auto"/>
          <w:vertAlign w:val="superscript"/>
        </w:rPr>
      </w:pPr>
    </w:p>
    <w:p>
      <w:pPr>
        <w:jc w:val="both"/>
        <w:ind w:left="500"/>
        <w:spacing w:after="0" w:line="259" w:lineRule="auto"/>
        <w:rPr>
          <w:rFonts w:ascii="Arial" w:cs="Arial" w:eastAsia="Arial" w:hAnsi="Arial"/>
          <w:sz w:val="29"/>
          <w:szCs w:val="29"/>
          <w:color w:val="auto"/>
          <w:vertAlign w:val="superscript"/>
        </w:rPr>
      </w:pPr>
      <w:r>
        <w:rPr>
          <w:rFonts w:ascii="Arial" w:cs="Arial" w:eastAsia="Arial" w:hAnsi="Arial"/>
          <w:sz w:val="18"/>
          <w:szCs w:val="18"/>
          <w:color w:val="auto"/>
        </w:rPr>
        <w:t>In 2018, we initiated expansion projects to increase transportation capacity on the Texas Express Pipeline and the Front Range Pipeline by 90 MBPD and 100 MBPD, respectively. The expansions, which are expected to be completed and placed into service in the second quarter of 2020, are designed to facilitate growing production of NGLs from domestic shale basins, including the DJ Basin, by providing producers with flow assurance and greater access to Gulf Coast markets.</w:t>
      </w:r>
    </w:p>
    <w:p>
      <w:pPr>
        <w:spacing w:after="0" w:line="213" w:lineRule="exact"/>
        <w:rPr>
          <w:rFonts w:ascii="Arial" w:cs="Arial" w:eastAsia="Arial" w:hAnsi="Arial"/>
          <w:sz w:val="29"/>
          <w:szCs w:val="29"/>
          <w:color w:val="auto"/>
          <w:vertAlign w:val="superscript"/>
        </w:rPr>
      </w:pPr>
    </w:p>
    <w:p>
      <w:pPr>
        <w:jc w:val="both"/>
        <w:ind w:left="500" w:hanging="330"/>
        <w:spacing w:after="0" w:line="212" w:lineRule="auto"/>
        <w:tabs>
          <w:tab w:leader="none" w:pos="50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Skelly-Belvieu Pipeline</w:t>
      </w:r>
      <w:r>
        <w:rPr>
          <w:rFonts w:ascii="Arial" w:cs="Arial" w:eastAsia="Arial" w:hAnsi="Arial"/>
          <w:sz w:val="18"/>
          <w:szCs w:val="18"/>
          <w:color w:val="auto"/>
        </w:rPr>
        <w:t xml:space="preserve"> transports mixed NGLs from Skellytown, Texas to Mont Belvieu. The Skelly-Belvieu Pipeline receives a significant quantity of NGLs through an interconnect with our Mid-America Pipeline System at Skellytown. Our 50% ownership interest in the Skelly-Belvieu Pipeline is held indirectly through our equity method investment in Skelly-Belvieu Pipeline Company, L.L.C.</w:t>
      </w:r>
    </w:p>
    <w:p>
      <w:pPr>
        <w:spacing w:after="0" w:line="231" w:lineRule="exact"/>
        <w:rPr>
          <w:rFonts w:ascii="Arial" w:cs="Arial" w:eastAsia="Arial" w:hAnsi="Arial"/>
          <w:sz w:val="29"/>
          <w:szCs w:val="29"/>
          <w:color w:val="auto"/>
          <w:vertAlign w:val="superscript"/>
        </w:rPr>
      </w:pPr>
    </w:p>
    <w:p>
      <w:pPr>
        <w:jc w:val="both"/>
        <w:ind w:left="500" w:hanging="330"/>
        <w:spacing w:after="0" w:line="226" w:lineRule="auto"/>
        <w:tabs>
          <w:tab w:leader="none" w:pos="50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Front Range Pipeline</w:t>
      </w:r>
      <w:r>
        <w:rPr>
          <w:rFonts w:ascii="Arial" w:cs="Arial" w:eastAsia="Arial" w:hAnsi="Arial"/>
          <w:sz w:val="18"/>
          <w:szCs w:val="18"/>
          <w:color w:val="auto"/>
        </w:rPr>
        <w:t xml:space="preserve"> transports mixed NGLs from natural gas processing facilities located in the DJ Basin in Colorado to an interconnect with our Texas Express Pipeline, Mid-America Pipeline System and other third party facilities located at Skellytown, Texas. Our 33.3% ownership interest in the Front Range Pipeline is held indirectly through our equity method investment in Front Range Pipeline LLC. As previously mentioned, we expect to complete an expansion project during the second quarter of 2020 that will increase transportation capacity on the Front Range Pipeline by 100 MBPD.</w:t>
      </w:r>
    </w:p>
    <w:p>
      <w:pPr>
        <w:spacing w:after="0" w:line="229" w:lineRule="exact"/>
        <w:rPr>
          <w:rFonts w:ascii="Arial" w:cs="Arial" w:eastAsia="Arial" w:hAnsi="Arial"/>
          <w:sz w:val="29"/>
          <w:szCs w:val="29"/>
          <w:color w:val="auto"/>
          <w:vertAlign w:val="superscript"/>
        </w:rPr>
      </w:pPr>
    </w:p>
    <w:p>
      <w:pPr>
        <w:ind w:left="500" w:hanging="330"/>
        <w:spacing w:after="0" w:line="198" w:lineRule="auto"/>
        <w:tabs>
          <w:tab w:leader="none" w:pos="50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Houston Ship Channel Pipeline System</w:t>
      </w:r>
      <w:r>
        <w:rPr>
          <w:rFonts w:ascii="Arial" w:cs="Arial" w:eastAsia="Arial" w:hAnsi="Arial"/>
          <w:sz w:val="18"/>
          <w:szCs w:val="18"/>
          <w:color w:val="auto"/>
        </w:rPr>
        <w:t xml:space="preserve"> connects our Mont Belvieu area assets to our marine terminals on the Houston Ship Channel and to area petrochemical plants, refineries and other pipelines.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left="500" w:hanging="330"/>
        <w:spacing w:after="0" w:line="212" w:lineRule="auto"/>
        <w:tabs>
          <w:tab w:leader="none" w:pos="50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Aegis Ethane Pipeline</w:t>
      </w:r>
      <w:r>
        <w:rPr>
          <w:rFonts w:ascii="Arial" w:cs="Arial" w:eastAsia="Arial" w:hAnsi="Arial"/>
          <w:sz w:val="18"/>
          <w:szCs w:val="18"/>
          <w:color w:val="auto"/>
        </w:rPr>
        <w:t xml:space="preserve"> (“Aegis”) delivers purity ethane to petrochemical facilities located along the southeast Texas and Louisiana Gulf Coast. Aegis, when combined with a portion of our South Texas NGL Pipeline System, forms an ethane header system stretching from Corpus Christi, Texas to the Mississippi River in Louisiana.</w:t>
      </w:r>
    </w:p>
    <w:p>
      <w:pPr>
        <w:spacing w:after="0" w:line="231" w:lineRule="exact"/>
        <w:rPr>
          <w:rFonts w:ascii="Arial" w:cs="Arial" w:eastAsia="Arial" w:hAnsi="Arial"/>
          <w:sz w:val="29"/>
          <w:szCs w:val="29"/>
          <w:color w:val="auto"/>
          <w:vertAlign w:val="superscript"/>
        </w:rPr>
      </w:pPr>
    </w:p>
    <w:p>
      <w:pPr>
        <w:ind w:left="500" w:hanging="330"/>
        <w:spacing w:after="0" w:line="198" w:lineRule="auto"/>
        <w:tabs>
          <w:tab w:leader="none" w:pos="50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Rio Grande Pipeline</w:t>
      </w:r>
      <w:r>
        <w:rPr>
          <w:rFonts w:ascii="Arial" w:cs="Arial" w:eastAsia="Arial" w:hAnsi="Arial"/>
          <w:sz w:val="18"/>
          <w:szCs w:val="18"/>
          <w:color w:val="auto"/>
        </w:rPr>
        <w:t xml:space="preserve"> transports mixed NGLs from near Odessa, Texas to a pipeline interconnect at the Mexican border south of El Paso, Texas. In March 2019, we acquired the remaining 30% ownership interest in the Rio Grande Pipeline.</w:t>
      </w:r>
    </w:p>
    <w:p>
      <w:pPr>
        <w:spacing w:after="0" w:line="229" w:lineRule="exact"/>
        <w:rPr>
          <w:rFonts w:ascii="Arial" w:cs="Arial" w:eastAsia="Arial" w:hAnsi="Arial"/>
          <w:sz w:val="29"/>
          <w:szCs w:val="29"/>
          <w:color w:val="auto"/>
          <w:vertAlign w:val="superscript"/>
        </w:rPr>
      </w:pPr>
    </w:p>
    <w:p>
      <w:pPr>
        <w:jc w:val="both"/>
        <w:ind w:left="500" w:hanging="330"/>
        <w:spacing w:after="0" w:line="212" w:lineRule="auto"/>
        <w:tabs>
          <w:tab w:leader="none" w:pos="50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Panola Pipeline</w:t>
      </w:r>
      <w:r>
        <w:rPr>
          <w:rFonts w:ascii="Arial" w:cs="Arial" w:eastAsia="Arial" w:hAnsi="Arial"/>
          <w:sz w:val="18"/>
          <w:szCs w:val="18"/>
          <w:color w:val="auto"/>
        </w:rPr>
        <w:t xml:space="preserve"> transports mixed NGLs from injection points near Carthage, Texas to the Mont Belvieu hub and supports the Haynesville and Cotton Valley crude oil and natural gas production areas. We own a 55% consolidated interest in the Panola Pipeline through our majority owned subsidiary, Panola Pipeline Company, LLC.</w:t>
      </w:r>
    </w:p>
    <w:p>
      <w:pPr>
        <w:spacing w:after="0" w:line="231" w:lineRule="exact"/>
        <w:rPr>
          <w:rFonts w:ascii="Arial" w:cs="Arial" w:eastAsia="Arial" w:hAnsi="Arial"/>
          <w:sz w:val="29"/>
          <w:szCs w:val="29"/>
          <w:color w:val="auto"/>
          <w:vertAlign w:val="superscript"/>
        </w:rPr>
      </w:pPr>
    </w:p>
    <w:p>
      <w:pPr>
        <w:ind w:left="500" w:hanging="330"/>
        <w:spacing w:after="0" w:line="198" w:lineRule="auto"/>
        <w:tabs>
          <w:tab w:leader="none" w:pos="50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Lou-Tex NGL Pipeline</w:t>
      </w:r>
      <w:r>
        <w:rPr>
          <w:rFonts w:ascii="Arial" w:cs="Arial" w:eastAsia="Arial" w:hAnsi="Arial"/>
          <w:sz w:val="18"/>
          <w:szCs w:val="18"/>
          <w:color w:val="auto"/>
        </w:rPr>
        <w:t xml:space="preserve"> system transports mixed NGLs, purity NGL products and refinery grade propylene (“RGP”) between the Louisiana and Texas markets.</w:t>
      </w:r>
    </w:p>
    <w:p>
      <w:pPr>
        <w:spacing w:after="0" w:line="229" w:lineRule="exact"/>
        <w:rPr>
          <w:rFonts w:ascii="Arial" w:cs="Arial" w:eastAsia="Arial" w:hAnsi="Arial"/>
          <w:sz w:val="29"/>
          <w:szCs w:val="29"/>
          <w:color w:val="auto"/>
          <w:vertAlign w:val="superscript"/>
        </w:rPr>
      </w:pPr>
    </w:p>
    <w:p>
      <w:pPr>
        <w:jc w:val="both"/>
        <w:ind w:left="500" w:hanging="330"/>
        <w:spacing w:after="0" w:line="212" w:lineRule="auto"/>
        <w:tabs>
          <w:tab w:leader="none" w:pos="50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Promix NGL Gathering System</w:t>
      </w:r>
      <w:r>
        <w:rPr>
          <w:rFonts w:ascii="Arial" w:cs="Arial" w:eastAsia="Arial" w:hAnsi="Arial"/>
          <w:sz w:val="18"/>
          <w:szCs w:val="18"/>
          <w:color w:val="auto"/>
        </w:rPr>
        <w:t xml:space="preserve"> gathers mixed NGLs from natural gas processing facilities in southern Louisiana for delivery to our Promix NGL fractionator. Our 50% ownership interest in the Promix NGL Gathering System is held indirectly through our equity method investment in K/D/S Promix, L.L.C. (“Promix”).</w:t>
      </w:r>
    </w:p>
    <w:p>
      <w:pPr>
        <w:spacing w:after="0" w:line="231" w:lineRule="exact"/>
        <w:rPr>
          <w:rFonts w:ascii="Arial" w:cs="Arial" w:eastAsia="Arial" w:hAnsi="Arial"/>
          <w:sz w:val="29"/>
          <w:szCs w:val="29"/>
          <w:color w:val="auto"/>
          <w:vertAlign w:val="superscript"/>
        </w:rPr>
      </w:pPr>
    </w:p>
    <w:p>
      <w:pPr>
        <w:jc w:val="both"/>
        <w:ind w:left="500" w:hanging="330"/>
        <w:spacing w:after="0" w:line="212" w:lineRule="auto"/>
        <w:tabs>
          <w:tab w:leader="none" w:pos="50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Texas Express Gathering System</w:t>
      </w:r>
      <w:r>
        <w:rPr>
          <w:rFonts w:ascii="Arial" w:cs="Arial" w:eastAsia="Arial" w:hAnsi="Arial"/>
          <w:sz w:val="18"/>
          <w:szCs w:val="18"/>
          <w:color w:val="auto"/>
        </w:rPr>
        <w:t xml:space="preserve"> is comprised of two gathering systems, Elk City and North Texas, that deliver mixed NGLs to the Texas Express Pipeline. Our 45% ownership interest in the Texas Express Gathering System is held indirectly through our equity method investment in Texas Express Gathering LLC.</w:t>
      </w:r>
    </w:p>
    <w:p>
      <w:pPr>
        <w:spacing w:after="0" w:line="231" w:lineRule="exact"/>
        <w:rPr>
          <w:rFonts w:ascii="Arial" w:cs="Arial" w:eastAsia="Arial" w:hAnsi="Arial"/>
          <w:sz w:val="29"/>
          <w:szCs w:val="29"/>
          <w:color w:val="auto"/>
          <w:vertAlign w:val="superscript"/>
        </w:rPr>
      </w:pPr>
    </w:p>
    <w:p>
      <w:pPr>
        <w:ind w:left="500" w:hanging="330"/>
        <w:spacing w:after="0" w:line="198" w:lineRule="auto"/>
        <w:tabs>
          <w:tab w:leader="none" w:pos="50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Tri-States NGL Pipeline</w:t>
      </w:r>
      <w:r>
        <w:rPr>
          <w:rFonts w:ascii="Arial" w:cs="Arial" w:eastAsia="Arial" w:hAnsi="Arial"/>
          <w:sz w:val="18"/>
          <w:szCs w:val="18"/>
          <w:color w:val="auto"/>
        </w:rPr>
        <w:t xml:space="preserve"> transports mixed NGLs from Mobile Bay, Alabama to points near Kenner, Louisiana. We own an 83.3% consolidated interest in the Tri-States NGL Pipeline through our majority owned subsidiary, Tri-States NGL Pipeline,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NGL fractionation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own or have interests in 16 NGL fractionators located in Texas and Louisiana that separate mixed NGL streams into purity NGL products for third party customers and also our NGL marketing activities. Mixed NGLs extracted by domestic natural gas processing facilities represent the largest source of volumes processed by our NGL fractionators. Based upon industry data, we believe that sufficient volumes of mixed NGLs, especially those originating from natural gas processing facilities located in West Texas, along the Gulf Coast and in the Rocky Mountains and Mid-Continent regions, will be available for fractionation in commercially viable quantities for the foreseeable future. Significant volumes of mixed NGLs are contractually committed to be processed at our NGL fractionators by joint owners and third party customers.</w:t>
      </w:r>
    </w:p>
    <w:p>
      <w:pPr>
        <w:spacing w:after="0" w:line="2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results of operations from our NGL fractionation business are generally dependent upon the volume of mixed NGLs fractionated and either the level of fractionation fees charged (under fee-based contracts) or the value of NGLs received (under percent-of-liquids arrangements). Our fee-based fractionation customers retain title to the NGLs that we process for them. To the extent we fractionate volumes for customers under percent-of-liquids contracts, we are exposed to fluctuations in NGL prices (i.e., commodity price risk). We attempt to mitigate these risks through the use of commodity derivative instruments.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information regarding our NGL fractionation facilities at February 1,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0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Net Plant</w:t>
            </w:r>
          </w:p>
        </w:tc>
        <w:tc>
          <w:tcPr>
            <w:tcW w:w="118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Total Plant</w:t>
            </w:r>
          </w:p>
        </w:tc>
        <w:tc>
          <w:tcPr>
            <w:tcW w:w="0" w:type="dxa"/>
            <w:vAlign w:val="bottom"/>
          </w:tcPr>
          <w:p>
            <w:pPr>
              <w:spacing w:after="0"/>
              <w:rPr>
                <w:sz w:val="1"/>
                <w:szCs w:val="1"/>
                <w:color w:val="auto"/>
              </w:rPr>
            </w:pPr>
          </w:p>
        </w:tc>
      </w:tr>
      <w:tr>
        <w:trPr>
          <w:trHeight w:val="178"/>
        </w:trPr>
        <w:tc>
          <w:tcPr>
            <w:tcW w:w="4820" w:type="dxa"/>
            <w:vAlign w:val="bottom"/>
            <w:vMerge w:val="restart"/>
          </w:tcPr>
          <w:p>
            <w:pPr>
              <w:ind w:left="2180"/>
              <w:spacing w:after="0"/>
              <w:rPr>
                <w:sz w:val="20"/>
                <w:szCs w:val="20"/>
                <w:color w:val="auto"/>
              </w:rPr>
            </w:pPr>
            <w:r>
              <w:rPr>
                <w:rFonts w:ascii="Arial" w:cs="Arial" w:eastAsia="Arial" w:hAnsi="Arial"/>
                <w:sz w:val="14"/>
                <w:szCs w:val="14"/>
                <w:b w:val="1"/>
                <w:bCs w:val="1"/>
                <w:color w:val="auto"/>
              </w:rPr>
              <w:t>Description of Asset</w:t>
            </w:r>
          </w:p>
        </w:tc>
        <w:tc>
          <w:tcPr>
            <w:tcW w:w="2280" w:type="dxa"/>
            <w:vAlign w:val="bottom"/>
            <w:vMerge w:val="restart"/>
          </w:tcPr>
          <w:p>
            <w:pPr>
              <w:jc w:val="center"/>
              <w:ind w:left="1028"/>
              <w:spacing w:after="0"/>
              <w:rPr>
                <w:sz w:val="20"/>
                <w:szCs w:val="20"/>
                <w:color w:val="auto"/>
              </w:rPr>
            </w:pPr>
            <w:r>
              <w:rPr>
                <w:rFonts w:ascii="Arial" w:cs="Arial" w:eastAsia="Arial" w:hAnsi="Arial"/>
                <w:sz w:val="14"/>
                <w:szCs w:val="14"/>
                <w:b w:val="1"/>
                <w:bCs w:val="1"/>
                <w:color w:val="auto"/>
                <w:w w:val="92"/>
              </w:rPr>
              <w:t>Location</w:t>
            </w:r>
          </w:p>
        </w:tc>
        <w:tc>
          <w:tcPr>
            <w:tcW w:w="16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Ownership</w:t>
            </w:r>
          </w:p>
        </w:tc>
        <w:tc>
          <w:tcPr>
            <w:tcW w:w="150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Capacity</w:t>
            </w: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178"/>
        </w:trPr>
        <w:tc>
          <w:tcPr>
            <w:tcW w:w="4820" w:type="dxa"/>
            <w:vAlign w:val="bottom"/>
            <w:tcBorders>
              <w:bottom w:val="single" w:sz="8" w:color="auto"/>
            </w:tcBorders>
            <w:vMerge w:val="continue"/>
          </w:tcPr>
          <w:p>
            <w:pPr>
              <w:spacing w:after="0"/>
              <w:rPr>
                <w:sz w:val="15"/>
                <w:szCs w:val="15"/>
                <w:color w:val="auto"/>
              </w:rPr>
            </w:pPr>
          </w:p>
        </w:tc>
        <w:tc>
          <w:tcPr>
            <w:tcW w:w="2280" w:type="dxa"/>
            <w:vAlign w:val="bottom"/>
            <w:tcBorders>
              <w:bottom w:val="single" w:sz="8" w:color="auto"/>
            </w:tcBorders>
            <w:vMerge w:val="continue"/>
          </w:tcPr>
          <w:p>
            <w:pPr>
              <w:spacing w:after="0"/>
              <w:rPr>
                <w:sz w:val="15"/>
                <w:szCs w:val="15"/>
                <w:color w:val="auto"/>
              </w:rPr>
            </w:pPr>
          </w:p>
        </w:tc>
        <w:tc>
          <w:tcPr>
            <w:tcW w:w="164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Interest</w:t>
            </w:r>
          </w:p>
        </w:tc>
        <w:tc>
          <w:tcPr>
            <w:tcW w:w="15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 xml:space="preserve">(MBPD) </w:t>
            </w:r>
            <w:r>
              <w:rPr>
                <w:rFonts w:ascii="Arial" w:cs="Arial" w:eastAsia="Arial" w:hAnsi="Arial"/>
                <w:sz w:val="14"/>
                <w:szCs w:val="14"/>
                <w:color w:val="auto"/>
              </w:rPr>
              <w:t>(1)</w:t>
            </w:r>
          </w:p>
        </w:tc>
        <w:tc>
          <w:tcPr>
            <w:tcW w:w="11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(MBPD)</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4"/>
                <w:szCs w:val="14"/>
                <w:b w:val="1"/>
                <w:bCs w:val="1"/>
                <w:color w:val="auto"/>
              </w:rPr>
              <w:t>NGL fractionation facilities:</w:t>
            </w:r>
          </w:p>
        </w:tc>
        <w:tc>
          <w:tcPr>
            <w:tcW w:w="2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Mont Belvieu complex:</w:t>
            </w:r>
          </w:p>
        </w:tc>
        <w:tc>
          <w:tcPr>
            <w:tcW w:w="2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820" w:type="dxa"/>
            <w:vAlign w:val="bottom"/>
          </w:tcPr>
          <w:p>
            <w:pPr>
              <w:ind w:left="120"/>
              <w:spacing w:after="0" w:line="149" w:lineRule="exact"/>
              <w:rPr>
                <w:sz w:val="20"/>
                <w:szCs w:val="20"/>
                <w:color w:val="auto"/>
              </w:rPr>
            </w:pPr>
            <w:r>
              <w:rPr>
                <w:rFonts w:ascii="Arial" w:cs="Arial" w:eastAsia="Arial" w:hAnsi="Arial"/>
                <w:sz w:val="14"/>
                <w:szCs w:val="14"/>
                <w:color w:val="auto"/>
              </w:rPr>
              <w:t>Fracs I, II and III</w:t>
            </w:r>
          </w:p>
        </w:tc>
        <w:tc>
          <w:tcPr>
            <w:tcW w:w="2280" w:type="dxa"/>
            <w:vAlign w:val="bottom"/>
          </w:tcPr>
          <w:p>
            <w:pPr>
              <w:jc w:val="center"/>
              <w:ind w:left="1028"/>
              <w:spacing w:after="0" w:line="149" w:lineRule="exact"/>
              <w:rPr>
                <w:sz w:val="20"/>
                <w:szCs w:val="20"/>
                <w:color w:val="auto"/>
              </w:rPr>
            </w:pPr>
            <w:r>
              <w:rPr>
                <w:rFonts w:ascii="Arial" w:cs="Arial" w:eastAsia="Arial" w:hAnsi="Arial"/>
                <w:sz w:val="14"/>
                <w:szCs w:val="14"/>
                <w:color w:val="auto"/>
                <w:w w:val="89"/>
              </w:rPr>
              <w:t>Texas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860" w:type="dxa"/>
            <w:vAlign w:val="bottom"/>
          </w:tcPr>
          <w:p>
            <w:pPr>
              <w:jc w:val="right"/>
              <w:ind w:right="608"/>
              <w:spacing w:after="0" w:line="149" w:lineRule="exact"/>
              <w:rPr>
                <w:sz w:val="20"/>
                <w:szCs w:val="20"/>
                <w:color w:val="auto"/>
              </w:rPr>
            </w:pPr>
            <w:r>
              <w:rPr>
                <w:rFonts w:ascii="Arial" w:cs="Arial" w:eastAsia="Arial" w:hAnsi="Arial"/>
                <w:sz w:val="14"/>
                <w:szCs w:val="14"/>
                <w:color w:val="auto"/>
                <w:w w:val="93"/>
              </w:rPr>
              <w:t>(2)</w:t>
            </w:r>
          </w:p>
        </w:tc>
        <w:tc>
          <w:tcPr>
            <w:tcW w:w="15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189</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Fracs IV, V, VI , and IX</w:t>
            </w:r>
          </w:p>
        </w:tc>
        <w:tc>
          <w:tcPr>
            <w:tcW w:w="2280" w:type="dxa"/>
            <w:vAlign w:val="bottom"/>
            <w:shd w:val="clear" w:color="auto" w:fill="CCEEFF"/>
          </w:tcPr>
          <w:p>
            <w:pPr>
              <w:jc w:val="center"/>
              <w:ind w:left="1028"/>
              <w:spacing w:after="0" w:line="149" w:lineRule="exact"/>
              <w:rPr>
                <w:sz w:val="20"/>
                <w:szCs w:val="20"/>
                <w:color w:val="auto"/>
              </w:rPr>
            </w:pPr>
            <w:r>
              <w:rPr>
                <w:rFonts w:ascii="Arial" w:cs="Arial" w:eastAsia="Arial" w:hAnsi="Arial"/>
                <w:sz w:val="14"/>
                <w:szCs w:val="14"/>
                <w:color w:val="auto"/>
                <w:w w:val="89"/>
              </w:rPr>
              <w:t>Texas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86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345</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56"/>
        </w:trPr>
        <w:tc>
          <w:tcPr>
            <w:tcW w:w="482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Fracs VII and VIII</w:t>
            </w:r>
          </w:p>
        </w:tc>
        <w:tc>
          <w:tcPr>
            <w:tcW w:w="2280" w:type="dxa"/>
            <w:vAlign w:val="bottom"/>
            <w:tcBorders>
              <w:bottom w:val="single" w:sz="8" w:color="CCEEFF"/>
            </w:tcBorders>
          </w:tcPr>
          <w:p>
            <w:pPr>
              <w:jc w:val="center"/>
              <w:ind w:left="1028"/>
              <w:spacing w:after="0" w:line="149" w:lineRule="exact"/>
              <w:rPr>
                <w:sz w:val="20"/>
                <w:szCs w:val="20"/>
                <w:color w:val="auto"/>
              </w:rPr>
            </w:pPr>
            <w:r>
              <w:rPr>
                <w:rFonts w:ascii="Arial" w:cs="Arial" w:eastAsia="Arial" w:hAnsi="Arial"/>
                <w:sz w:val="14"/>
                <w:szCs w:val="14"/>
                <w:color w:val="auto"/>
                <w:w w:val="89"/>
              </w:rPr>
              <w:t>Texas</w:t>
            </w:r>
          </w:p>
        </w:tc>
        <w:tc>
          <w:tcPr>
            <w:tcW w:w="78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75.0%</w:t>
            </w:r>
          </w:p>
        </w:tc>
        <w:tc>
          <w:tcPr>
            <w:tcW w:w="860" w:type="dxa"/>
            <w:vAlign w:val="bottom"/>
            <w:tcBorders>
              <w:bottom w:val="single" w:sz="8" w:color="CCEEFF"/>
            </w:tcBorders>
          </w:tcPr>
          <w:p>
            <w:pPr>
              <w:jc w:val="right"/>
              <w:ind w:right="608"/>
              <w:spacing w:after="0" w:line="149" w:lineRule="exact"/>
              <w:rPr>
                <w:sz w:val="20"/>
                <w:szCs w:val="20"/>
                <w:color w:val="auto"/>
              </w:rPr>
            </w:pPr>
            <w:r>
              <w:rPr>
                <w:rFonts w:ascii="Arial" w:cs="Arial" w:eastAsia="Arial" w:hAnsi="Arial"/>
                <w:sz w:val="14"/>
                <w:szCs w:val="14"/>
                <w:color w:val="auto"/>
                <w:w w:val="93"/>
              </w:rPr>
              <w:t>(3)</w:t>
            </w:r>
          </w:p>
        </w:tc>
        <w:tc>
          <w:tcPr>
            <w:tcW w:w="150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128</w:t>
            </w:r>
          </w:p>
        </w:tc>
        <w:tc>
          <w:tcPr>
            <w:tcW w:w="1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Mont Belvieu complex</w:t>
            </w:r>
          </w:p>
        </w:tc>
        <w:tc>
          <w:tcPr>
            <w:tcW w:w="2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662</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Arial" w:cs="Arial" w:eastAsia="Arial" w:hAnsi="Arial"/>
                <w:sz w:val="14"/>
                <w:szCs w:val="14"/>
                <w:color w:val="auto"/>
              </w:rPr>
              <w:t>Shoup and Armstrong</w:t>
            </w:r>
          </w:p>
        </w:tc>
        <w:tc>
          <w:tcPr>
            <w:tcW w:w="2280" w:type="dxa"/>
            <w:vAlign w:val="bottom"/>
          </w:tcPr>
          <w:p>
            <w:pPr>
              <w:jc w:val="center"/>
              <w:ind w:left="1028"/>
              <w:spacing w:after="0" w:line="149" w:lineRule="exact"/>
              <w:rPr>
                <w:sz w:val="20"/>
                <w:szCs w:val="20"/>
                <w:color w:val="auto"/>
              </w:rPr>
            </w:pPr>
            <w:r>
              <w:rPr>
                <w:rFonts w:ascii="Arial" w:cs="Arial" w:eastAsia="Arial" w:hAnsi="Arial"/>
                <w:sz w:val="14"/>
                <w:szCs w:val="14"/>
                <w:color w:val="auto"/>
                <w:w w:val="89"/>
              </w:rPr>
              <w:t>Texas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860" w:type="dxa"/>
            <w:vAlign w:val="bottom"/>
          </w:tcPr>
          <w:p>
            <w:pPr>
              <w:spacing w:after="0"/>
              <w:rPr>
                <w:sz w:val="12"/>
                <w:szCs w:val="12"/>
                <w:color w:val="auto"/>
              </w:rPr>
            </w:pPr>
          </w:p>
        </w:tc>
        <w:tc>
          <w:tcPr>
            <w:tcW w:w="15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93</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Hobbs</w:t>
            </w:r>
          </w:p>
        </w:tc>
        <w:tc>
          <w:tcPr>
            <w:tcW w:w="2280" w:type="dxa"/>
            <w:vAlign w:val="bottom"/>
            <w:shd w:val="clear" w:color="auto" w:fill="CCEEFF"/>
          </w:tcPr>
          <w:p>
            <w:pPr>
              <w:jc w:val="center"/>
              <w:ind w:left="1028"/>
              <w:spacing w:after="0" w:line="149" w:lineRule="exact"/>
              <w:rPr>
                <w:sz w:val="20"/>
                <w:szCs w:val="20"/>
                <w:color w:val="auto"/>
              </w:rPr>
            </w:pPr>
            <w:r>
              <w:rPr>
                <w:rFonts w:ascii="Arial" w:cs="Arial" w:eastAsia="Arial" w:hAnsi="Arial"/>
                <w:sz w:val="14"/>
                <w:szCs w:val="14"/>
                <w:color w:val="auto"/>
                <w:w w:val="89"/>
              </w:rPr>
              <w:t>Texas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86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75</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Arial" w:cs="Arial" w:eastAsia="Arial" w:hAnsi="Arial"/>
                <w:sz w:val="14"/>
                <w:szCs w:val="14"/>
                <w:color w:val="auto"/>
              </w:rPr>
              <w:t>Norco</w:t>
            </w:r>
          </w:p>
        </w:tc>
        <w:tc>
          <w:tcPr>
            <w:tcW w:w="2280" w:type="dxa"/>
            <w:vAlign w:val="bottom"/>
          </w:tcPr>
          <w:p>
            <w:pPr>
              <w:jc w:val="center"/>
              <w:ind w:left="1008"/>
              <w:spacing w:after="0" w:line="149" w:lineRule="exact"/>
              <w:rPr>
                <w:sz w:val="20"/>
                <w:szCs w:val="20"/>
                <w:color w:val="auto"/>
              </w:rPr>
            </w:pPr>
            <w:r>
              <w:rPr>
                <w:rFonts w:ascii="Arial" w:cs="Arial" w:eastAsia="Arial" w:hAnsi="Arial"/>
                <w:sz w:val="14"/>
                <w:szCs w:val="14"/>
                <w:color w:val="auto"/>
                <w:w w:val="93"/>
              </w:rPr>
              <w:t>Louisiana</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860" w:type="dxa"/>
            <w:vAlign w:val="bottom"/>
          </w:tcPr>
          <w:p>
            <w:pPr>
              <w:spacing w:after="0"/>
              <w:rPr>
                <w:sz w:val="12"/>
                <w:szCs w:val="12"/>
                <w:color w:val="auto"/>
              </w:rPr>
            </w:pPr>
          </w:p>
        </w:tc>
        <w:tc>
          <w:tcPr>
            <w:tcW w:w="15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75</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Promix</w:t>
            </w:r>
          </w:p>
        </w:tc>
        <w:tc>
          <w:tcPr>
            <w:tcW w:w="2280" w:type="dxa"/>
            <w:vAlign w:val="bottom"/>
            <w:shd w:val="clear" w:color="auto" w:fill="CCEEFF"/>
          </w:tcPr>
          <w:p>
            <w:pPr>
              <w:jc w:val="center"/>
              <w:ind w:left="1008"/>
              <w:spacing w:after="0" w:line="149" w:lineRule="exact"/>
              <w:rPr>
                <w:sz w:val="20"/>
                <w:szCs w:val="20"/>
                <w:color w:val="auto"/>
              </w:rPr>
            </w:pPr>
            <w:r>
              <w:rPr>
                <w:rFonts w:ascii="Arial" w:cs="Arial" w:eastAsia="Arial" w:hAnsi="Arial"/>
                <w:sz w:val="14"/>
                <w:szCs w:val="14"/>
                <w:color w:val="auto"/>
                <w:w w:val="93"/>
              </w:rPr>
              <w:t>Louisiana</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86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73</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Arial" w:cs="Arial" w:eastAsia="Arial" w:hAnsi="Arial"/>
                <w:sz w:val="14"/>
                <w:szCs w:val="14"/>
                <w:color w:val="auto"/>
              </w:rPr>
              <w:t>Tebone</w:t>
            </w:r>
          </w:p>
        </w:tc>
        <w:tc>
          <w:tcPr>
            <w:tcW w:w="2280" w:type="dxa"/>
            <w:vAlign w:val="bottom"/>
          </w:tcPr>
          <w:p>
            <w:pPr>
              <w:jc w:val="center"/>
              <w:ind w:left="1008"/>
              <w:spacing w:after="0" w:line="149" w:lineRule="exact"/>
              <w:rPr>
                <w:sz w:val="20"/>
                <w:szCs w:val="20"/>
                <w:color w:val="auto"/>
              </w:rPr>
            </w:pPr>
            <w:r>
              <w:rPr>
                <w:rFonts w:ascii="Arial" w:cs="Arial" w:eastAsia="Arial" w:hAnsi="Arial"/>
                <w:sz w:val="14"/>
                <w:szCs w:val="14"/>
                <w:color w:val="auto"/>
                <w:w w:val="93"/>
              </w:rPr>
              <w:t>Louisiana</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860" w:type="dxa"/>
            <w:vAlign w:val="bottom"/>
          </w:tcPr>
          <w:p>
            <w:pPr>
              <w:spacing w:after="0"/>
              <w:rPr>
                <w:sz w:val="12"/>
                <w:szCs w:val="12"/>
                <w:color w:val="auto"/>
              </w:rPr>
            </w:pPr>
          </w:p>
        </w:tc>
        <w:tc>
          <w:tcPr>
            <w:tcW w:w="15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56"/>
        </w:trPr>
        <w:tc>
          <w:tcPr>
            <w:tcW w:w="482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Baton Rouge</w:t>
            </w:r>
          </w:p>
        </w:tc>
        <w:tc>
          <w:tcPr>
            <w:tcW w:w="2280" w:type="dxa"/>
            <w:vAlign w:val="bottom"/>
            <w:tcBorders>
              <w:bottom w:val="single" w:sz="8" w:color="CCEEFF"/>
            </w:tcBorders>
            <w:shd w:val="clear" w:color="auto" w:fill="CCEEFF"/>
          </w:tcPr>
          <w:p>
            <w:pPr>
              <w:jc w:val="center"/>
              <w:ind w:left="1008"/>
              <w:spacing w:after="0" w:line="149" w:lineRule="exact"/>
              <w:rPr>
                <w:sz w:val="20"/>
                <w:szCs w:val="20"/>
                <w:color w:val="auto"/>
              </w:rPr>
            </w:pPr>
            <w:r>
              <w:rPr>
                <w:rFonts w:ascii="Arial" w:cs="Arial" w:eastAsia="Arial" w:hAnsi="Arial"/>
                <w:sz w:val="14"/>
                <w:szCs w:val="14"/>
                <w:color w:val="auto"/>
                <w:w w:val="93"/>
              </w:rPr>
              <w:t>Louisiana</w:t>
            </w:r>
          </w:p>
        </w:tc>
        <w:tc>
          <w:tcPr>
            <w:tcW w:w="78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32.2%</w:t>
            </w:r>
          </w:p>
        </w:tc>
        <w:tc>
          <w:tcPr>
            <w:tcW w:w="86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19</w:t>
            </w: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6"/>
        </w:trPr>
        <w:tc>
          <w:tcPr>
            <w:tcW w:w="4820" w:type="dxa"/>
            <w:vAlign w:val="bottom"/>
          </w:tcPr>
          <w:p>
            <w:pPr>
              <w:ind w:left="120"/>
              <w:spacing w:after="0" w:line="155" w:lineRule="exact"/>
              <w:rPr>
                <w:sz w:val="20"/>
                <w:szCs w:val="20"/>
                <w:color w:val="auto"/>
              </w:rPr>
            </w:pPr>
            <w:r>
              <w:rPr>
                <w:rFonts w:ascii="Arial" w:cs="Arial" w:eastAsia="Arial" w:hAnsi="Arial"/>
                <w:sz w:val="14"/>
                <w:szCs w:val="14"/>
                <w:color w:val="auto"/>
              </w:rPr>
              <w:t>Total</w:t>
            </w:r>
          </w:p>
        </w:tc>
        <w:tc>
          <w:tcPr>
            <w:tcW w:w="2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1,027</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1,238</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460" w:hanging="452"/>
        <w:spacing w:after="0" w:line="230" w:lineRule="auto"/>
        <w:tabs>
          <w:tab w:leader="none" w:pos="4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approximate net plant capacity does not necessarily correspond to our ownership interest in each facility. The capacity is based on a variety of factors such as the level of volumes an owner processes at the facility and contractual arrangements with joint owners.</w:t>
      </w:r>
    </w:p>
    <w:p>
      <w:pPr>
        <w:ind w:left="460" w:hanging="452"/>
        <w:spacing w:after="0" w:line="221" w:lineRule="auto"/>
        <w:tabs>
          <w:tab w:leader="none" w:pos="4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proportionately consolidate a 75% undivided interest in these fractionators.</w:t>
      </w:r>
    </w:p>
    <w:p>
      <w:pPr>
        <w:ind w:left="460" w:hanging="452"/>
        <w:spacing w:after="0"/>
        <w:tabs>
          <w:tab w:leader="none" w:pos="4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own a 75% consolidated equity interest in NGL fractionators VII and VIII through our majority owned subsidiary, Enterprise EF78 LLC.</w:t>
      </w:r>
    </w:p>
    <w:p>
      <w:pPr>
        <w:spacing w:after="0" w:line="2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 weighted-average basis, overall utilization rates for our NGL fractionators were 97.8%, 94.0% and 91.0% during the years ended December 31, 2019, 2018 and 2017,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describes our NGL fractionators, all of which we operate.</w:t>
      </w:r>
    </w:p>
    <w:p>
      <w:pPr>
        <w:spacing w:after="0" w:line="252" w:lineRule="exact"/>
        <w:rPr>
          <w:sz w:val="20"/>
          <w:szCs w:val="20"/>
          <w:color w:val="auto"/>
        </w:rPr>
      </w:pPr>
    </w:p>
    <w:p>
      <w:pPr>
        <w:jc w:val="both"/>
        <w:ind w:left="500" w:hanging="330"/>
        <w:spacing w:after="0" w:line="232" w:lineRule="auto"/>
        <w:tabs>
          <w:tab w:leader="none" w:pos="50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Mont Belvieu</w:t>
      </w:r>
      <w:r>
        <w:rPr>
          <w:rFonts w:ascii="Arial" w:cs="Arial" w:eastAsia="Arial" w:hAnsi="Arial"/>
          <w:sz w:val="18"/>
          <w:szCs w:val="18"/>
          <w:color w:val="auto"/>
        </w:rPr>
        <w:t xml:space="preserve"> NGL fractionation complex includes fractionators located either in Mont Belvieu, Texas or in surrounding areas of Chambers County, Texas. This complex processes mixed NGLs from several major NGL supply basins in North America, including the Permian Basin, Rocky Mountains, Eagle Ford Shale, Mid-Continent and San Juan Basin. In addition, the Mont Belvieu NGL fractionation complex features connectivity to our network of NGL supply and distribution pipelines, approximately 130 MMBbls of underground salt dome storage capacity, along with access to international markets through our marine terminals located on the Houston Ship Channel. Demand for NGL fractionation capacity continues to expand as producers in domestic shale plays such as the Permian Basin, Eagle Ford Shale and DJ Basin seek market access and end users require supply assurance.</w:t>
      </w:r>
    </w:p>
    <w:p>
      <w:pPr>
        <w:spacing w:after="0" w:line="232" w:lineRule="exact"/>
        <w:rPr>
          <w:rFonts w:ascii="Arial" w:cs="Arial" w:eastAsia="Arial" w:hAnsi="Arial"/>
          <w:sz w:val="29"/>
          <w:szCs w:val="29"/>
          <w:color w:val="auto"/>
          <w:vertAlign w:val="superscript"/>
        </w:rPr>
      </w:pPr>
    </w:p>
    <w:p>
      <w:pPr>
        <w:jc w:val="both"/>
        <w:ind w:left="500"/>
        <w:spacing w:after="0" w:line="255" w:lineRule="auto"/>
        <w:rPr>
          <w:rFonts w:ascii="Arial" w:cs="Arial" w:eastAsia="Arial" w:hAnsi="Arial"/>
          <w:sz w:val="29"/>
          <w:szCs w:val="29"/>
          <w:color w:val="auto"/>
          <w:vertAlign w:val="superscript"/>
        </w:rPr>
      </w:pPr>
      <w:r>
        <w:rPr>
          <w:rFonts w:ascii="Arial" w:cs="Arial" w:eastAsia="Arial" w:hAnsi="Arial"/>
          <w:sz w:val="18"/>
          <w:szCs w:val="18"/>
          <w:color w:val="auto"/>
        </w:rPr>
        <w:t>In November 2018, we announced plans to construct a new NGL fractionation facility in Chambers County, Texas adjacent to our existing Mont Belvieu NGL fractionation complex. The new facility consists of two fractionation trains capable of processing a combined 300 MBPD of NGLs. The first of the two fractionation trains, referred to as “Frac X,” has a nameplate capacity of 150 MBPD and is expected to enter service in the first quarter of 2020. The second of these fractionation trains, referred to as “Frac XI,” will also have a nameplate capacity of 150 MBPD, and is scheduled to begin service in the third quarter of 2020. We will own and operate both Frac X and Frac XI. Once Frac XI enters service, total NGL fractionation capacity at our Mont Belvieu complex will approximate 1.1 MMBPD.</w:t>
      </w:r>
    </w:p>
    <w:p>
      <w:pPr>
        <w:spacing w:after="0" w:line="220" w:lineRule="exact"/>
        <w:rPr>
          <w:rFonts w:ascii="Arial" w:cs="Arial" w:eastAsia="Arial" w:hAnsi="Arial"/>
          <w:sz w:val="29"/>
          <w:szCs w:val="29"/>
          <w:color w:val="auto"/>
          <w:vertAlign w:val="superscript"/>
        </w:rPr>
      </w:pPr>
    </w:p>
    <w:p>
      <w:pPr>
        <w:jc w:val="both"/>
        <w:ind w:left="500" w:hanging="330"/>
        <w:spacing w:after="0" w:line="212" w:lineRule="auto"/>
        <w:tabs>
          <w:tab w:leader="none" w:pos="50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Shoup and Armstrong</w:t>
      </w:r>
      <w:r>
        <w:rPr>
          <w:rFonts w:ascii="Arial" w:cs="Arial" w:eastAsia="Arial" w:hAnsi="Arial"/>
          <w:sz w:val="18"/>
          <w:szCs w:val="18"/>
          <w:color w:val="auto"/>
        </w:rPr>
        <w:t xml:space="preserve"> NGL fractionators in South Texas process mixed NGLs supplied by regional natural gas processing facilities. Purity NGL products from the Shoup and Armstrong fractionators are transported to local markets in the Corpus Christi area and also to the Mont Belvieu hub using our South Texas NGL Pipeline System.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In November 2018, we announced a project to optimize our Shoup NGL fractionator by expanding and repurposing a portion of our South Texas pipeline infrastructure. The project entailed the construction of approximately 20 miles of new pipeline along with the conversion of approximately 60 miles of existing natural gas pipelines to NGL service. The expansion project, which allows us to supply Shoup with an additional 25 MBPD of NGL volumes, was completed in the second quarter of 2019.</w:t>
      </w:r>
    </w:p>
    <w:p>
      <w:pPr>
        <w:spacing w:after="0" w:line="214" w:lineRule="exact"/>
        <w:rPr>
          <w:sz w:val="20"/>
          <w:szCs w:val="20"/>
          <w:color w:val="auto"/>
        </w:rPr>
      </w:pPr>
    </w:p>
    <w:p>
      <w:pPr>
        <w:jc w:val="both"/>
        <w:ind w:left="500" w:hanging="330"/>
        <w:spacing w:after="0" w:line="238" w:lineRule="auto"/>
        <w:tabs>
          <w:tab w:leader="none" w:pos="500"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Hobbs</w:t>
      </w:r>
      <w:r>
        <w:rPr>
          <w:rFonts w:ascii="Arial" w:cs="Arial" w:eastAsia="Arial" w:hAnsi="Arial"/>
          <w:sz w:val="16"/>
          <w:szCs w:val="16"/>
          <w:color w:val="auto"/>
        </w:rPr>
        <w:t xml:space="preserve"> NGL fractionator serves NGL producers in West Texas, New Mexico and Colorado. This fractionator receives mixed NGLs from several major supply basins, including the Mid-Continent, Permian Basin, San Juan Basin and Rocky Mountains. The facility is located at the interconnect of our Mid-America Pipeline System and Seminole NGL Pipeline, thus providing customers access to both the Mont Belvieu and Conway hubs.</w:t>
      </w:r>
    </w:p>
    <w:p>
      <w:pPr>
        <w:spacing w:after="0" w:line="229" w:lineRule="exact"/>
        <w:rPr>
          <w:rFonts w:ascii="Arial" w:cs="Arial" w:eastAsia="Arial" w:hAnsi="Arial"/>
          <w:sz w:val="26"/>
          <w:szCs w:val="26"/>
          <w:color w:val="auto"/>
          <w:vertAlign w:val="superscript"/>
        </w:rPr>
      </w:pPr>
    </w:p>
    <w:p>
      <w:pPr>
        <w:ind w:left="500" w:hanging="330"/>
        <w:spacing w:after="0" w:line="198" w:lineRule="auto"/>
        <w:tabs>
          <w:tab w:leader="none" w:pos="50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Norco</w:t>
      </w:r>
      <w:r>
        <w:rPr>
          <w:rFonts w:ascii="Arial" w:cs="Arial" w:eastAsia="Arial" w:hAnsi="Arial"/>
          <w:sz w:val="18"/>
          <w:szCs w:val="18"/>
          <w:color w:val="auto"/>
        </w:rPr>
        <w:t xml:space="preserve"> NGL fractionator receives mixed NGLs from refineries and natural gas processing facilities located in southern Louisiana and along the Mississippi and Alabama Gulf Coast, including our Pascagoula and Venice facilities.</w:t>
      </w:r>
    </w:p>
    <w:p>
      <w:pPr>
        <w:spacing w:after="0" w:line="229" w:lineRule="exact"/>
        <w:rPr>
          <w:rFonts w:ascii="Arial" w:cs="Arial" w:eastAsia="Arial" w:hAnsi="Arial"/>
          <w:sz w:val="29"/>
          <w:szCs w:val="29"/>
          <w:color w:val="auto"/>
          <w:vertAlign w:val="superscript"/>
        </w:rPr>
      </w:pPr>
    </w:p>
    <w:p>
      <w:pPr>
        <w:jc w:val="both"/>
        <w:ind w:left="500" w:hanging="330"/>
        <w:spacing w:after="0" w:line="220" w:lineRule="auto"/>
        <w:tabs>
          <w:tab w:leader="none" w:pos="50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Promix</w:t>
      </w:r>
      <w:r>
        <w:rPr>
          <w:rFonts w:ascii="Arial" w:cs="Arial" w:eastAsia="Arial" w:hAnsi="Arial"/>
          <w:sz w:val="18"/>
          <w:szCs w:val="18"/>
          <w:color w:val="auto"/>
        </w:rPr>
        <w:t xml:space="preserve"> NGL fractionator receives mixed NGLs from natural gas processing facilities located in south Louisiana and along the Mississippi Gulf Coast, including our Neptune and Pascagoula plants. The Promix NGL fractionation facility includes three NGL storage caverns and a barge dock that are integral to its operations. Our 50% ownership interest in the Promix fractionator is held indirectly through our equity method investment in Promix.</w:t>
      </w:r>
    </w:p>
    <w:p>
      <w:pPr>
        <w:spacing w:after="0" w:line="232" w:lineRule="exact"/>
        <w:rPr>
          <w:rFonts w:ascii="Arial" w:cs="Arial" w:eastAsia="Arial" w:hAnsi="Arial"/>
          <w:sz w:val="29"/>
          <w:szCs w:val="29"/>
          <w:color w:val="auto"/>
          <w:vertAlign w:val="superscript"/>
        </w:rPr>
      </w:pPr>
    </w:p>
    <w:p>
      <w:pPr>
        <w:jc w:val="both"/>
        <w:ind w:left="500" w:hanging="330"/>
        <w:spacing w:after="0" w:line="220" w:lineRule="auto"/>
        <w:tabs>
          <w:tab w:leader="none" w:pos="50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Tebone</w:t>
      </w:r>
      <w:r>
        <w:rPr>
          <w:rFonts w:ascii="Arial" w:cs="Arial" w:eastAsia="Arial" w:hAnsi="Arial"/>
          <w:sz w:val="18"/>
          <w:szCs w:val="18"/>
          <w:color w:val="auto"/>
        </w:rPr>
        <w:t xml:space="preserve"> NGL fractionator, which was restarted in February 2019 in light of regional demand for fractionation services, receives mixed NGLs from our Louisiana natural gas processing facilities, as well as our Mont Belvieu storage complex. The resumption of service at our Tebone fractionator complements our operations at the Norco and Promix NGL fractionators and provides us with another processing option for mixed NGLs delivered to Mont Belvieu.</w:t>
      </w:r>
    </w:p>
    <w:p>
      <w:pPr>
        <w:spacing w:after="0" w:line="232" w:lineRule="exact"/>
        <w:rPr>
          <w:rFonts w:ascii="Arial" w:cs="Arial" w:eastAsia="Arial" w:hAnsi="Arial"/>
          <w:sz w:val="29"/>
          <w:szCs w:val="29"/>
          <w:color w:val="auto"/>
          <w:vertAlign w:val="superscript"/>
        </w:rPr>
      </w:pPr>
    </w:p>
    <w:p>
      <w:pPr>
        <w:jc w:val="both"/>
        <w:ind w:left="500" w:hanging="330"/>
        <w:spacing w:after="0" w:line="212" w:lineRule="auto"/>
        <w:tabs>
          <w:tab w:leader="none" w:pos="50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Baton Rouge</w:t>
      </w:r>
      <w:r>
        <w:rPr>
          <w:rFonts w:ascii="Arial" w:cs="Arial" w:eastAsia="Arial" w:hAnsi="Arial"/>
          <w:sz w:val="18"/>
          <w:szCs w:val="18"/>
          <w:color w:val="auto"/>
        </w:rPr>
        <w:t xml:space="preserve"> NGL fractionator receives mixed NGLs from natural gas processing facilities located in Alabama, Mississippi and south Louisiana. This facility includes a leased NGL storage cavern. Our 32.2% ownership interest in the Baton Rouge fractionator is held indirectly through our equity method investment in Baton Rouge Fractionators LLC.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NGL and related product storage facilities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utilize underground salt dome storage caverns and above-ground storage tanks to store mixed and purity NGLs, petrochemicals and related products that are owned by us and our customers. The results of operations from our storage facilities are dependent upon the level of storage capacity reserved by customers, the volume of product delivered into and withdrawn from storage, and the level of associated fees we charge.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information regarding our NGL and related product storage assets at February 1,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Net Usable</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Storage</w:t>
            </w:r>
          </w:p>
        </w:tc>
        <w:tc>
          <w:tcPr>
            <w:tcW w:w="0" w:type="dxa"/>
            <w:vAlign w:val="bottom"/>
          </w:tcPr>
          <w:p>
            <w:pPr>
              <w:spacing w:after="0"/>
              <w:rPr>
                <w:sz w:val="1"/>
                <w:szCs w:val="1"/>
                <w:color w:val="auto"/>
              </w:rPr>
            </w:pPr>
          </w:p>
        </w:tc>
      </w:tr>
      <w:tr>
        <w:trPr>
          <w:trHeight w:val="178"/>
        </w:trPr>
        <w:tc>
          <w:tcPr>
            <w:tcW w:w="5520" w:type="dxa"/>
            <w:vAlign w:val="bottom"/>
            <w:vMerge w:val="restart"/>
          </w:tcPr>
          <w:p>
            <w:pPr>
              <w:ind w:left="2720"/>
              <w:spacing w:after="0"/>
              <w:rPr>
                <w:sz w:val="20"/>
                <w:szCs w:val="20"/>
                <w:color w:val="auto"/>
              </w:rPr>
            </w:pPr>
            <w:r>
              <w:rPr>
                <w:rFonts w:ascii="Arial" w:cs="Arial" w:eastAsia="Arial" w:hAnsi="Arial"/>
                <w:sz w:val="14"/>
                <w:szCs w:val="14"/>
                <w:b w:val="1"/>
                <w:bCs w:val="1"/>
                <w:color w:val="auto"/>
              </w:rPr>
              <w:t>Description of Asset</w:t>
            </w:r>
          </w:p>
        </w:tc>
        <w:tc>
          <w:tcPr>
            <w:tcW w:w="2660" w:type="dxa"/>
            <w:vAlign w:val="bottom"/>
            <w:vMerge w:val="restart"/>
          </w:tcPr>
          <w:p>
            <w:pPr>
              <w:jc w:val="center"/>
              <w:ind w:left="1088"/>
              <w:spacing w:after="0"/>
              <w:rPr>
                <w:sz w:val="20"/>
                <w:szCs w:val="20"/>
                <w:color w:val="auto"/>
              </w:rPr>
            </w:pPr>
            <w:r>
              <w:rPr>
                <w:rFonts w:ascii="Arial" w:cs="Arial" w:eastAsia="Arial" w:hAnsi="Arial"/>
                <w:sz w:val="14"/>
                <w:szCs w:val="14"/>
                <w:b w:val="1"/>
                <w:bCs w:val="1"/>
                <w:color w:val="auto"/>
                <w:w w:val="92"/>
              </w:rPr>
              <w:t>Location</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5"/>
              </w:rPr>
              <w:t>Capacity</w:t>
            </w:r>
          </w:p>
        </w:tc>
        <w:tc>
          <w:tcPr>
            <w:tcW w:w="0" w:type="dxa"/>
            <w:vAlign w:val="bottom"/>
          </w:tcPr>
          <w:p>
            <w:pPr>
              <w:spacing w:after="0"/>
              <w:rPr>
                <w:sz w:val="1"/>
                <w:szCs w:val="1"/>
                <w:color w:val="auto"/>
              </w:rPr>
            </w:pPr>
          </w:p>
        </w:tc>
      </w:tr>
      <w:tr>
        <w:trPr>
          <w:trHeight w:val="178"/>
        </w:trPr>
        <w:tc>
          <w:tcPr>
            <w:tcW w:w="5520" w:type="dxa"/>
            <w:vAlign w:val="bottom"/>
            <w:tcBorders>
              <w:bottom w:val="single" w:sz="8" w:color="auto"/>
            </w:tcBorders>
            <w:vMerge w:val="continue"/>
          </w:tcPr>
          <w:p>
            <w:pPr>
              <w:spacing w:after="0"/>
              <w:rPr>
                <w:sz w:val="15"/>
                <w:szCs w:val="15"/>
                <w:color w:val="auto"/>
              </w:rPr>
            </w:pPr>
          </w:p>
        </w:tc>
        <w:tc>
          <w:tcPr>
            <w:tcW w:w="2660" w:type="dxa"/>
            <w:vAlign w:val="bottom"/>
            <w:tcBorders>
              <w:bottom w:val="single" w:sz="8" w:color="auto"/>
            </w:tcBorders>
            <w:vMerge w:val="continue"/>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xml:space="preserve">(MMBbls) </w:t>
            </w:r>
            <w:r>
              <w:rPr>
                <w:rFonts w:ascii="Arial" w:cs="Arial" w:eastAsia="Arial" w:hAnsi="Arial"/>
                <w:sz w:val="14"/>
                <w:szCs w:val="14"/>
                <w:color w:val="auto"/>
                <w:w w:val="99"/>
              </w:rPr>
              <w:t>(1)</w:t>
            </w: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Mont Belvieu storage complex</w:t>
            </w:r>
          </w:p>
        </w:tc>
        <w:tc>
          <w:tcPr>
            <w:tcW w:w="2660" w:type="dxa"/>
            <w:vAlign w:val="bottom"/>
            <w:shd w:val="clear" w:color="auto" w:fill="CCEEFF"/>
          </w:tcPr>
          <w:p>
            <w:pPr>
              <w:jc w:val="center"/>
              <w:ind w:left="1068"/>
              <w:spacing w:after="0" w:line="149" w:lineRule="exact"/>
              <w:rPr>
                <w:sz w:val="20"/>
                <w:szCs w:val="20"/>
                <w:color w:val="auto"/>
              </w:rPr>
            </w:pPr>
            <w:r>
              <w:rPr>
                <w:rFonts w:ascii="Arial" w:cs="Arial" w:eastAsia="Arial" w:hAnsi="Arial"/>
                <w:sz w:val="14"/>
                <w:szCs w:val="14"/>
                <w:color w:val="auto"/>
                <w:w w:val="83"/>
              </w:rPr>
              <w:t>Texas</w:t>
            </w:r>
          </w:p>
        </w:tc>
        <w:tc>
          <w:tcPr>
            <w:tcW w:w="1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100.0%</w:t>
            </w:r>
          </w:p>
        </w:tc>
        <w:tc>
          <w:tcPr>
            <w:tcW w:w="1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129.8</w:t>
            </w:r>
          </w:p>
        </w:tc>
        <w:tc>
          <w:tcPr>
            <w:tcW w:w="0" w:type="dxa"/>
            <w:vAlign w:val="bottom"/>
          </w:tcPr>
          <w:p>
            <w:pPr>
              <w:spacing w:after="0"/>
              <w:rPr>
                <w:sz w:val="1"/>
                <w:szCs w:val="1"/>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Almeda and Markham (2)</w:t>
            </w:r>
          </w:p>
        </w:tc>
        <w:tc>
          <w:tcPr>
            <w:tcW w:w="2660" w:type="dxa"/>
            <w:vAlign w:val="bottom"/>
          </w:tcPr>
          <w:p>
            <w:pPr>
              <w:jc w:val="center"/>
              <w:ind w:left="1068"/>
              <w:spacing w:after="0" w:line="149" w:lineRule="exact"/>
              <w:rPr>
                <w:sz w:val="20"/>
                <w:szCs w:val="20"/>
                <w:color w:val="auto"/>
              </w:rPr>
            </w:pPr>
            <w:r>
              <w:rPr>
                <w:rFonts w:ascii="Arial" w:cs="Arial" w:eastAsia="Arial" w:hAnsi="Arial"/>
                <w:sz w:val="14"/>
                <w:szCs w:val="14"/>
                <w:color w:val="auto"/>
                <w:w w:val="83"/>
              </w:rPr>
              <w:t>Texas</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87"/>
              </w:rPr>
              <w:t>Leased</w:t>
            </w:r>
          </w:p>
        </w:tc>
        <w:tc>
          <w:tcPr>
            <w:tcW w:w="168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Breaux Bridge, Anse La Butte and Sorrento (3)</w:t>
            </w:r>
          </w:p>
        </w:tc>
        <w:tc>
          <w:tcPr>
            <w:tcW w:w="2660" w:type="dxa"/>
            <w:vAlign w:val="bottom"/>
            <w:shd w:val="clear" w:color="auto" w:fill="CCEEFF"/>
          </w:tcPr>
          <w:p>
            <w:pPr>
              <w:jc w:val="center"/>
              <w:ind w:left="1068"/>
              <w:spacing w:after="0" w:line="149" w:lineRule="exact"/>
              <w:rPr>
                <w:sz w:val="20"/>
                <w:szCs w:val="20"/>
                <w:color w:val="auto"/>
              </w:rPr>
            </w:pPr>
            <w:r>
              <w:rPr>
                <w:rFonts w:ascii="Arial" w:cs="Arial" w:eastAsia="Arial" w:hAnsi="Arial"/>
                <w:sz w:val="14"/>
                <w:szCs w:val="14"/>
                <w:color w:val="auto"/>
                <w:w w:val="93"/>
              </w:rPr>
              <w:t>Louisiana</w:t>
            </w:r>
          </w:p>
        </w:tc>
        <w:tc>
          <w:tcPr>
            <w:tcW w:w="1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100.0%</w:t>
            </w:r>
          </w:p>
        </w:tc>
        <w:tc>
          <w:tcPr>
            <w:tcW w:w="1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9"/>
        </w:trPr>
        <w:tc>
          <w:tcPr>
            <w:tcW w:w="5520" w:type="dxa"/>
            <w:vAlign w:val="bottom"/>
          </w:tcPr>
          <w:p>
            <w:pPr>
              <w:spacing w:after="0" w:line="149" w:lineRule="exact"/>
              <w:rPr>
                <w:sz w:val="20"/>
                <w:szCs w:val="20"/>
                <w:color w:val="auto"/>
              </w:rPr>
            </w:pPr>
            <w:r>
              <w:rPr>
                <w:rFonts w:ascii="Arial" w:cs="Arial" w:eastAsia="Arial" w:hAnsi="Arial"/>
                <w:sz w:val="14"/>
                <w:szCs w:val="14"/>
                <w:color w:val="auto"/>
              </w:rPr>
              <w:t>Petal (4)</w:t>
            </w:r>
          </w:p>
        </w:tc>
        <w:tc>
          <w:tcPr>
            <w:tcW w:w="2660" w:type="dxa"/>
            <w:vAlign w:val="bottom"/>
          </w:tcPr>
          <w:p>
            <w:pPr>
              <w:jc w:val="center"/>
              <w:ind w:left="1088"/>
              <w:spacing w:after="0" w:line="149" w:lineRule="exact"/>
              <w:rPr>
                <w:sz w:val="20"/>
                <w:szCs w:val="20"/>
                <w:color w:val="auto"/>
              </w:rPr>
            </w:pPr>
            <w:r>
              <w:rPr>
                <w:rFonts w:ascii="Arial" w:cs="Arial" w:eastAsia="Arial" w:hAnsi="Arial"/>
                <w:sz w:val="14"/>
                <w:szCs w:val="14"/>
                <w:color w:val="auto"/>
                <w:w w:val="97"/>
              </w:rPr>
              <w:t>Mississippi</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2"/>
              </w:rPr>
              <w:t>100.0%</w:t>
            </w:r>
          </w:p>
        </w:tc>
        <w:tc>
          <w:tcPr>
            <w:tcW w:w="168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Hutchinson (5)</w:t>
            </w:r>
          </w:p>
        </w:tc>
        <w:tc>
          <w:tcPr>
            <w:tcW w:w="2660" w:type="dxa"/>
            <w:vAlign w:val="bottom"/>
            <w:shd w:val="clear" w:color="auto" w:fill="CCEEFF"/>
          </w:tcPr>
          <w:p>
            <w:pPr>
              <w:jc w:val="center"/>
              <w:ind w:left="1088"/>
              <w:spacing w:after="0" w:line="149" w:lineRule="exact"/>
              <w:rPr>
                <w:sz w:val="20"/>
                <w:szCs w:val="20"/>
                <w:color w:val="auto"/>
              </w:rPr>
            </w:pPr>
            <w:r>
              <w:rPr>
                <w:rFonts w:ascii="Arial" w:cs="Arial" w:eastAsia="Arial" w:hAnsi="Arial"/>
                <w:sz w:val="14"/>
                <w:szCs w:val="14"/>
                <w:color w:val="auto"/>
                <w:w w:val="89"/>
              </w:rPr>
              <w:t>Kansas</w:t>
            </w:r>
          </w:p>
        </w:tc>
        <w:tc>
          <w:tcPr>
            <w:tcW w:w="1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100.0%</w:t>
            </w:r>
          </w:p>
        </w:tc>
        <w:tc>
          <w:tcPr>
            <w:tcW w:w="1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56"/>
        </w:trPr>
        <w:tc>
          <w:tcPr>
            <w:tcW w:w="55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Others (6)</w:t>
            </w:r>
          </w:p>
        </w:tc>
        <w:tc>
          <w:tcPr>
            <w:tcW w:w="2660" w:type="dxa"/>
            <w:vAlign w:val="bottom"/>
            <w:tcBorders>
              <w:bottom w:val="single" w:sz="8" w:color="CCEEFF"/>
            </w:tcBorders>
          </w:tcPr>
          <w:p>
            <w:pPr>
              <w:jc w:val="center"/>
              <w:ind w:left="1068"/>
              <w:spacing w:after="0" w:line="149" w:lineRule="exact"/>
              <w:rPr>
                <w:sz w:val="20"/>
                <w:szCs w:val="20"/>
                <w:color w:val="auto"/>
              </w:rPr>
            </w:pPr>
            <w:r>
              <w:rPr>
                <w:rFonts w:ascii="Arial" w:cs="Arial" w:eastAsia="Arial" w:hAnsi="Arial"/>
                <w:sz w:val="14"/>
                <w:szCs w:val="14"/>
                <w:color w:val="auto"/>
                <w:w w:val="92"/>
              </w:rPr>
              <w:t>Various</w:t>
            </w:r>
          </w:p>
        </w:tc>
        <w:tc>
          <w:tcPr>
            <w:tcW w:w="156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w w:val="92"/>
              </w:rPr>
              <w:t>Various</w:t>
            </w:r>
          </w:p>
        </w:tc>
        <w:tc>
          <w:tcPr>
            <w:tcW w:w="1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01"/>
        </w:trPr>
        <w:tc>
          <w:tcPr>
            <w:tcW w:w="5520" w:type="dxa"/>
            <w:vAlign w:val="bottom"/>
            <w:tcBorders>
              <w:bottom w:val="single" w:sz="8" w:color="CCEEFF"/>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Total</w:t>
            </w:r>
          </w:p>
        </w:tc>
        <w:tc>
          <w:tcPr>
            <w:tcW w:w="26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178.5</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Net usable storage capacity is based on our ownership interest or contractual right-of-use.</w:t>
      </w:r>
    </w:p>
    <w:p>
      <w:pPr>
        <w:ind w:left="580" w:hanging="572"/>
        <w:spacing w:after="0" w:line="221" w:lineRule="auto"/>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These storage facilities are used in connection with our South Texas NGL Pipeline System.</w:t>
      </w:r>
    </w:p>
    <w:p>
      <w:pPr>
        <w:ind w:left="580" w:hanging="572"/>
        <w:spacing w:after="0" w:line="221" w:lineRule="auto"/>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These storage facilities are used in connection with our Louisiana Pipeline System.</w:t>
      </w:r>
    </w:p>
    <w:p>
      <w:pPr>
        <w:ind w:left="580" w:hanging="572"/>
        <w:spacing w:after="0" w:line="221" w:lineRule="auto"/>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This storage facility is used in connection with our Dixie Pipeline.</w:t>
      </w:r>
    </w:p>
    <w:p>
      <w:pPr>
        <w:ind w:left="580" w:hanging="572"/>
        <w:spacing w:after="0" w:line="221" w:lineRule="auto"/>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This storage facility is used in connection with our Mid-America Pipeline System.</w:t>
      </w:r>
    </w:p>
    <w:p>
      <w:pPr>
        <w:ind w:left="580" w:hanging="572"/>
        <w:spacing w:after="0" w:line="237" w:lineRule="auto"/>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Primarily consists of operational storage capacity for our major pipeline systems, including the Mid-America Pipeline System, Dixie Pipeline and TE Products Pipeline. We own substantially all of this storage capacity.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operate substantially all of our NGL and related product storage facilities.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largest underground storage facility is located at the Mont Belvieu hub in Chambers County, Texas. This facility consists of 38 underground salt dome caverns used to store and redeliver mixed and purity NGLs, petrochemicals and related products. This facility has an aggregate usable storage capacity of 129.8 MMBbls, a brine system with approximately 31 MMBbls of above-ground brine storage capacity and five wells used in brine production.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NGL marine terminals and related operations</w:t>
      </w:r>
    </w:p>
    <w:p>
      <w:pPr>
        <w:spacing w:after="0" w:line="2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We own and operate marine export and import terminals for NGLs. The results of operations from these facilities, all of which are located on the Houston Ship Channel, are primarily dependent upon the level of volumes handled and the associated loading/unloading fees we charge for such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describes our Houston Ship Channel terminals, both of which we operate.</w:t>
      </w:r>
    </w:p>
    <w:p>
      <w:pPr>
        <w:spacing w:after="0" w:line="252" w:lineRule="exact"/>
        <w:rPr>
          <w:sz w:val="20"/>
          <w:szCs w:val="20"/>
          <w:color w:val="auto"/>
        </w:rPr>
      </w:pPr>
    </w:p>
    <w:p>
      <w:pPr>
        <w:jc w:val="both"/>
        <w:ind w:left="500" w:hanging="330"/>
        <w:spacing w:after="0" w:line="242" w:lineRule="auto"/>
        <w:tabs>
          <w:tab w:leader="none" w:pos="50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Enterprise Hydrocarbons Terminal</w:t>
      </w:r>
      <w:r>
        <w:rPr>
          <w:rFonts w:ascii="Arial" w:cs="Arial" w:eastAsia="Arial" w:hAnsi="Arial"/>
          <w:sz w:val="17"/>
          <w:szCs w:val="17"/>
          <w:color w:val="auto"/>
        </w:rPr>
        <w:t xml:space="preserve"> (“EHT”) is located on the Houston Ship Channel and provides terminaling services to exporters, marketers, distributors, chemical companies and major integrated oil companies. EHT has extensive waterfront access consisting of seven deep-water ship docks and one barge dock. The terminal can accommodate vessels with up to a 45 foot draft, including Suezmax tankers, which are the largest tankers that can navigate the Houston Ship Channel. We believe that our location on the Houston Ship Channel enables us to handle larger vessels than our competitors because our waterfront has fewer draft and beam (width) restrictions. The size and structure of our waterfront allows us to receive and unload products for our customers and provide terminaling and dock services.</w:t>
      </w:r>
    </w:p>
    <w:p>
      <w:pPr>
        <w:spacing w:after="0" w:line="229" w:lineRule="exact"/>
        <w:rPr>
          <w:rFonts w:ascii="Arial" w:cs="Arial" w:eastAsia="Arial" w:hAnsi="Arial"/>
          <w:sz w:val="28"/>
          <w:szCs w:val="28"/>
          <w:color w:val="auto"/>
          <w:vertAlign w:val="superscript"/>
        </w:rPr>
      </w:pPr>
    </w:p>
    <w:p>
      <w:pPr>
        <w:jc w:val="both"/>
        <w:ind w:left="500" w:right="20"/>
        <w:spacing w:after="0" w:line="302" w:lineRule="auto"/>
        <w:rPr>
          <w:rFonts w:ascii="Arial" w:cs="Arial" w:eastAsia="Arial" w:hAnsi="Arial"/>
          <w:sz w:val="28"/>
          <w:szCs w:val="28"/>
          <w:color w:val="auto"/>
          <w:vertAlign w:val="superscript"/>
        </w:rPr>
      </w:pPr>
      <w:r>
        <w:rPr>
          <w:rFonts w:ascii="Arial" w:cs="Arial" w:eastAsia="Arial" w:hAnsi="Arial"/>
          <w:sz w:val="16"/>
          <w:szCs w:val="16"/>
          <w:color w:val="auto"/>
        </w:rPr>
        <w:t>EHT can load refrigerated cargoes of low-ethane propane and/or butane (collectively referred to as LPG) onto multiple tanker vessels simultaneously. Our LPG export services continue to benefit from increased NGL supplies produced from domestic shale plays such as the Permian Basin and Eagle Ford Shale, international demand for propane as a feedstock in ethylene production and for power generation and heating purposes. LPG loading volumes at EHT averaged 483 MBPD, 445 MBPD and 424 MBPD during the years ended December 31, 2019, 2018 and 2017, respectively.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Our current maximum estimated loading capacity for LPG at EHT is approximately 835 MBPD, with 175 MBPD of this loading capacity placed into service during the third quarter of 2019. EHT has the capability to load up to six Very Large Gas Carrier (“VLGC”) vessels simultaneously, while maintaining the option to switch between loading propane and butane. EHT can load a single VLGC in less than 24 hours, creating greater efficiencies and cost savings for our customers. In 2019, we commenced construction on an expansion project at EHT that is currently expected to increase our LPG loading capacity by an additional 265 MBPD. When this latest expansion project is completed in the second half of 2021, EHT will have a new maximum LPG loading capacity of approximately 1.1 MMBPD, or 33 MMBbls per month.</w:t>
      </w:r>
    </w:p>
    <w:p>
      <w:pPr>
        <w:spacing w:after="0" w:line="205"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The primary customer of EHT is our NGL marketing group, which uses EHT to meet the needs of export customers. NGL marketing transacts with these customers using long-term sales contracts with take-or-pay provisions and/or exchange agreements. In recent years, the U.S. has become the largest exporter of LPG in the world, with shipments originating from EHT playing a key role.</w:t>
      </w:r>
    </w:p>
    <w:p>
      <w:pPr>
        <w:spacing w:after="0" w:line="208"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EHT also includes an NGL import terminal. This import terminal can offload NGLs from tanker vessels at rates up to 14,000 barrels per hour depending on the product. Our NGL import volumes for the last three years were minimal.</w:t>
      </w:r>
    </w:p>
    <w:p>
      <w:pPr>
        <w:spacing w:after="0" w:line="197"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EHT also provides terminaling services involving crude oil, petrochemical and refined products. EHT’s assets and activities associated with crude oil terminaling and storage are classified and presented as a component of our Crude Oil Pipelines &amp; Services business segment. EHT’s activities associated with petrochemicals and refined products are classified and described within our Petrochemical &amp; Refined Products Services business segment.</w:t>
      </w:r>
    </w:p>
    <w:p>
      <w:pPr>
        <w:spacing w:after="0" w:line="214" w:lineRule="exact"/>
        <w:rPr>
          <w:sz w:val="20"/>
          <w:szCs w:val="20"/>
          <w:color w:val="auto"/>
        </w:rPr>
      </w:pPr>
    </w:p>
    <w:p>
      <w:pPr>
        <w:jc w:val="both"/>
        <w:ind w:left="500" w:hanging="330"/>
        <w:spacing w:after="0" w:line="256" w:lineRule="auto"/>
        <w:tabs>
          <w:tab w:leader="none" w:pos="500" w:val="left"/>
        </w:tabs>
        <w:numPr>
          <w:ilvl w:val="0"/>
          <w:numId w:val="17"/>
        </w:numPr>
        <w:rPr>
          <w:rFonts w:ascii="Arial" w:cs="Arial" w:eastAsia="Arial" w:hAnsi="Arial"/>
          <w:sz w:val="26"/>
          <w:szCs w:val="26"/>
          <w:color w:val="auto"/>
          <w:vertAlign w:val="superscript"/>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Morgan’s Point Ethane Export Terminal</w:t>
      </w:r>
      <w:r>
        <w:rPr>
          <w:rFonts w:ascii="Arial" w:cs="Arial" w:eastAsia="Arial" w:hAnsi="Arial"/>
          <w:sz w:val="16"/>
          <w:szCs w:val="16"/>
          <w:color w:val="auto"/>
        </w:rPr>
        <w:t>, located on the Houston Ship Channel, has an aggregate loading rate (nameplate capacity) of approximately 10,000 barrels per hour of fully refrigerated ethane and is the largest of its kind in the world. The terminal supports domestic production of U.S. ethane from shale plays by providing the global petrochemical industry with access to a low-cost feedstock option and opportunities for supply diversification. Ethane volumes handled by the terminal are sourced from our Mont Belvieu NGL fractionation and storage complex. Ethane loading volumes at the terminal averaged 143 MBPD, 146 MBPD and 90 MBPD during the years ended December 31, 2019, 2018 and 2017,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Pipelines &amp; Services Segment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Crude Oil Pipelines &amp; Services business segment currently includes approximately 5,300 miles of crude oil pipelines, crude oil storage and marine terminals, and related crude oil marketing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Crude oil pipelines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crude oil gathering and transportation pipelines located in Oklahoma, New Mexico and Texas. The results of operations from providing crude oil transportation services is primarily dependent upon the volume handled (or capacity reserved) and the level of fees charged (typically on a per barrel basis). Fees charged to shippers are based on either tariffs regulated by governmental agencies, including the FERC, or contractual arrangements. See “Regulatory Matters” within this Part I, Items 1 and 2 discussion for additional information regarding governmental oversight of our crude oil pipelines and storage facilities.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information regarding our crude oil pipelines and related operations at February 1,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0" w:type="dxa"/>
            <w:vAlign w:val="bottom"/>
          </w:tcPr>
          <w:p>
            <w:pPr>
              <w:jc w:val="center"/>
              <w:ind w:right="188"/>
              <w:spacing w:after="0"/>
              <w:rPr>
                <w:sz w:val="20"/>
                <w:szCs w:val="20"/>
                <w:color w:val="auto"/>
              </w:rPr>
            </w:pPr>
            <w:r>
              <w:rPr>
                <w:rFonts w:ascii="Arial" w:cs="Arial" w:eastAsia="Arial" w:hAnsi="Arial"/>
                <w:sz w:val="14"/>
                <w:szCs w:val="14"/>
                <w:b w:val="1"/>
                <w:bCs w:val="1"/>
                <w:color w:val="auto"/>
                <w:w w:val="95"/>
              </w:rPr>
              <w:t>Operational</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720" w:type="dxa"/>
            <w:vAlign w:val="bottom"/>
          </w:tcPr>
          <w:p>
            <w:pPr>
              <w:jc w:val="center"/>
              <w:ind w:left="268"/>
              <w:spacing w:after="0"/>
              <w:rPr>
                <w:sz w:val="20"/>
                <w:szCs w:val="20"/>
                <w:color w:val="auto"/>
              </w:rPr>
            </w:pPr>
            <w:r>
              <w:rPr>
                <w:rFonts w:ascii="Arial" w:cs="Arial" w:eastAsia="Arial" w:hAnsi="Arial"/>
                <w:sz w:val="14"/>
                <w:szCs w:val="14"/>
                <w:b w:val="1"/>
                <w:bCs w:val="1"/>
                <w:color w:val="auto"/>
              </w:rPr>
              <w:t>Our</w:t>
            </w:r>
          </w:p>
        </w:tc>
        <w:tc>
          <w:tcPr>
            <w:tcW w:w="1800" w:type="dxa"/>
            <w:vAlign w:val="bottom"/>
          </w:tcPr>
          <w:p>
            <w:pPr>
              <w:jc w:val="center"/>
              <w:ind w:right="188"/>
              <w:spacing w:after="0"/>
              <w:rPr>
                <w:sz w:val="20"/>
                <w:szCs w:val="20"/>
                <w:color w:val="auto"/>
              </w:rPr>
            </w:pPr>
            <w:r>
              <w:rPr>
                <w:rFonts w:ascii="Arial" w:cs="Arial" w:eastAsia="Arial" w:hAnsi="Arial"/>
                <w:sz w:val="14"/>
                <w:szCs w:val="14"/>
                <w:b w:val="1"/>
                <w:bCs w:val="1"/>
                <w:color w:val="auto"/>
                <w:w w:val="88"/>
              </w:rPr>
              <w:t>Storage</w:t>
            </w:r>
          </w:p>
        </w:tc>
        <w:tc>
          <w:tcPr>
            <w:tcW w:w="1260" w:type="dxa"/>
            <w:vAlign w:val="bottom"/>
          </w:tcPr>
          <w:p>
            <w:pPr>
              <w:jc w:val="right"/>
              <w:ind w:right="448"/>
              <w:spacing w:after="0"/>
              <w:rPr>
                <w:sz w:val="20"/>
                <w:szCs w:val="20"/>
                <w:color w:val="auto"/>
              </w:rPr>
            </w:pPr>
            <w:r>
              <w:rPr>
                <w:rFonts w:ascii="Arial" w:cs="Arial" w:eastAsia="Arial" w:hAnsi="Arial"/>
                <w:sz w:val="14"/>
                <w:szCs w:val="14"/>
                <w:b w:val="1"/>
                <w:bCs w:val="1"/>
                <w:color w:val="auto"/>
              </w:rPr>
              <w:t>Pipeline</w:t>
            </w:r>
          </w:p>
        </w:tc>
        <w:tc>
          <w:tcPr>
            <w:tcW w:w="0" w:type="dxa"/>
            <w:vAlign w:val="bottom"/>
          </w:tcPr>
          <w:p>
            <w:pPr>
              <w:spacing w:after="0"/>
              <w:rPr>
                <w:sz w:val="1"/>
                <w:szCs w:val="1"/>
                <w:color w:val="auto"/>
              </w:rPr>
            </w:pPr>
          </w:p>
        </w:tc>
      </w:tr>
      <w:tr>
        <w:trPr>
          <w:trHeight w:val="178"/>
        </w:trPr>
        <w:tc>
          <w:tcPr>
            <w:tcW w:w="348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Description of Asset</w:t>
            </w:r>
          </w:p>
        </w:tc>
        <w:tc>
          <w:tcPr>
            <w:tcW w:w="3160" w:type="dxa"/>
            <w:vAlign w:val="bottom"/>
            <w:vMerge w:val="restart"/>
          </w:tcPr>
          <w:p>
            <w:pPr>
              <w:jc w:val="center"/>
              <w:ind w:left="548"/>
              <w:spacing w:after="0"/>
              <w:rPr>
                <w:sz w:val="20"/>
                <w:szCs w:val="20"/>
                <w:color w:val="auto"/>
              </w:rPr>
            </w:pPr>
            <w:r>
              <w:rPr>
                <w:rFonts w:ascii="Arial" w:cs="Arial" w:eastAsia="Arial" w:hAnsi="Arial"/>
                <w:sz w:val="14"/>
                <w:szCs w:val="14"/>
                <w:b w:val="1"/>
                <w:bCs w:val="1"/>
                <w:color w:val="auto"/>
                <w:w w:val="92"/>
              </w:rPr>
              <w:t>Location(s)</w:t>
            </w:r>
          </w:p>
        </w:tc>
        <w:tc>
          <w:tcPr>
            <w:tcW w:w="172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Ownership</w:t>
            </w:r>
          </w:p>
        </w:tc>
        <w:tc>
          <w:tcPr>
            <w:tcW w:w="1800" w:type="dxa"/>
            <w:vAlign w:val="bottom"/>
          </w:tcPr>
          <w:p>
            <w:pPr>
              <w:jc w:val="center"/>
              <w:ind w:right="188"/>
              <w:spacing w:after="0"/>
              <w:rPr>
                <w:sz w:val="20"/>
                <w:szCs w:val="20"/>
                <w:color w:val="auto"/>
              </w:rPr>
            </w:pPr>
            <w:r>
              <w:rPr>
                <w:rFonts w:ascii="Arial" w:cs="Arial" w:eastAsia="Arial" w:hAnsi="Arial"/>
                <w:sz w:val="14"/>
                <w:szCs w:val="14"/>
                <w:b w:val="1"/>
                <w:bCs w:val="1"/>
                <w:color w:val="auto"/>
                <w:w w:val="92"/>
              </w:rPr>
              <w:t>Capacity</w:t>
            </w:r>
          </w:p>
        </w:tc>
        <w:tc>
          <w:tcPr>
            <w:tcW w:w="1260" w:type="dxa"/>
            <w:vAlign w:val="bottom"/>
          </w:tcPr>
          <w:p>
            <w:pPr>
              <w:jc w:val="right"/>
              <w:ind w:right="468"/>
              <w:spacing w:after="0"/>
              <w:rPr>
                <w:sz w:val="20"/>
                <w:szCs w:val="20"/>
                <w:color w:val="auto"/>
              </w:rPr>
            </w:pPr>
            <w:r>
              <w:rPr>
                <w:rFonts w:ascii="Arial" w:cs="Arial" w:eastAsia="Arial" w:hAnsi="Arial"/>
                <w:sz w:val="14"/>
                <w:szCs w:val="14"/>
                <w:b w:val="1"/>
                <w:bCs w:val="1"/>
                <w:color w:val="auto"/>
              </w:rPr>
              <w:t>Length</w:t>
            </w:r>
          </w:p>
        </w:tc>
        <w:tc>
          <w:tcPr>
            <w:tcW w:w="0" w:type="dxa"/>
            <w:vAlign w:val="bottom"/>
          </w:tcPr>
          <w:p>
            <w:pPr>
              <w:spacing w:after="0"/>
              <w:rPr>
                <w:sz w:val="1"/>
                <w:szCs w:val="1"/>
                <w:color w:val="auto"/>
              </w:rPr>
            </w:pPr>
          </w:p>
        </w:tc>
      </w:tr>
      <w:tr>
        <w:trPr>
          <w:trHeight w:val="178"/>
        </w:trPr>
        <w:tc>
          <w:tcPr>
            <w:tcW w:w="3480" w:type="dxa"/>
            <w:vAlign w:val="bottom"/>
            <w:tcBorders>
              <w:bottom w:val="single" w:sz="8" w:color="auto"/>
            </w:tcBorders>
            <w:vMerge w:val="continue"/>
          </w:tcPr>
          <w:p>
            <w:pPr>
              <w:spacing w:after="0"/>
              <w:rPr>
                <w:sz w:val="15"/>
                <w:szCs w:val="15"/>
                <w:color w:val="auto"/>
              </w:rPr>
            </w:pPr>
          </w:p>
        </w:tc>
        <w:tc>
          <w:tcPr>
            <w:tcW w:w="3160" w:type="dxa"/>
            <w:vAlign w:val="bottom"/>
            <w:tcBorders>
              <w:bottom w:val="single" w:sz="8" w:color="auto"/>
            </w:tcBorders>
            <w:vMerge w:val="continue"/>
          </w:tcPr>
          <w:p>
            <w:pPr>
              <w:spacing w:after="0"/>
              <w:rPr>
                <w:sz w:val="15"/>
                <w:szCs w:val="15"/>
                <w:color w:val="auto"/>
              </w:rPr>
            </w:pPr>
          </w:p>
        </w:tc>
        <w:tc>
          <w:tcPr>
            <w:tcW w:w="172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4"/>
              </w:rPr>
              <w:t>Interest</w:t>
            </w:r>
          </w:p>
        </w:tc>
        <w:tc>
          <w:tcPr>
            <w:tcW w:w="180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 xml:space="preserve">(MMBbls) </w:t>
            </w:r>
            <w:r>
              <w:rPr>
                <w:rFonts w:ascii="Arial" w:cs="Arial" w:eastAsia="Arial" w:hAnsi="Arial"/>
                <w:sz w:val="14"/>
                <w:szCs w:val="14"/>
                <w:color w:val="auto"/>
              </w:rPr>
              <w:t>(2)</w:t>
            </w:r>
          </w:p>
        </w:tc>
        <w:tc>
          <w:tcPr>
            <w:tcW w:w="12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(Miles)</w:t>
            </w: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Seaway Pipeline (1)</w:t>
            </w:r>
          </w:p>
        </w:tc>
        <w:tc>
          <w:tcPr>
            <w:tcW w:w="3160" w:type="dxa"/>
            <w:vAlign w:val="bottom"/>
            <w:shd w:val="clear" w:color="auto" w:fill="CCEEFF"/>
          </w:tcPr>
          <w:p>
            <w:pPr>
              <w:jc w:val="center"/>
              <w:ind w:left="548"/>
              <w:spacing w:after="0" w:line="149" w:lineRule="exact"/>
              <w:rPr>
                <w:sz w:val="20"/>
                <w:szCs w:val="20"/>
                <w:color w:val="auto"/>
              </w:rPr>
            </w:pPr>
            <w:r>
              <w:rPr>
                <w:rFonts w:ascii="Arial" w:cs="Arial" w:eastAsia="Arial" w:hAnsi="Arial"/>
                <w:sz w:val="14"/>
                <w:szCs w:val="14"/>
                <w:color w:val="auto"/>
                <w:w w:val="92"/>
              </w:rPr>
              <w:t>Texas, Oklahoma</w:t>
            </w:r>
          </w:p>
        </w:tc>
        <w:tc>
          <w:tcPr>
            <w:tcW w:w="172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50.0%</w:t>
            </w:r>
          </w:p>
        </w:tc>
        <w:tc>
          <w:tcPr>
            <w:tcW w:w="18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9.8</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1,271</w:t>
            </w: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West Texas System (1)</w:t>
            </w:r>
          </w:p>
        </w:tc>
        <w:tc>
          <w:tcPr>
            <w:tcW w:w="3160" w:type="dxa"/>
            <w:vAlign w:val="bottom"/>
          </w:tcPr>
          <w:p>
            <w:pPr>
              <w:jc w:val="center"/>
              <w:ind w:left="548"/>
              <w:spacing w:after="0" w:line="149" w:lineRule="exact"/>
              <w:rPr>
                <w:sz w:val="20"/>
                <w:szCs w:val="20"/>
                <w:color w:val="auto"/>
              </w:rPr>
            </w:pPr>
            <w:r>
              <w:rPr>
                <w:rFonts w:ascii="Arial" w:cs="Arial" w:eastAsia="Arial" w:hAnsi="Arial"/>
                <w:sz w:val="14"/>
                <w:szCs w:val="14"/>
                <w:color w:val="auto"/>
                <w:w w:val="93"/>
              </w:rPr>
              <w:t>Texas, New Mexico</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100.0%</w:t>
            </w:r>
          </w:p>
        </w:tc>
        <w:tc>
          <w:tcPr>
            <w:tcW w:w="18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1.1</w:t>
            </w: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1,061</w:t>
            </w: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Midland-to-ECHO System</w:t>
            </w:r>
          </w:p>
        </w:tc>
        <w:tc>
          <w:tcPr>
            <w:tcW w:w="3160" w:type="dxa"/>
            <w:vAlign w:val="bottom"/>
            <w:shd w:val="clear" w:color="auto" w:fill="CCEEFF"/>
          </w:tcPr>
          <w:p>
            <w:pPr>
              <w:jc w:val="center"/>
              <w:ind w:left="548"/>
              <w:spacing w:after="0" w:line="149" w:lineRule="exact"/>
              <w:rPr>
                <w:sz w:val="20"/>
                <w:szCs w:val="20"/>
                <w:color w:val="auto"/>
              </w:rPr>
            </w:pPr>
            <w:r>
              <w:rPr>
                <w:rFonts w:ascii="Arial" w:cs="Arial" w:eastAsia="Arial" w:hAnsi="Arial"/>
                <w:sz w:val="14"/>
                <w:szCs w:val="14"/>
                <w:color w:val="auto"/>
                <w:w w:val="89"/>
              </w:rPr>
              <w:t>Texas</w:t>
            </w:r>
          </w:p>
        </w:tc>
        <w:tc>
          <w:tcPr>
            <w:tcW w:w="1720" w:type="dxa"/>
            <w:vAlign w:val="bottom"/>
            <w:shd w:val="clear" w:color="auto" w:fill="CCEEFF"/>
          </w:tcPr>
          <w:p>
            <w:pPr>
              <w:jc w:val="right"/>
              <w:ind w:right="648"/>
              <w:spacing w:after="0" w:line="149" w:lineRule="exact"/>
              <w:rPr>
                <w:sz w:val="20"/>
                <w:szCs w:val="20"/>
                <w:color w:val="auto"/>
              </w:rPr>
            </w:pPr>
            <w:r>
              <w:rPr>
                <w:rFonts w:ascii="Arial" w:cs="Arial" w:eastAsia="Arial" w:hAnsi="Arial"/>
                <w:sz w:val="14"/>
                <w:szCs w:val="14"/>
                <w:color w:val="auto"/>
              </w:rPr>
              <w:t>Various (3)</w:t>
            </w:r>
          </w:p>
        </w:tc>
        <w:tc>
          <w:tcPr>
            <w:tcW w:w="18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3.9</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South Texas Crude Oil Pipeline System</w:t>
            </w:r>
          </w:p>
        </w:tc>
        <w:tc>
          <w:tcPr>
            <w:tcW w:w="3160" w:type="dxa"/>
            <w:vAlign w:val="bottom"/>
          </w:tcPr>
          <w:p>
            <w:pPr>
              <w:jc w:val="center"/>
              <w:ind w:left="548"/>
              <w:spacing w:after="0" w:line="149" w:lineRule="exact"/>
              <w:rPr>
                <w:sz w:val="20"/>
                <w:szCs w:val="20"/>
                <w:color w:val="auto"/>
              </w:rPr>
            </w:pPr>
            <w:r>
              <w:rPr>
                <w:rFonts w:ascii="Arial" w:cs="Arial" w:eastAsia="Arial" w:hAnsi="Arial"/>
                <w:sz w:val="14"/>
                <w:szCs w:val="14"/>
                <w:color w:val="auto"/>
                <w:w w:val="89"/>
              </w:rPr>
              <w:t>Texas</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100.0%</w:t>
            </w:r>
          </w:p>
        </w:tc>
        <w:tc>
          <w:tcPr>
            <w:tcW w:w="18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4.2</w:t>
            </w: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Basin Pipeline (1)</w:t>
            </w:r>
          </w:p>
        </w:tc>
        <w:tc>
          <w:tcPr>
            <w:tcW w:w="3160" w:type="dxa"/>
            <w:vAlign w:val="bottom"/>
            <w:shd w:val="clear" w:color="auto" w:fill="CCEEFF"/>
          </w:tcPr>
          <w:p>
            <w:pPr>
              <w:jc w:val="center"/>
              <w:ind w:left="548"/>
              <w:spacing w:after="0" w:line="149" w:lineRule="exact"/>
              <w:rPr>
                <w:sz w:val="20"/>
                <w:szCs w:val="20"/>
                <w:color w:val="auto"/>
              </w:rPr>
            </w:pPr>
            <w:r>
              <w:rPr>
                <w:rFonts w:ascii="Arial" w:cs="Arial" w:eastAsia="Arial" w:hAnsi="Arial"/>
                <w:sz w:val="14"/>
                <w:szCs w:val="14"/>
                <w:color w:val="auto"/>
                <w:w w:val="93"/>
              </w:rPr>
              <w:t>Texas, New Mexico, Oklahoma</w:t>
            </w:r>
          </w:p>
        </w:tc>
        <w:tc>
          <w:tcPr>
            <w:tcW w:w="1720" w:type="dxa"/>
            <w:vAlign w:val="bottom"/>
            <w:shd w:val="clear" w:color="auto" w:fill="CCEEFF"/>
          </w:tcPr>
          <w:p>
            <w:pPr>
              <w:jc w:val="right"/>
              <w:ind w:right="648"/>
              <w:spacing w:after="0" w:line="149" w:lineRule="exact"/>
              <w:rPr>
                <w:sz w:val="20"/>
                <w:szCs w:val="20"/>
                <w:color w:val="auto"/>
              </w:rPr>
            </w:pPr>
            <w:r>
              <w:rPr>
                <w:rFonts w:ascii="Arial" w:cs="Arial" w:eastAsia="Arial" w:hAnsi="Arial"/>
                <w:sz w:val="14"/>
                <w:szCs w:val="14"/>
                <w:color w:val="auto"/>
              </w:rPr>
              <w:t>13.0% (4)</w:t>
            </w:r>
          </w:p>
        </w:tc>
        <w:tc>
          <w:tcPr>
            <w:tcW w:w="18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6.0</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EFS Midstream System</w:t>
            </w:r>
          </w:p>
        </w:tc>
        <w:tc>
          <w:tcPr>
            <w:tcW w:w="3160" w:type="dxa"/>
            <w:vAlign w:val="bottom"/>
          </w:tcPr>
          <w:p>
            <w:pPr>
              <w:jc w:val="center"/>
              <w:ind w:left="548"/>
              <w:spacing w:after="0" w:line="149" w:lineRule="exact"/>
              <w:rPr>
                <w:sz w:val="20"/>
                <w:szCs w:val="20"/>
                <w:color w:val="auto"/>
              </w:rPr>
            </w:pPr>
            <w:r>
              <w:rPr>
                <w:rFonts w:ascii="Arial" w:cs="Arial" w:eastAsia="Arial" w:hAnsi="Arial"/>
                <w:sz w:val="14"/>
                <w:szCs w:val="14"/>
                <w:color w:val="auto"/>
                <w:w w:val="89"/>
              </w:rPr>
              <w:t>Texas</w:t>
            </w:r>
          </w:p>
        </w:tc>
        <w:tc>
          <w:tcPr>
            <w:tcW w:w="172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100.0%</w:t>
            </w:r>
          </w:p>
        </w:tc>
        <w:tc>
          <w:tcPr>
            <w:tcW w:w="18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0.3</w:t>
            </w: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156"/>
        </w:trPr>
        <w:tc>
          <w:tcPr>
            <w:tcW w:w="34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Eagle Ford Crude Oil Pipeline System</w:t>
            </w:r>
          </w:p>
        </w:tc>
        <w:tc>
          <w:tcPr>
            <w:tcW w:w="3160" w:type="dxa"/>
            <w:vAlign w:val="bottom"/>
            <w:tcBorders>
              <w:bottom w:val="single" w:sz="8" w:color="CCEEFF"/>
            </w:tcBorders>
            <w:shd w:val="clear" w:color="auto" w:fill="CCEEFF"/>
          </w:tcPr>
          <w:p>
            <w:pPr>
              <w:jc w:val="center"/>
              <w:ind w:left="548"/>
              <w:spacing w:after="0" w:line="149" w:lineRule="exact"/>
              <w:rPr>
                <w:sz w:val="20"/>
                <w:szCs w:val="20"/>
                <w:color w:val="auto"/>
              </w:rPr>
            </w:pPr>
            <w:r>
              <w:rPr>
                <w:rFonts w:ascii="Arial" w:cs="Arial" w:eastAsia="Arial" w:hAnsi="Arial"/>
                <w:sz w:val="14"/>
                <w:szCs w:val="14"/>
                <w:color w:val="auto"/>
                <w:w w:val="89"/>
              </w:rPr>
              <w:t>Texas</w:t>
            </w:r>
          </w:p>
        </w:tc>
        <w:tc>
          <w:tcPr>
            <w:tcW w:w="1720" w:type="dxa"/>
            <w:vAlign w:val="bottom"/>
            <w:tcBorders>
              <w:bottom w:val="single" w:sz="8" w:color="CCEEFF"/>
            </w:tcBorders>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50.0%</w:t>
            </w:r>
          </w:p>
        </w:tc>
        <w:tc>
          <w:tcPr>
            <w:tcW w:w="180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4.5</w:t>
            </w: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76"/>
        </w:trPr>
        <w:tc>
          <w:tcPr>
            <w:tcW w:w="3480" w:type="dxa"/>
            <w:vAlign w:val="bottom"/>
          </w:tcPr>
          <w:p>
            <w:pPr>
              <w:ind w:left="120"/>
              <w:spacing w:after="0" w:line="155" w:lineRule="exact"/>
              <w:rPr>
                <w:sz w:val="20"/>
                <w:szCs w:val="20"/>
                <w:color w:val="auto"/>
              </w:rPr>
            </w:pPr>
            <w:r>
              <w:rPr>
                <w:rFonts w:ascii="Arial" w:cs="Arial" w:eastAsia="Arial" w:hAnsi="Arial"/>
                <w:sz w:val="14"/>
                <w:szCs w:val="14"/>
                <w:color w:val="auto"/>
              </w:rPr>
              <w:t>Total</w:t>
            </w:r>
          </w:p>
        </w:tc>
        <w:tc>
          <w:tcPr>
            <w:tcW w:w="3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29.8</w:t>
            </w: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5,326</w:t>
            </w:r>
          </w:p>
        </w:tc>
        <w:tc>
          <w:tcPr>
            <w:tcW w:w="0" w:type="dxa"/>
            <w:vAlign w:val="bottom"/>
          </w:tcPr>
          <w:p>
            <w:pPr>
              <w:spacing w:after="0"/>
              <w:rPr>
                <w:sz w:val="1"/>
                <w:szCs w:val="1"/>
                <w:color w:val="auto"/>
              </w:rPr>
            </w:pPr>
          </w:p>
        </w:tc>
      </w:tr>
      <w:tr>
        <w:trPr>
          <w:trHeight w:val="21"/>
        </w:trPr>
        <w:tc>
          <w:tcPr>
            <w:tcW w:w="3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Transportation services provided by these liquids pipelines are regulated, in whole or part, by federal governmental agencies.</w:t>
      </w:r>
    </w:p>
    <w:p>
      <w:pPr>
        <w:ind w:left="480" w:hanging="472"/>
        <w:spacing w:after="0" w:line="221" w:lineRule="auto"/>
        <w:tabs>
          <w:tab w:leader="none" w:pos="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Operational storage capacity amounts presented on a gross basis.</w:t>
      </w:r>
    </w:p>
    <w:p>
      <w:pPr>
        <w:ind w:left="480" w:hanging="472"/>
        <w:spacing w:after="0" w:line="221" w:lineRule="auto"/>
        <w:tabs>
          <w:tab w:leader="none" w:pos="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own an 80% consolidated equity interest in the 418-mile Midland-to-ECHO 1 pipeline through our majority owned subsidiary, Whitethorn Pipeline Company LLC (“Whitethorn”). We own 100% of the 444-mile Midland-to-ECHO 2 pipeline.</w:t>
      </w:r>
    </w:p>
    <w:p>
      <w:pPr>
        <w:ind w:left="480" w:hanging="472"/>
        <w:spacing w:after="0"/>
        <w:tabs>
          <w:tab w:leader="none" w:pos="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proportionately consolidate our 13% undivided interest in the Basin Pipeline.</w:t>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maximum number of barrels per day that our crude oil pipelines can transport depends on the operating rates achieved at a given point in time between various segments of each system (e.g., demand levels at each delivery point and grades of crude oil being transported). As a result, we measure the utilization rates of our crude oil pipelines in terms of net throughput, which is based on our ownership interest. In the aggregate, net throughput volumes for these pipelines were 2,304 MBPD, 2,000 MBPD and 1,820 MBPD during the years ended December 31, 2019, 2018 and 2017,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information describes our principal crude oil pipelines, all of which we operate with the exception of the Basin Pipeline and Eagle Ford Crude Oil Pipeline System.</w:t>
      </w:r>
    </w:p>
    <w:p>
      <w:pPr>
        <w:spacing w:after="0" w:line="197" w:lineRule="exact"/>
        <w:rPr>
          <w:sz w:val="20"/>
          <w:szCs w:val="20"/>
          <w:color w:val="auto"/>
        </w:rPr>
      </w:pPr>
    </w:p>
    <w:p>
      <w:pPr>
        <w:jc w:val="both"/>
        <w:ind w:left="500" w:hanging="330"/>
        <w:spacing w:after="0" w:line="220" w:lineRule="auto"/>
        <w:tabs>
          <w:tab w:leader="none" w:pos="50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Seaway Pipeline</w:t>
      </w:r>
      <w:r>
        <w:rPr>
          <w:rFonts w:ascii="Arial" w:cs="Arial" w:eastAsia="Arial" w:hAnsi="Arial"/>
          <w:sz w:val="18"/>
          <w:szCs w:val="18"/>
          <w:color w:val="auto"/>
        </w:rPr>
        <w:t xml:space="preserve"> connects the Cushing, Oklahoma crude oil hub with markets in southeast Texas. Our 50% ownership interest in the Seaway Pipeline is held indirectly through our equity method investment in Seaway Crude Holdings LLC (“Seaway”). The Seaway Pipeline is comprised of the Longhaul System, the Freeport System and the Texas City System. The Cushing hub is an industry trading hub and price settlement point for West Texas Intermediate (“WTI”) crude oil on the New York Mercantile Exchange (“NYMEX”).</w:t>
      </w:r>
    </w:p>
    <w:p>
      <w:pPr>
        <w:spacing w:after="0" w:line="232" w:lineRule="exact"/>
        <w:rPr>
          <w:rFonts w:ascii="Arial" w:cs="Arial" w:eastAsia="Arial" w:hAnsi="Arial"/>
          <w:sz w:val="29"/>
          <w:szCs w:val="29"/>
          <w:color w:val="auto"/>
          <w:vertAlign w:val="superscript"/>
        </w:rPr>
      </w:pPr>
    </w:p>
    <w:p>
      <w:pPr>
        <w:jc w:val="both"/>
        <w:ind w:left="500"/>
        <w:spacing w:after="0" w:line="276" w:lineRule="auto"/>
        <w:rPr>
          <w:rFonts w:ascii="Arial" w:cs="Arial" w:eastAsia="Arial" w:hAnsi="Arial"/>
          <w:sz w:val="29"/>
          <w:szCs w:val="29"/>
          <w:color w:val="auto"/>
          <w:vertAlign w:val="superscript"/>
        </w:rPr>
      </w:pPr>
      <w:r>
        <w:rPr>
          <w:rFonts w:ascii="Arial" w:cs="Arial" w:eastAsia="Arial" w:hAnsi="Arial"/>
          <w:sz w:val="17"/>
          <w:szCs w:val="17"/>
          <w:color w:val="auto"/>
        </w:rPr>
        <w:t>The Longhaul System consists of two approximately 500-mile, 30-inch diameter pipelines (Seaway I and the Seaway Loop) that provide north-to-south transportation of crude oil from the Cushing hub to Seaway’s Jones Creek terminal located near Freeport, Texas. The aggregate transportation capacity of the Longhaul System is approximately 950 MBPD, depending on the type and mix of crude oil being transported and other variables. The Jones Creek terminal is connected by pipeline to our Enterprise Crude Houston (“ECHO”) storage terminal, which enables Seaway to serve a variety of customers along the upper Texas Gulf Coast including the Beaumont/Port Arthur area.</w:t>
      </w:r>
    </w:p>
    <w:p>
      <w:pPr>
        <w:spacing w:after="0" w:line="199" w:lineRule="exact"/>
        <w:rPr>
          <w:rFonts w:ascii="Arial" w:cs="Arial" w:eastAsia="Arial" w:hAnsi="Arial"/>
          <w:sz w:val="29"/>
          <w:szCs w:val="29"/>
          <w:color w:val="auto"/>
          <w:vertAlign w:val="superscript"/>
        </w:rPr>
      </w:pPr>
    </w:p>
    <w:p>
      <w:pPr>
        <w:ind w:left="500"/>
        <w:spacing w:after="0" w:line="277" w:lineRule="auto"/>
        <w:rPr>
          <w:rFonts w:ascii="Arial" w:cs="Arial" w:eastAsia="Arial" w:hAnsi="Arial"/>
          <w:sz w:val="29"/>
          <w:szCs w:val="29"/>
          <w:color w:val="auto"/>
          <w:vertAlign w:val="superscript"/>
        </w:rPr>
      </w:pPr>
      <w:r>
        <w:rPr>
          <w:rFonts w:ascii="Arial" w:cs="Arial" w:eastAsia="Arial" w:hAnsi="Arial"/>
          <w:sz w:val="18"/>
          <w:szCs w:val="18"/>
          <w:color w:val="auto"/>
        </w:rPr>
        <w:t>The Freeport System consists of a marine terminal that facilitates both crude oil imports and exports, along with pipelines that transport crude oil to and from Freeport, Texas and the Jones Creek terminal.</w:t>
      </w:r>
    </w:p>
    <w:p>
      <w:pPr>
        <w:spacing w:after="0" w:line="197" w:lineRule="exact"/>
        <w:rPr>
          <w:rFonts w:ascii="Arial" w:cs="Arial" w:eastAsia="Arial" w:hAnsi="Arial"/>
          <w:sz w:val="29"/>
          <w:szCs w:val="29"/>
          <w:color w:val="auto"/>
          <w:vertAlign w:val="superscript"/>
        </w:rPr>
      </w:pPr>
    </w:p>
    <w:p>
      <w:pPr>
        <w:jc w:val="both"/>
        <w:ind w:left="500"/>
        <w:spacing w:after="0" w:line="279" w:lineRule="auto"/>
        <w:rPr>
          <w:rFonts w:ascii="Arial" w:cs="Arial" w:eastAsia="Arial" w:hAnsi="Arial"/>
          <w:sz w:val="29"/>
          <w:szCs w:val="29"/>
          <w:color w:val="auto"/>
          <w:vertAlign w:val="superscript"/>
        </w:rPr>
      </w:pPr>
      <w:r>
        <w:rPr>
          <w:rFonts w:ascii="Arial" w:cs="Arial" w:eastAsia="Arial" w:hAnsi="Arial"/>
          <w:sz w:val="17"/>
          <w:szCs w:val="17"/>
          <w:color w:val="auto"/>
        </w:rPr>
        <w:t>The Texas City System consists of a marine terminal and storage tanks, various pipelines and related infrastructure used to transport crude oil to refineries in the Texas City, Texas area and to and from terminals in the Galena Park, Texas area, our ECHO terminal and locations along the Houston Ship Channel. The Texas City System also receives production from certain offshore Gulf of Mexico developments. The intrastate pipeline transportation capacity of the Freeport System and Texas City System is approximately 480 MBPD and 800 MBPD, respectively.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Seaway’s Texas City marine terminal features two docks, a 45-foot draft, an overall length of 1,125 feet, a 200-foot beam (width) and the capacity to load crude oil at a rate of 35,000 barrels per hour. We have used Seaway’s Texas City terminal to partially load Very Large Crude Carrier (“VLCC”) tankers, with the remaining volumes subsequently loaded on such vessels using lightering operations in the Gulf of Mexico.</w:t>
      </w:r>
    </w:p>
    <w:p>
      <w:pPr>
        <w:spacing w:after="0" w:line="193" w:lineRule="exact"/>
        <w:rPr>
          <w:sz w:val="20"/>
          <w:szCs w:val="20"/>
          <w:color w:val="auto"/>
        </w:rPr>
      </w:pPr>
    </w:p>
    <w:p>
      <w:pPr>
        <w:jc w:val="both"/>
        <w:ind w:left="500" w:hanging="330"/>
        <w:spacing w:after="0" w:line="261" w:lineRule="auto"/>
        <w:tabs>
          <w:tab w:leader="none" w:pos="500" w:val="left"/>
        </w:tabs>
        <w:numPr>
          <w:ilvl w:val="0"/>
          <w:numId w:val="20"/>
        </w:numPr>
        <w:rPr>
          <w:rFonts w:ascii="Arial" w:cs="Arial" w:eastAsia="Arial" w:hAnsi="Arial"/>
          <w:sz w:val="26"/>
          <w:szCs w:val="26"/>
          <w:color w:val="auto"/>
          <w:vertAlign w:val="superscript"/>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West Texas System</w:t>
      </w:r>
      <w:r>
        <w:rPr>
          <w:rFonts w:ascii="Arial" w:cs="Arial" w:eastAsia="Arial" w:hAnsi="Arial"/>
          <w:sz w:val="16"/>
          <w:szCs w:val="16"/>
          <w:color w:val="auto"/>
        </w:rPr>
        <w:t xml:space="preserve"> connects crude oil gathering systems in West Texas and southeast New Mexico to our terminal facility located in Midland, Texas. The West Texas System, including the Loving County pipeline, is a key part of our strategic crude oil aggregation program designed to support Permian Basin producers. The Loving County pipeline can currently transport 200 MBPD of crude oil and condensate from various points in New Mexico and West Texas to our Midland crude oil terminal; however, we expect to complete an expansion project by March 2020 that will increase its transportation capacity up to 350 MBPD. At Midland, shippers will have access to storage and terminal services, as well as connectivity to multiple transportation alternatives such as trucking and pipeline infrastructure that offer access to various downstream markets, including the Gulf Coast.</w:t>
      </w:r>
    </w:p>
    <w:p>
      <w:pPr>
        <w:spacing w:after="0" w:line="214" w:lineRule="exact"/>
        <w:rPr>
          <w:rFonts w:ascii="Arial" w:cs="Arial" w:eastAsia="Arial" w:hAnsi="Arial"/>
          <w:sz w:val="26"/>
          <w:szCs w:val="26"/>
          <w:color w:val="auto"/>
          <w:vertAlign w:val="superscript"/>
        </w:rPr>
      </w:pPr>
    </w:p>
    <w:p>
      <w:pPr>
        <w:jc w:val="both"/>
        <w:ind w:left="500" w:hanging="330"/>
        <w:spacing w:after="0" w:line="226" w:lineRule="auto"/>
        <w:tabs>
          <w:tab w:leader="none" w:pos="50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Midland-to-ECHO System,</w:t>
      </w:r>
      <w:r>
        <w:rPr>
          <w:rFonts w:ascii="Arial" w:cs="Arial" w:eastAsia="Arial" w:hAnsi="Arial"/>
          <w:sz w:val="18"/>
          <w:szCs w:val="18"/>
          <w:color w:val="auto"/>
        </w:rPr>
        <w:t xml:space="preserve"> which is currently comprised of our Midland-to-ECHO 1 and 2 pipelines, supports Permian Basin crude oil production by providing producers and other shippers with transportation solutions that are both cost-efficient and operationally flexible. After aggregating crude at our Midland terminal, the system transports multiple grades of crude oil, including WTI, WTI light sweet crude oil (“West Texas Light”), West Texas Sour, and condensate, to our ECHO terminal (using batched shipments to safeguard crude quality) for further delivery to markets along the Gulf Coast.</w:t>
      </w:r>
    </w:p>
    <w:p>
      <w:pPr>
        <w:spacing w:after="0" w:line="229" w:lineRule="exact"/>
        <w:rPr>
          <w:rFonts w:ascii="Arial" w:cs="Arial" w:eastAsia="Arial" w:hAnsi="Arial"/>
          <w:sz w:val="29"/>
          <w:szCs w:val="29"/>
          <w:color w:val="auto"/>
          <w:vertAlign w:val="superscript"/>
        </w:rPr>
      </w:pPr>
    </w:p>
    <w:p>
      <w:pPr>
        <w:jc w:val="both"/>
        <w:ind w:left="500"/>
        <w:spacing w:after="0" w:line="293" w:lineRule="auto"/>
        <w:rPr>
          <w:rFonts w:ascii="Arial" w:cs="Arial" w:eastAsia="Arial" w:hAnsi="Arial"/>
          <w:sz w:val="29"/>
          <w:szCs w:val="29"/>
          <w:color w:val="auto"/>
          <w:vertAlign w:val="superscript"/>
        </w:rPr>
      </w:pPr>
      <w:r>
        <w:rPr>
          <w:rFonts w:ascii="Arial" w:cs="Arial" w:eastAsia="Arial" w:hAnsi="Arial"/>
          <w:sz w:val="16"/>
          <w:szCs w:val="16"/>
          <w:color w:val="auto"/>
        </w:rPr>
        <w:t>The Midland-to-ECHO 1 pipeline originates at our Midland terminal and extends 418 miles to our Sealy storage terminal. Volumes arriving at Sealy are then transported to our ECHO terminal using the Rancho II pipeline, which is a component of our South Texas Crude Oil Pipeline System. Using the ECHO terminal, shippers on the Midland-to-ECHO System have access to every refinery in Houston, Texas City, Beaumont and Port Arthur, Texas, as well as our crude oil export terminal facilities. The Midland-to-ECHO 1 pipeline also includes certain storage assets located at Sealy, Texas. The pipeline entered limited service in November 2017 and full service in April 2018. As a result of operating enhancements and supplementary infrastructure completed in March 2019, the Midland-to-ECHO 1 pipeline currently has a transportation capacity of 620 MBPD.</w:t>
      </w:r>
    </w:p>
    <w:p>
      <w:pPr>
        <w:spacing w:after="0" w:line="191" w:lineRule="exact"/>
        <w:rPr>
          <w:rFonts w:ascii="Arial" w:cs="Arial" w:eastAsia="Arial" w:hAnsi="Arial"/>
          <w:sz w:val="29"/>
          <w:szCs w:val="29"/>
          <w:color w:val="auto"/>
          <w:vertAlign w:val="superscript"/>
        </w:rPr>
      </w:pPr>
    </w:p>
    <w:p>
      <w:pPr>
        <w:ind w:left="500"/>
        <w:spacing w:after="0" w:line="277" w:lineRule="auto"/>
        <w:rPr>
          <w:rFonts w:ascii="Arial" w:cs="Arial" w:eastAsia="Arial" w:hAnsi="Arial"/>
          <w:sz w:val="29"/>
          <w:szCs w:val="29"/>
          <w:color w:val="auto"/>
          <w:vertAlign w:val="superscript"/>
        </w:rPr>
      </w:pPr>
      <w:r>
        <w:rPr>
          <w:rFonts w:ascii="Arial" w:cs="Arial" w:eastAsia="Arial" w:hAnsi="Arial"/>
          <w:sz w:val="18"/>
          <w:szCs w:val="18"/>
          <w:color w:val="auto"/>
        </w:rPr>
        <w:t>The majority of the Midland-to-ECHO 1 pipeline is owned by Whitethorn, in which we own an 80% equity interest. In June 2018, an affiliate of Western Gas Partners, LP acquired a 20% equity interest in Whitethorn for $189.6 million in cash.</w:t>
      </w:r>
    </w:p>
    <w:p>
      <w:pPr>
        <w:spacing w:after="0" w:line="197" w:lineRule="exact"/>
        <w:rPr>
          <w:rFonts w:ascii="Arial" w:cs="Arial" w:eastAsia="Arial" w:hAnsi="Arial"/>
          <w:sz w:val="29"/>
          <w:szCs w:val="29"/>
          <w:color w:val="auto"/>
          <w:vertAlign w:val="superscript"/>
        </w:rPr>
      </w:pPr>
    </w:p>
    <w:p>
      <w:pPr>
        <w:jc w:val="both"/>
        <w:ind w:left="500"/>
        <w:spacing w:after="0" w:line="255" w:lineRule="auto"/>
        <w:rPr>
          <w:rFonts w:ascii="Arial" w:cs="Arial" w:eastAsia="Arial" w:hAnsi="Arial"/>
          <w:sz w:val="29"/>
          <w:szCs w:val="29"/>
          <w:color w:val="auto"/>
          <w:vertAlign w:val="superscript"/>
        </w:rPr>
      </w:pPr>
      <w:r>
        <w:rPr>
          <w:rFonts w:ascii="Arial" w:cs="Arial" w:eastAsia="Arial" w:hAnsi="Arial"/>
          <w:sz w:val="18"/>
          <w:szCs w:val="18"/>
          <w:color w:val="auto"/>
        </w:rPr>
        <w:t>In January 2019, we completed the conversion of the Midland-to-Sealy segment of one of our two Seminole NGL pipelines from NGL service to crude oil service, thus creating the Midland-to-ECHO 2 pipeline. The pipeline originates at our Midland terminal and extends 444 miles to our Sealy terminal, with crude oil volumes arriving at Sealy transported to our ECHO terminal using the Rancho II pipeline. The Midland-to-ECHO 2 pipeline, which was placed into limited service in February 2019 and full service in April 2019, provides us with up to 225 MBPD of incremental crude oil transportation capacity. We retain the flexibility to convert this pipeline back to NGL service should future market conditions support the need for additional NGL transportation capacity out of the Permian Basin.</w:t>
      </w:r>
    </w:p>
    <w:p>
      <w:pPr>
        <w:spacing w:after="0" w:line="220" w:lineRule="exact"/>
        <w:rPr>
          <w:rFonts w:ascii="Arial" w:cs="Arial" w:eastAsia="Arial" w:hAnsi="Arial"/>
          <w:sz w:val="29"/>
          <w:szCs w:val="29"/>
          <w:color w:val="auto"/>
          <w:vertAlign w:val="superscript"/>
        </w:rPr>
      </w:pPr>
    </w:p>
    <w:p>
      <w:pPr>
        <w:jc w:val="both"/>
        <w:ind w:left="500"/>
        <w:spacing w:after="0" w:line="273" w:lineRule="auto"/>
        <w:rPr>
          <w:rFonts w:ascii="Arial" w:cs="Arial" w:eastAsia="Arial" w:hAnsi="Arial"/>
          <w:sz w:val="29"/>
          <w:szCs w:val="29"/>
          <w:color w:val="auto"/>
          <w:vertAlign w:val="superscript"/>
        </w:rPr>
      </w:pPr>
      <w:r>
        <w:rPr>
          <w:rFonts w:ascii="Arial" w:cs="Arial" w:eastAsia="Arial" w:hAnsi="Arial"/>
          <w:sz w:val="17"/>
          <w:szCs w:val="17"/>
          <w:color w:val="auto"/>
        </w:rPr>
        <w:t>In July 2019, we announced an expansion of our Midland-to-ECHO System that we refer to as the “Midland-to-ECHO 3” pipeline, which is comprised of a 36-inch pipeline we are currently constructing from Midland, Texas to our ECHO terminal and further to a third-party terminal in Webster, Texas (“Midland-to-Webster”). We expect the Midland-to-ECHO segment of Midland-to-Webster to be placed into service during the third quarter of 2020, with the ECHO-to-Webster segment following in the fourth quarter of 2020. Prior to completion of the ECHO-to-Webster segment, our transportation capacity will be 200 MBPD. Once Midland-to-Webster is placed into full commercial service, our transportation capacity is expected to increase to approximately 450 MBPD. We proportionately consolidate our 29% undivided interest in Midland-to-Webster.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In October 2019, we announced plans to construct a fourth pipeline (the “Midland-to-ECHO 4” pipeline) that will connect our Midland terminal with our ECHO terminal in Houston, Texas by utilizing existing segments of our South Texas Crude Oil Pipeline System along with new construction. The Midland-to-ECHO 4 pipeline is expected to be completed and placed into service during the second quarter of 2021 and have an initial transportation capacity of 450 MBPD (expandable up to 540 MBPD).</w:t>
      </w:r>
    </w:p>
    <w:p>
      <w:pPr>
        <w:spacing w:after="0" w:line="214" w:lineRule="exact"/>
        <w:rPr>
          <w:sz w:val="20"/>
          <w:szCs w:val="20"/>
          <w:color w:val="auto"/>
        </w:rPr>
      </w:pPr>
    </w:p>
    <w:p>
      <w:pPr>
        <w:jc w:val="both"/>
        <w:ind w:left="500"/>
        <w:spacing w:after="0" w:line="276" w:lineRule="auto"/>
        <w:rPr>
          <w:sz w:val="20"/>
          <w:szCs w:val="20"/>
          <w:color w:val="auto"/>
        </w:rPr>
      </w:pPr>
      <w:r>
        <w:rPr>
          <w:rFonts w:ascii="Arial" w:cs="Arial" w:eastAsia="Arial" w:hAnsi="Arial"/>
          <w:sz w:val="17"/>
          <w:szCs w:val="17"/>
          <w:color w:val="auto"/>
        </w:rPr>
        <w:t>When placed into service, the Midland-to-ECHO 4 pipeline will allow our shippers with crude oil and condensate production in both the Permian Basin and the Eagle Ford Shale to maximize the value of their contracted pipeline capacity by allowing shippers to source barrels from the Permian Basin and/or the Eagle Ford Shale. This unmatched flexibility will allow shippers and producers to dynamically match their pipeline capacity to their allocation of capital and respective production profiles between the two basins. Their production will be delivered into our integrated storage, pipeline, distribution and marine terminal system that has access to both domestic and international markets.</w:t>
      </w:r>
    </w:p>
    <w:p>
      <w:pPr>
        <w:spacing w:after="0" w:line="200" w:lineRule="exact"/>
        <w:rPr>
          <w:sz w:val="20"/>
          <w:szCs w:val="20"/>
          <w:color w:val="auto"/>
        </w:rPr>
      </w:pPr>
    </w:p>
    <w:p>
      <w:pPr>
        <w:jc w:val="both"/>
        <w:ind w:left="500" w:hanging="330"/>
        <w:spacing w:after="0" w:line="220" w:lineRule="auto"/>
        <w:tabs>
          <w:tab w:leader="none" w:pos="50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South Texas Crude Oil Pipeline System</w:t>
      </w:r>
      <w:r>
        <w:rPr>
          <w:rFonts w:ascii="Arial" w:cs="Arial" w:eastAsia="Arial" w:hAnsi="Arial"/>
          <w:sz w:val="18"/>
          <w:szCs w:val="18"/>
          <w:color w:val="auto"/>
        </w:rPr>
        <w:t xml:space="preserve"> transports crude oil and condensate originating in South Texas to customers in the Houston area. This system includes storage terminal assets located at Sealy, Texas. The South Texas Crude Oil Pipeline System also includes our Rancho II pipeline, which extends 89-miles from the Sealy terminal to our ECHO terminal. From ECHO, we have connectivity to refinery customers and our marine terminals along the Texas Gulf Coast.</w:t>
      </w:r>
    </w:p>
    <w:p>
      <w:pPr>
        <w:spacing w:after="0" w:line="129" w:lineRule="exact"/>
        <w:rPr>
          <w:rFonts w:ascii="Arial" w:cs="Arial" w:eastAsia="Arial" w:hAnsi="Arial"/>
          <w:sz w:val="29"/>
          <w:szCs w:val="29"/>
          <w:color w:val="auto"/>
          <w:vertAlign w:val="superscript"/>
        </w:rPr>
      </w:pPr>
    </w:p>
    <w:p>
      <w:pPr>
        <w:ind w:left="500" w:hanging="330"/>
        <w:spacing w:after="0"/>
        <w:tabs>
          <w:tab w:leader="none" w:pos="50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Basin Pipeline</w:t>
      </w:r>
      <w:r>
        <w:rPr>
          <w:rFonts w:ascii="Arial" w:cs="Arial" w:eastAsia="Arial" w:hAnsi="Arial"/>
          <w:sz w:val="18"/>
          <w:szCs w:val="18"/>
          <w:color w:val="auto"/>
        </w:rPr>
        <w:t xml:space="preserve"> transports crude oil from the Permian Basin in West Texas and southern New Mexico to the Cushing hub.</w:t>
      </w:r>
    </w:p>
    <w:p>
      <w:pPr>
        <w:spacing w:after="0" w:line="228" w:lineRule="exact"/>
        <w:rPr>
          <w:rFonts w:ascii="Arial" w:cs="Arial" w:eastAsia="Arial" w:hAnsi="Arial"/>
          <w:sz w:val="29"/>
          <w:szCs w:val="29"/>
          <w:color w:val="auto"/>
          <w:vertAlign w:val="superscript"/>
        </w:rPr>
      </w:pPr>
    </w:p>
    <w:p>
      <w:pPr>
        <w:jc w:val="both"/>
        <w:ind w:left="500" w:hanging="330"/>
        <w:spacing w:after="0" w:line="220" w:lineRule="auto"/>
        <w:tabs>
          <w:tab w:leader="none" w:pos="50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EFS Midstream System</w:t>
      </w:r>
      <w:r>
        <w:rPr>
          <w:rFonts w:ascii="Arial" w:cs="Arial" w:eastAsia="Arial" w:hAnsi="Arial"/>
          <w:sz w:val="18"/>
          <w:szCs w:val="18"/>
          <w:color w:val="auto"/>
        </w:rPr>
        <w:t xml:space="preserve"> serves producers in the Eagle Ford Shale, by providing condensate gathering and processing services as well as gathering, treating and compression services for associated natural gas. The EFS Midstream System includes 486 miles of gathering pipelines, 11 central gathering plants having a combined condensate storage capacity of 0.3 MMBbls, 171 MBPD of condensate stabilization capacity and 1.0 Bcf/d of associated natural gas treating capacity.</w:t>
      </w:r>
    </w:p>
    <w:p>
      <w:pPr>
        <w:spacing w:after="0" w:line="232" w:lineRule="exact"/>
        <w:rPr>
          <w:rFonts w:ascii="Arial" w:cs="Arial" w:eastAsia="Arial" w:hAnsi="Arial"/>
          <w:sz w:val="29"/>
          <w:szCs w:val="29"/>
          <w:color w:val="auto"/>
          <w:vertAlign w:val="superscript"/>
        </w:rPr>
      </w:pPr>
    </w:p>
    <w:p>
      <w:pPr>
        <w:jc w:val="both"/>
        <w:ind w:left="500" w:hanging="330"/>
        <w:spacing w:after="0" w:line="238" w:lineRule="auto"/>
        <w:tabs>
          <w:tab w:leader="none" w:pos="500" w:val="left"/>
        </w:tabs>
        <w:numPr>
          <w:ilvl w:val="0"/>
          <w:numId w:val="21"/>
        </w:numPr>
        <w:rPr>
          <w:rFonts w:ascii="Arial" w:cs="Arial" w:eastAsia="Arial" w:hAnsi="Arial"/>
          <w:sz w:val="28"/>
          <w:szCs w:val="28"/>
          <w:color w:val="auto"/>
          <w:vertAlign w:val="superscript"/>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Eagle Ford Crude Oil Pipeline System</w:t>
      </w:r>
      <w:r>
        <w:rPr>
          <w:rFonts w:ascii="Arial" w:cs="Arial" w:eastAsia="Arial" w:hAnsi="Arial"/>
          <w:sz w:val="17"/>
          <w:szCs w:val="17"/>
          <w:color w:val="auto"/>
        </w:rPr>
        <w:t xml:space="preserve"> transports crude oil and condensate for producers in South Texas. The system, which is effectively looped and has a capacity to transport over 600 MBPD of light and medium grades of crude oil, consists of 380 miles of crude oil and condensate pipelines originating in Gardendale, Texas and extending to Corpus Christi, Texas. The system interconnects with our South Texas Crude Oil Pipeline System in Wilson County, Texas and our recently completed Corpus Christi marine terminal. Our 50% ownership interest in the Eagle Ford Crude Oil Pipeline System is held indirectly through our equity method investment in Eagle Ford Pipeline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Crude oil terminals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operational storage capacity associated with our crude oil pipelines, we also own and operate crude oil terminals located in Houston, Midland and Beaumont, Texas and Cushing, Oklahoma that are used to store crude oil for us and our customers. In conjunction with other aspects of our midstream network, our crude oil terminals provide Gulf Coast refiners with an integrated system featuring supply diversification, significant storage capabilities and a high capacity pipeline distribution system. Our system has access to an aggregate refining capacity of approximately 8 MMBPD.</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operations from crude oil terminals are primarily dependent upon the level of volumes stored and the length of time such storage occurs, including the level of firm storage capacity reserved, pumpover volumes and the fees associated with each activity. If the terminal offers marine services, the results of operations from these activities are primarily dependent upon the level of volumes handled and the associated loading/unloading fees we charge for such services.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information regarding our crude oil terminals at February 1,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Net Storage</w:t>
            </w:r>
          </w:p>
        </w:tc>
        <w:tc>
          <w:tcPr>
            <w:tcW w:w="0" w:type="dxa"/>
            <w:vAlign w:val="bottom"/>
          </w:tcPr>
          <w:p>
            <w:pPr>
              <w:spacing w:after="0"/>
              <w:rPr>
                <w:sz w:val="1"/>
                <w:szCs w:val="1"/>
                <w:color w:val="auto"/>
              </w:rPr>
            </w:pPr>
          </w:p>
        </w:tc>
      </w:tr>
      <w:tr>
        <w:trPr>
          <w:trHeight w:val="178"/>
        </w:trPr>
        <w:tc>
          <w:tcPr>
            <w:tcW w:w="250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Description of Asset</w:t>
            </w:r>
          </w:p>
        </w:tc>
        <w:tc>
          <w:tcPr>
            <w:tcW w:w="168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0"/>
              </w:rPr>
              <w:t>Location(s)</w:t>
            </w:r>
          </w:p>
        </w:tc>
        <w:tc>
          <w:tcPr>
            <w:tcW w:w="1540" w:type="dxa"/>
            <w:vAlign w:val="bottom"/>
          </w:tcPr>
          <w:p>
            <w:pPr>
              <w:jc w:val="right"/>
              <w:ind w:right="368"/>
              <w:spacing w:after="0"/>
              <w:rPr>
                <w:sz w:val="20"/>
                <w:szCs w:val="20"/>
                <w:color w:val="auto"/>
              </w:rPr>
            </w:pPr>
            <w:r>
              <w:rPr>
                <w:rFonts w:ascii="Arial" w:cs="Arial" w:eastAsia="Arial" w:hAnsi="Arial"/>
                <w:sz w:val="14"/>
                <w:szCs w:val="14"/>
                <w:b w:val="1"/>
                <w:bCs w:val="1"/>
                <w:color w:val="auto"/>
              </w:rPr>
              <w:t>Ownership</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3"/>
              </w:rPr>
              <w:t>Above-Ground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178"/>
        </w:trPr>
        <w:tc>
          <w:tcPr>
            <w:tcW w:w="2500" w:type="dxa"/>
            <w:vAlign w:val="bottom"/>
            <w:tcBorders>
              <w:bottom w:val="single" w:sz="8" w:color="auto"/>
            </w:tcBorders>
            <w:vMerge w:val="continue"/>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15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Interest</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Marine Docks</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Tanks in Service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(MMBbls)</w:t>
            </w:r>
          </w:p>
        </w:tc>
        <w:tc>
          <w:tcPr>
            <w:tcW w:w="0" w:type="dxa"/>
            <w:vAlign w:val="bottom"/>
          </w:tcPr>
          <w:p>
            <w:pPr>
              <w:spacing w:after="0"/>
              <w:rPr>
                <w:sz w:val="1"/>
                <w:szCs w:val="1"/>
                <w:color w:val="auto"/>
              </w:rPr>
            </w:pPr>
          </w:p>
        </w:tc>
      </w:tr>
      <w:tr>
        <w:trPr>
          <w:trHeight w:val="149"/>
        </w:trPr>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EHT (crude oil)</w:t>
            </w:r>
          </w:p>
        </w:tc>
        <w:tc>
          <w:tcPr>
            <w:tcW w:w="1680" w:type="dxa"/>
            <w:vAlign w:val="bottom"/>
            <w:shd w:val="clear" w:color="auto" w:fill="CCEEFF"/>
          </w:tcPr>
          <w:p>
            <w:pPr>
              <w:jc w:val="center"/>
              <w:ind w:left="88"/>
              <w:spacing w:after="0" w:line="149" w:lineRule="exact"/>
              <w:rPr>
                <w:sz w:val="20"/>
                <w:szCs w:val="20"/>
                <w:color w:val="auto"/>
              </w:rPr>
            </w:pPr>
            <w:r>
              <w:rPr>
                <w:rFonts w:ascii="Arial" w:cs="Arial" w:eastAsia="Arial" w:hAnsi="Arial"/>
                <w:sz w:val="14"/>
                <w:szCs w:val="14"/>
                <w:color w:val="auto"/>
                <w:w w:val="83"/>
              </w:rPr>
              <w:t>Texas</w:t>
            </w:r>
          </w:p>
        </w:tc>
        <w:tc>
          <w:tcPr>
            <w:tcW w:w="154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100.0%</w:t>
            </w:r>
          </w:p>
        </w:tc>
        <w:tc>
          <w:tcPr>
            <w:tcW w:w="2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7 deep-water ship; 1 barge</w:t>
            </w:r>
          </w:p>
        </w:tc>
        <w:tc>
          <w:tcPr>
            <w:tcW w:w="1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85</w:t>
            </w:r>
          </w:p>
        </w:tc>
        <w:tc>
          <w:tcPr>
            <w:tcW w:w="15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ECHO (1)</w:t>
            </w:r>
          </w:p>
        </w:tc>
        <w:tc>
          <w:tcPr>
            <w:tcW w:w="1680" w:type="dxa"/>
            <w:vAlign w:val="bottom"/>
          </w:tcPr>
          <w:p>
            <w:pPr>
              <w:jc w:val="center"/>
              <w:ind w:left="88"/>
              <w:spacing w:after="0" w:line="149" w:lineRule="exact"/>
              <w:rPr>
                <w:sz w:val="20"/>
                <w:szCs w:val="20"/>
                <w:color w:val="auto"/>
              </w:rPr>
            </w:pPr>
            <w:r>
              <w:rPr>
                <w:rFonts w:ascii="Arial" w:cs="Arial" w:eastAsia="Arial" w:hAnsi="Arial"/>
                <w:sz w:val="14"/>
                <w:szCs w:val="14"/>
                <w:color w:val="auto"/>
                <w:w w:val="83"/>
              </w:rPr>
              <w:t>Texas</w:t>
            </w:r>
          </w:p>
        </w:tc>
        <w:tc>
          <w:tcPr>
            <w:tcW w:w="154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100.0%</w:t>
            </w:r>
          </w:p>
        </w:tc>
        <w:tc>
          <w:tcPr>
            <w:tcW w:w="2400" w:type="dxa"/>
            <w:vAlign w:val="bottom"/>
          </w:tcPr>
          <w:p>
            <w:pPr>
              <w:jc w:val="center"/>
              <w:spacing w:after="0" w:line="149" w:lineRule="exact"/>
              <w:rPr>
                <w:sz w:val="20"/>
                <w:szCs w:val="20"/>
                <w:color w:val="auto"/>
              </w:rPr>
            </w:pPr>
            <w:r>
              <w:rPr>
                <w:rFonts w:ascii="Arial" w:cs="Arial" w:eastAsia="Arial" w:hAnsi="Arial"/>
                <w:sz w:val="14"/>
                <w:szCs w:val="14"/>
                <w:color w:val="auto"/>
                <w:w w:val="92"/>
              </w:rPr>
              <w:t>n/a</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89"/>
              </w:rPr>
              <w:t>14</w:t>
            </w:r>
          </w:p>
        </w:tc>
        <w:tc>
          <w:tcPr>
            <w:tcW w:w="15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Beaumont Marine West</w:t>
            </w:r>
          </w:p>
        </w:tc>
        <w:tc>
          <w:tcPr>
            <w:tcW w:w="1680" w:type="dxa"/>
            <w:vAlign w:val="bottom"/>
            <w:shd w:val="clear" w:color="auto" w:fill="CCEEFF"/>
          </w:tcPr>
          <w:p>
            <w:pPr>
              <w:jc w:val="center"/>
              <w:ind w:left="88"/>
              <w:spacing w:after="0" w:line="149" w:lineRule="exact"/>
              <w:rPr>
                <w:sz w:val="20"/>
                <w:szCs w:val="20"/>
                <w:color w:val="auto"/>
              </w:rPr>
            </w:pPr>
            <w:r>
              <w:rPr>
                <w:rFonts w:ascii="Arial" w:cs="Arial" w:eastAsia="Arial" w:hAnsi="Arial"/>
                <w:sz w:val="14"/>
                <w:szCs w:val="14"/>
                <w:color w:val="auto"/>
                <w:w w:val="83"/>
              </w:rPr>
              <w:t>Texas</w:t>
            </w:r>
          </w:p>
        </w:tc>
        <w:tc>
          <w:tcPr>
            <w:tcW w:w="154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100.0%</w:t>
            </w:r>
          </w:p>
        </w:tc>
        <w:tc>
          <w:tcPr>
            <w:tcW w:w="2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4 deep-water ship; 2 barge</w:t>
            </w:r>
          </w:p>
        </w:tc>
        <w:tc>
          <w:tcPr>
            <w:tcW w:w="1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12</w:t>
            </w:r>
          </w:p>
        </w:tc>
        <w:tc>
          <w:tcPr>
            <w:tcW w:w="15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Cushing</w:t>
            </w:r>
          </w:p>
        </w:tc>
        <w:tc>
          <w:tcPr>
            <w:tcW w:w="168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3"/>
              </w:rPr>
              <w:t>Oklahoma</w:t>
            </w:r>
          </w:p>
        </w:tc>
        <w:tc>
          <w:tcPr>
            <w:tcW w:w="154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100.0%</w:t>
            </w:r>
          </w:p>
        </w:tc>
        <w:tc>
          <w:tcPr>
            <w:tcW w:w="2400" w:type="dxa"/>
            <w:vAlign w:val="bottom"/>
          </w:tcPr>
          <w:p>
            <w:pPr>
              <w:jc w:val="center"/>
              <w:spacing w:after="0" w:line="149" w:lineRule="exact"/>
              <w:rPr>
                <w:sz w:val="20"/>
                <w:szCs w:val="20"/>
                <w:color w:val="auto"/>
              </w:rPr>
            </w:pPr>
            <w:r>
              <w:rPr>
                <w:rFonts w:ascii="Arial" w:cs="Arial" w:eastAsia="Arial" w:hAnsi="Arial"/>
                <w:sz w:val="14"/>
                <w:szCs w:val="14"/>
                <w:color w:val="auto"/>
                <w:w w:val="92"/>
              </w:rPr>
              <w:t>n/a</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89"/>
              </w:rPr>
              <w:t>18</w:t>
            </w:r>
          </w:p>
        </w:tc>
        <w:tc>
          <w:tcPr>
            <w:tcW w:w="15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Midland</w:t>
            </w:r>
          </w:p>
        </w:tc>
        <w:tc>
          <w:tcPr>
            <w:tcW w:w="1680" w:type="dxa"/>
            <w:vAlign w:val="bottom"/>
            <w:shd w:val="clear" w:color="auto" w:fill="CCEEFF"/>
          </w:tcPr>
          <w:p>
            <w:pPr>
              <w:jc w:val="center"/>
              <w:ind w:left="88"/>
              <w:spacing w:after="0" w:line="149" w:lineRule="exact"/>
              <w:rPr>
                <w:sz w:val="20"/>
                <w:szCs w:val="20"/>
                <w:color w:val="auto"/>
              </w:rPr>
            </w:pPr>
            <w:r>
              <w:rPr>
                <w:rFonts w:ascii="Arial" w:cs="Arial" w:eastAsia="Arial" w:hAnsi="Arial"/>
                <w:sz w:val="14"/>
                <w:szCs w:val="14"/>
                <w:color w:val="auto"/>
                <w:w w:val="83"/>
              </w:rPr>
              <w:t>Texas</w:t>
            </w:r>
          </w:p>
        </w:tc>
        <w:tc>
          <w:tcPr>
            <w:tcW w:w="154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100.0%</w:t>
            </w:r>
          </w:p>
        </w:tc>
        <w:tc>
          <w:tcPr>
            <w:tcW w:w="2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n/a</w:t>
            </w:r>
          </w:p>
        </w:tc>
        <w:tc>
          <w:tcPr>
            <w:tcW w:w="1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9</w:t>
            </w:r>
          </w:p>
        </w:tc>
        <w:tc>
          <w:tcPr>
            <w:tcW w:w="15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56"/>
        </w:trPr>
        <w:tc>
          <w:tcPr>
            <w:tcW w:w="25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Corpus Christi</w:t>
            </w:r>
          </w:p>
        </w:tc>
        <w:tc>
          <w:tcPr>
            <w:tcW w:w="1680" w:type="dxa"/>
            <w:vAlign w:val="bottom"/>
            <w:tcBorders>
              <w:bottom w:val="single" w:sz="8" w:color="CCEEFF"/>
            </w:tcBorders>
          </w:tcPr>
          <w:p>
            <w:pPr>
              <w:jc w:val="center"/>
              <w:ind w:left="88"/>
              <w:spacing w:after="0" w:line="149" w:lineRule="exact"/>
              <w:rPr>
                <w:sz w:val="20"/>
                <w:szCs w:val="20"/>
                <w:color w:val="auto"/>
              </w:rPr>
            </w:pPr>
            <w:r>
              <w:rPr>
                <w:rFonts w:ascii="Arial" w:cs="Arial" w:eastAsia="Arial" w:hAnsi="Arial"/>
                <w:sz w:val="14"/>
                <w:szCs w:val="14"/>
                <w:color w:val="auto"/>
                <w:w w:val="83"/>
              </w:rPr>
              <w:t>Texas</w:t>
            </w:r>
          </w:p>
        </w:tc>
        <w:tc>
          <w:tcPr>
            <w:tcW w:w="1540" w:type="dxa"/>
            <w:vAlign w:val="bottom"/>
            <w:tcBorders>
              <w:bottom w:val="single" w:sz="8" w:color="CCEEFF"/>
            </w:tcBorders>
          </w:tcPr>
          <w:p>
            <w:pPr>
              <w:jc w:val="right"/>
              <w:ind w:right="488"/>
              <w:spacing w:after="0" w:line="149" w:lineRule="exact"/>
              <w:rPr>
                <w:sz w:val="20"/>
                <w:szCs w:val="20"/>
                <w:color w:val="auto"/>
              </w:rPr>
            </w:pPr>
            <w:r>
              <w:rPr>
                <w:rFonts w:ascii="Arial" w:cs="Arial" w:eastAsia="Arial" w:hAnsi="Arial"/>
                <w:sz w:val="14"/>
                <w:szCs w:val="14"/>
                <w:color w:val="auto"/>
              </w:rPr>
              <w:t>50.0%</w:t>
            </w:r>
          </w:p>
        </w:tc>
        <w:tc>
          <w:tcPr>
            <w:tcW w:w="240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w w:val="91"/>
              </w:rPr>
              <w:t>1 deep-water ship</w:t>
            </w:r>
          </w:p>
        </w:tc>
        <w:tc>
          <w:tcPr>
            <w:tcW w:w="17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rPr>
              <w:t>4</w:t>
            </w:r>
          </w:p>
        </w:tc>
        <w:tc>
          <w:tcPr>
            <w:tcW w:w="152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1"/>
        </w:trPr>
        <w:tc>
          <w:tcPr>
            <w:tcW w:w="2500" w:type="dxa"/>
            <w:vAlign w:val="bottom"/>
            <w:tcBorders>
              <w:bottom w:val="single" w:sz="8" w:color="CCEEFF"/>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Total</w:t>
            </w:r>
          </w:p>
        </w:tc>
        <w:tc>
          <w:tcPr>
            <w:tcW w:w="16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w w:val="94"/>
              </w:rPr>
              <w:t>142</w:t>
            </w:r>
          </w:p>
        </w:tc>
        <w:tc>
          <w:tcPr>
            <w:tcW w:w="152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Number of tanks and storage capacity excludes three tanks that are used in the operation of our Midland-to-ECHO 1 pipeline and three tanks owned by Seaway.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describes our principal crude oil terminals, all of which we operate.</w:t>
      </w:r>
    </w:p>
    <w:p>
      <w:pPr>
        <w:spacing w:after="0" w:line="252" w:lineRule="exact"/>
        <w:rPr>
          <w:sz w:val="20"/>
          <w:szCs w:val="20"/>
          <w:color w:val="auto"/>
        </w:rPr>
      </w:pPr>
    </w:p>
    <w:p>
      <w:pPr>
        <w:jc w:val="both"/>
        <w:ind w:left="500" w:hanging="330"/>
        <w:spacing w:after="0" w:line="238" w:lineRule="auto"/>
        <w:tabs>
          <w:tab w:leader="none" w:pos="500" w:val="left"/>
        </w:tabs>
        <w:numPr>
          <w:ilvl w:val="0"/>
          <w:numId w:val="23"/>
        </w:numPr>
        <w:rPr>
          <w:rFonts w:ascii="Arial" w:cs="Arial" w:eastAsia="Arial" w:hAnsi="Arial"/>
          <w:sz w:val="26"/>
          <w:szCs w:val="26"/>
          <w:color w:val="auto"/>
          <w:vertAlign w:val="superscript"/>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EHT</w:t>
      </w:r>
      <w:r>
        <w:rPr>
          <w:rFonts w:ascii="Arial" w:cs="Arial" w:eastAsia="Arial" w:hAnsi="Arial"/>
          <w:sz w:val="16"/>
          <w:szCs w:val="16"/>
          <w:color w:val="auto"/>
        </w:rPr>
        <w:t xml:space="preserve"> crude oil terminal is one of the largest such facilities on the Gulf Coast and part of our EHT complex, which is located on the Houston Ship Channel and features extensive waterfront access consisting of seven deep-water ship docks and a barge dock. As noted previously, the terminal can accommodate vessels with up to a 45-foot draft, including Suezmax tankers, which are the largest tankers that can navigate the Houston Ship Channel.</w:t>
      </w:r>
    </w:p>
    <w:p>
      <w:pPr>
        <w:spacing w:after="0" w:line="229" w:lineRule="exact"/>
        <w:rPr>
          <w:rFonts w:ascii="Arial" w:cs="Arial" w:eastAsia="Arial" w:hAnsi="Arial"/>
          <w:sz w:val="26"/>
          <w:szCs w:val="26"/>
          <w:color w:val="auto"/>
          <w:vertAlign w:val="superscript"/>
        </w:rPr>
      </w:pPr>
    </w:p>
    <w:p>
      <w:pPr>
        <w:jc w:val="both"/>
        <w:ind w:left="500"/>
        <w:spacing w:after="0" w:line="286" w:lineRule="auto"/>
        <w:rPr>
          <w:rFonts w:ascii="Arial" w:cs="Arial" w:eastAsia="Arial" w:hAnsi="Arial"/>
          <w:sz w:val="26"/>
          <w:szCs w:val="26"/>
          <w:color w:val="auto"/>
          <w:vertAlign w:val="superscript"/>
        </w:rPr>
      </w:pPr>
      <w:r>
        <w:rPr>
          <w:rFonts w:ascii="Arial" w:cs="Arial" w:eastAsia="Arial" w:hAnsi="Arial"/>
          <w:sz w:val="17"/>
          <w:szCs w:val="17"/>
          <w:color w:val="auto"/>
        </w:rPr>
        <w:t>In July 2019, we announced plans to add an eighth deep-water ship dock at EHT that is expected to increase our crude oil loading capacity by 840 MBPD, thereby increasing our overall nameplate crude oil loading capacity at EHT to 2.75 MMBPD, or nearly 83 MMBbls per month. The new dock is designed to accommodate a Suezmax vessel and is scheduled to be placed into service during the fourth quarter of 2020.</w:t>
      </w:r>
    </w:p>
    <w:p>
      <w:pPr>
        <w:spacing w:after="0" w:line="287" w:lineRule="exact"/>
        <w:rPr>
          <w:rFonts w:ascii="Arial" w:cs="Arial" w:eastAsia="Arial" w:hAnsi="Arial"/>
          <w:sz w:val="26"/>
          <w:szCs w:val="26"/>
          <w:color w:val="auto"/>
          <w:vertAlign w:val="superscript"/>
        </w:rPr>
      </w:pPr>
    </w:p>
    <w:p>
      <w:pPr>
        <w:jc w:val="both"/>
        <w:ind w:left="500" w:hanging="330"/>
        <w:spacing w:after="0" w:line="212" w:lineRule="auto"/>
        <w:tabs>
          <w:tab w:leader="none" w:pos="50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ECHO</w:t>
      </w:r>
      <w:r>
        <w:rPr>
          <w:rFonts w:ascii="Arial" w:cs="Arial" w:eastAsia="Arial" w:hAnsi="Arial"/>
          <w:sz w:val="18"/>
          <w:szCs w:val="18"/>
          <w:color w:val="auto"/>
        </w:rPr>
        <w:t xml:space="preserve"> terminal is located in Houston, Texas and provides storage customers with access to major refineries located in the Houston, Texas City and Beaumont/Port Arthur areas. ECHO also has connections to marine terminals, including EHT, that provide access to any refinery on the U.S. Gulf Coast and international markets.</w:t>
      </w:r>
    </w:p>
    <w:p>
      <w:pPr>
        <w:spacing w:after="0" w:line="325" w:lineRule="exact"/>
        <w:rPr>
          <w:rFonts w:ascii="Arial" w:cs="Arial" w:eastAsia="Arial" w:hAnsi="Arial"/>
          <w:sz w:val="29"/>
          <w:szCs w:val="29"/>
          <w:color w:val="auto"/>
          <w:vertAlign w:val="superscript"/>
        </w:rPr>
      </w:pPr>
    </w:p>
    <w:p>
      <w:pPr>
        <w:jc w:val="both"/>
        <w:ind w:left="500"/>
        <w:spacing w:after="0" w:line="286" w:lineRule="auto"/>
        <w:rPr>
          <w:rFonts w:ascii="Arial" w:cs="Arial" w:eastAsia="Arial" w:hAnsi="Arial"/>
          <w:sz w:val="29"/>
          <w:szCs w:val="29"/>
          <w:color w:val="auto"/>
          <w:vertAlign w:val="superscript"/>
        </w:rPr>
      </w:pPr>
      <w:r>
        <w:rPr>
          <w:rFonts w:ascii="Arial" w:cs="Arial" w:eastAsia="Arial" w:hAnsi="Arial"/>
          <w:sz w:val="17"/>
          <w:szCs w:val="17"/>
          <w:color w:val="auto"/>
        </w:rPr>
        <w:t>In September 2018, the CME Group, a leading derivatives marketplace, announced that suppliers, refiners and end users of U.S. crude oil have a new way to price and hedge WTI in Houston, Texas. Participants will have the flexibility to make or take delivery of WTI at our ECHO terminal, EHT or pipeline interconnect at Genoa Junction. The futures contracts are listed with and subject to the rules of the NYMEX.</w:t>
      </w:r>
    </w:p>
    <w:p>
      <w:pPr>
        <w:spacing w:after="0" w:line="192" w:lineRule="exact"/>
        <w:rPr>
          <w:rFonts w:ascii="Arial" w:cs="Arial" w:eastAsia="Arial" w:hAnsi="Arial"/>
          <w:sz w:val="29"/>
          <w:szCs w:val="29"/>
          <w:color w:val="auto"/>
          <w:vertAlign w:val="superscript"/>
        </w:rPr>
      </w:pPr>
    </w:p>
    <w:p>
      <w:pPr>
        <w:ind w:left="500" w:hanging="330"/>
        <w:spacing w:after="0" w:line="198" w:lineRule="auto"/>
        <w:tabs>
          <w:tab w:leader="none" w:pos="50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Beaumont Marine West</w:t>
      </w:r>
      <w:r>
        <w:rPr>
          <w:rFonts w:ascii="Arial" w:cs="Arial" w:eastAsia="Arial" w:hAnsi="Arial"/>
          <w:sz w:val="18"/>
          <w:szCs w:val="18"/>
          <w:color w:val="auto"/>
        </w:rPr>
        <w:t xml:space="preserve"> terminal is located on the Neches River near Beaumont, Texas. This terminal includes four deep-water docks and two barge docks that facilitate the exporting and importing of crude oil and related products.</w:t>
      </w:r>
    </w:p>
    <w:p>
      <w:pPr>
        <w:spacing w:after="0" w:line="229" w:lineRule="exact"/>
        <w:rPr>
          <w:rFonts w:ascii="Arial" w:cs="Arial" w:eastAsia="Arial" w:hAnsi="Arial"/>
          <w:sz w:val="29"/>
          <w:szCs w:val="29"/>
          <w:color w:val="auto"/>
          <w:vertAlign w:val="superscript"/>
        </w:rPr>
      </w:pPr>
    </w:p>
    <w:p>
      <w:pPr>
        <w:ind w:left="500" w:right="20" w:hanging="330"/>
        <w:spacing w:after="0" w:line="198" w:lineRule="auto"/>
        <w:tabs>
          <w:tab w:leader="none" w:pos="50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Cushing</w:t>
      </w:r>
      <w:r>
        <w:rPr>
          <w:rFonts w:ascii="Arial" w:cs="Arial" w:eastAsia="Arial" w:hAnsi="Arial"/>
          <w:sz w:val="18"/>
          <w:szCs w:val="18"/>
          <w:color w:val="auto"/>
        </w:rPr>
        <w:t xml:space="preserve"> terminal is located at the Cushing hub in Oklahoma and provides crude oil storage, pumpover and trade documentation services. This terminal is one of the origination points for our Seaway Pipeline.</w:t>
      </w:r>
    </w:p>
    <w:p>
      <w:pPr>
        <w:spacing w:after="0" w:line="229" w:lineRule="exact"/>
        <w:rPr>
          <w:rFonts w:ascii="Arial" w:cs="Arial" w:eastAsia="Arial" w:hAnsi="Arial"/>
          <w:sz w:val="29"/>
          <w:szCs w:val="29"/>
          <w:color w:val="auto"/>
          <w:vertAlign w:val="superscript"/>
        </w:rPr>
      </w:pPr>
    </w:p>
    <w:p>
      <w:pPr>
        <w:ind w:left="500" w:hanging="330"/>
        <w:spacing w:after="0" w:line="198" w:lineRule="auto"/>
        <w:tabs>
          <w:tab w:leader="none" w:pos="50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Midland</w:t>
      </w:r>
      <w:r>
        <w:rPr>
          <w:rFonts w:ascii="Arial" w:cs="Arial" w:eastAsia="Arial" w:hAnsi="Arial"/>
          <w:sz w:val="18"/>
          <w:szCs w:val="18"/>
          <w:color w:val="auto"/>
        </w:rPr>
        <w:t xml:space="preserve"> terminal provides crude oil storage, pumpover and trade documentation services. The Midland terminal is the origination point for our Midland-to-ECHO pipelines.</w:t>
      </w:r>
    </w:p>
    <w:p>
      <w:pPr>
        <w:spacing w:after="0" w:line="229" w:lineRule="exact"/>
        <w:rPr>
          <w:rFonts w:ascii="Arial" w:cs="Arial" w:eastAsia="Arial" w:hAnsi="Arial"/>
          <w:sz w:val="29"/>
          <w:szCs w:val="29"/>
          <w:color w:val="auto"/>
          <w:vertAlign w:val="superscript"/>
        </w:rPr>
      </w:pPr>
    </w:p>
    <w:p>
      <w:pPr>
        <w:jc w:val="both"/>
        <w:ind w:left="500" w:hanging="330"/>
        <w:spacing w:after="0" w:line="226" w:lineRule="auto"/>
        <w:tabs>
          <w:tab w:leader="none" w:pos="50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Corpus Christi</w:t>
      </w:r>
      <w:r>
        <w:rPr>
          <w:rFonts w:ascii="Arial" w:cs="Arial" w:eastAsia="Arial" w:hAnsi="Arial"/>
          <w:sz w:val="18"/>
          <w:szCs w:val="18"/>
          <w:color w:val="auto"/>
        </w:rPr>
        <w:t xml:space="preserve"> terminal, which commenced operations in the third quarter of 2019, is located in Corpus Christi, Texas and capable of loading ocean-going vessels with either crude oil or condensate. Initial storage capacity of the terminal is approximately 1.4 MMBbls (0.7 MMBbls net to our ownership interest). The facility has access to production from both the Eagle Ford Shale and the Permian Basin through a connection with our Eagle Ford Crude Oil Pipeline System. Our 50% ownership interest in the terminal is held indirectly through our equity method investment in Eagle Ford Terminals Corpus Christi LLC.</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Sea Port Oil Terminal. </w:t>
      </w:r>
      <w:r>
        <w:rPr>
          <w:rFonts w:ascii="Arial" w:cs="Arial" w:eastAsia="Arial" w:hAnsi="Arial"/>
          <w:sz w:val="18"/>
          <w:szCs w:val="18"/>
          <w:color w:val="auto"/>
        </w:rPr>
        <w:t>In July 2019, we announced the execution of long-term customer agreements with Chevron U.S.A. Inc. (“Chevron”) supporting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our Sea Port Oil Terminal (“SPOT”) in the Gulf of Mexico. As a result of the Chevron agreements, we announced our final investment decision with respect to SPOT, subject to obtaining the required approvals and licenses from the federal Maritime Administration, which is currently reviewing our SPOT application.</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SPOT project consists of onshore and offshore facilities, including a fixed platform located approximately 30 nautical miles off the Brazoria County, Texas coast in approximately 115 feet of water. SPOT is designed to load a VLCC at rates of approximately 85,000 barrels per hour. We believe that SPOT’s design meets or exceeds federal requirements for such facilities and, unlike existing and other proposed offshore terminals, is designed with a vapor control system to minimize emissions. SPOT would provide customers with an integrated export solution that leverages our extensive supply, storage and distribution network along the Gulf Coast, with access to approximately 6 MMBbls of crude oil supply and more than 300 MMBbls of storage based on our estimates.</w:t>
      </w:r>
    </w:p>
    <w:p>
      <w:pPr>
        <w:spacing w:after="0" w:line="22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December 2019, we announced the execution of a letter of intent (“LOI”) with an affiliate of Enbridge Inc. (“Enbridge”) to jointly develop SPOT in the Gulf of Mexico. Under terms of the LOI, we agreed to negotiate an equity participation right agreement with Enbridge whereby, subject to SPOT receiving a deepwater port license, an affiliate of Enbridge could acquire a noncontrolling member interest in SPOT Terminal Services LLC, which owns SPOT.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Crude oil marketing activities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crude oil marketing activities generate revenues from the sale and delivery of crude oil and condensate purchased either directly from producers or from others on the open market. The results of operations from our crude oil marketing activities are primarily dependent upon the difference, or spread, between crude oil and condensate sales prices and the associated purchase and other costs, including those costs attributable to the use of our assets. In general, sales prices referenced in the underlying contracts are market-based and include pricing differentials for factors such as delivery location or crude oil quality. We use derivative instruments to mitigate our exposure to commodity price risks associated with our crude oil marketing activities. For a discussion of our commodity hedging program, see Part II, Item 7A of this annual report.</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Crude Oil Pipelines &amp; Services segment also includes a fleet of approximately 310 tractor-trailer tank trucks, the majority of which we lease and operate, that are used to transport crude oil.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Pipelines &amp; Services Segment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Natural Gas Pipelines &amp; Services business segment currently includes approximately 19,400 miles of natural gas pipeline systems that provide for the gathering, treating and transportation of natural gas in Colorado, Louisiana, New Mexico, Texas and Wyoming. This segment also includes our natural gas marketing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Natural gas pipelines and related storage assets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natural gas pipeline systems gather, treat and transport natural gas from producing regions including the Permian Basin, Eagle Ford Shale, Haynesville Shale, and the Piceance, San Juan and Greater Green River supply basins. In addition, certain of these pipelines receive natural gas production from Gulf of Mexico developments. Our natural gas pipelines redeliver the natural gas to processing facilities, electric generation plants, local gas distribution companies, industrial and municipal customers, storage facilities or other onshore pipelines.</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results of operations from our natural gas pipelines and related storage assets are primarily dependent upon the volume of natural gas gathered, treated, transported or stored, the level of firm capacity reservations made by shippers, and the associated fees we charge for such activities. Transportation fees charged to shippers (typically per MMBtu of natural gas) are based on either tariffs regulated by governmental agencies, including the FERC, or contractual arrangements. See “Regulatory Matters” within this Part I, Items 1 and 2 discussion for additional information regarding governmental oversight of our natural gas pipelines.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information regarding our natural gas pipelines and related infrastructure at February 1,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4"/>
              </w:rPr>
              <w:t xml:space="preserve">Net Capacity </w:t>
            </w:r>
            <w:r>
              <w:rPr>
                <w:rFonts w:ascii="Arial" w:cs="Arial" w:eastAsia="Arial" w:hAnsi="Arial"/>
                <w:sz w:val="14"/>
                <w:szCs w:val="14"/>
                <w:color w:val="auto"/>
                <w:w w:val="94"/>
              </w:rPr>
              <w:t>(1)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Pipeline</w:t>
            </w:r>
          </w:p>
        </w:tc>
        <w:tc>
          <w:tcPr>
            <w:tcW w:w="1140" w:type="dxa"/>
            <w:vAlign w:val="bottom"/>
          </w:tcPr>
          <w:p>
            <w:pPr>
              <w:jc w:val="center"/>
              <w:ind w:right="168"/>
              <w:spacing w:after="0"/>
              <w:rPr>
                <w:sz w:val="20"/>
                <w:szCs w:val="20"/>
                <w:color w:val="auto"/>
              </w:rPr>
            </w:pPr>
            <w:r>
              <w:rPr>
                <w:rFonts w:ascii="Arial" w:cs="Arial" w:eastAsia="Arial" w:hAnsi="Arial"/>
                <w:sz w:val="14"/>
                <w:szCs w:val="14"/>
                <w:b w:val="1"/>
                <w:bCs w:val="1"/>
                <w:color w:val="auto"/>
                <w:w w:val="93"/>
              </w:rPr>
              <w:t>Pipeline</w:t>
            </w:r>
          </w:p>
        </w:tc>
        <w:tc>
          <w:tcPr>
            <w:tcW w:w="1380" w:type="dxa"/>
            <w:vAlign w:val="bottom"/>
          </w:tcPr>
          <w:p>
            <w:pPr>
              <w:jc w:val="center"/>
              <w:ind w:right="188"/>
              <w:spacing w:after="0"/>
              <w:rPr>
                <w:sz w:val="20"/>
                <w:szCs w:val="20"/>
                <w:color w:val="auto"/>
              </w:rPr>
            </w:pPr>
            <w:r>
              <w:rPr>
                <w:rFonts w:ascii="Arial" w:cs="Arial" w:eastAsia="Arial" w:hAnsi="Arial"/>
                <w:sz w:val="14"/>
                <w:szCs w:val="14"/>
                <w:b w:val="1"/>
                <w:bCs w:val="1"/>
                <w:color w:val="auto"/>
                <w:w w:val="96"/>
              </w:rPr>
              <w:t>Natural Gas</w:t>
            </w:r>
          </w:p>
        </w:tc>
        <w:tc>
          <w:tcPr>
            <w:tcW w:w="1040" w:type="dxa"/>
            <w:vAlign w:val="bottom"/>
          </w:tcPr>
          <w:p>
            <w:pPr>
              <w:jc w:val="center"/>
              <w:ind w:right="128"/>
              <w:spacing w:after="0"/>
              <w:rPr>
                <w:sz w:val="20"/>
                <w:szCs w:val="20"/>
                <w:color w:val="auto"/>
              </w:rPr>
            </w:pPr>
            <w:r>
              <w:rPr>
                <w:rFonts w:ascii="Arial" w:cs="Arial" w:eastAsia="Arial" w:hAnsi="Arial"/>
                <w:sz w:val="14"/>
                <w:szCs w:val="14"/>
                <w:b w:val="1"/>
                <w:bCs w:val="1"/>
                <w:color w:val="auto"/>
                <w:w w:val="87"/>
              </w:rPr>
              <w:t>Usable</w:t>
            </w:r>
          </w:p>
        </w:tc>
        <w:tc>
          <w:tcPr>
            <w:tcW w:w="0" w:type="dxa"/>
            <w:vAlign w:val="bottom"/>
          </w:tcPr>
          <w:p>
            <w:pPr>
              <w:spacing w:after="0"/>
              <w:rPr>
                <w:sz w:val="1"/>
                <w:szCs w:val="1"/>
                <w:color w:val="auto"/>
              </w:rPr>
            </w:pPr>
          </w:p>
        </w:tc>
      </w:tr>
      <w:tr>
        <w:trPr>
          <w:trHeight w:val="178"/>
        </w:trPr>
        <w:tc>
          <w:tcPr>
            <w:tcW w:w="27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Description of Asset</w:t>
            </w:r>
          </w:p>
        </w:tc>
        <w:tc>
          <w:tcPr>
            <w:tcW w:w="218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90"/>
              </w:rPr>
              <w:t>Location(s)</w:t>
            </w:r>
          </w:p>
        </w:tc>
        <w:tc>
          <w:tcPr>
            <w:tcW w:w="152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Ownership</w:t>
            </w: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Length</w:t>
            </w:r>
          </w:p>
        </w:tc>
        <w:tc>
          <w:tcPr>
            <w:tcW w:w="1140" w:type="dxa"/>
            <w:vAlign w:val="bottom"/>
          </w:tcPr>
          <w:p>
            <w:pPr>
              <w:jc w:val="center"/>
              <w:ind w:right="168"/>
              <w:spacing w:after="0"/>
              <w:rPr>
                <w:sz w:val="20"/>
                <w:szCs w:val="20"/>
                <w:color w:val="auto"/>
              </w:rPr>
            </w:pPr>
            <w:r>
              <w:rPr>
                <w:rFonts w:ascii="Arial" w:cs="Arial" w:eastAsia="Arial" w:hAnsi="Arial"/>
                <w:sz w:val="14"/>
                <w:szCs w:val="14"/>
                <w:b w:val="1"/>
                <w:bCs w:val="1"/>
                <w:color w:val="auto"/>
                <w:w w:val="92"/>
              </w:rPr>
              <w:t>Capacity</w:t>
            </w:r>
          </w:p>
        </w:tc>
        <w:tc>
          <w:tcPr>
            <w:tcW w:w="1380" w:type="dxa"/>
            <w:vAlign w:val="bottom"/>
          </w:tcPr>
          <w:p>
            <w:pPr>
              <w:jc w:val="center"/>
              <w:ind w:right="188"/>
              <w:spacing w:after="0"/>
              <w:rPr>
                <w:sz w:val="20"/>
                <w:szCs w:val="20"/>
                <w:color w:val="auto"/>
              </w:rPr>
            </w:pPr>
            <w:r>
              <w:rPr>
                <w:rFonts w:ascii="Arial" w:cs="Arial" w:eastAsia="Arial" w:hAnsi="Arial"/>
                <w:sz w:val="14"/>
                <w:szCs w:val="14"/>
                <w:b w:val="1"/>
                <w:bCs w:val="1"/>
                <w:color w:val="auto"/>
                <w:w w:val="94"/>
              </w:rPr>
              <w:t>Treating</w:t>
            </w:r>
          </w:p>
        </w:tc>
        <w:tc>
          <w:tcPr>
            <w:tcW w:w="1040" w:type="dxa"/>
            <w:vAlign w:val="bottom"/>
          </w:tcPr>
          <w:p>
            <w:pPr>
              <w:jc w:val="center"/>
              <w:ind w:right="128"/>
              <w:spacing w:after="0"/>
              <w:rPr>
                <w:sz w:val="20"/>
                <w:szCs w:val="20"/>
                <w:color w:val="auto"/>
              </w:rPr>
            </w:pPr>
            <w:r>
              <w:rPr>
                <w:rFonts w:ascii="Arial" w:cs="Arial" w:eastAsia="Arial" w:hAnsi="Arial"/>
                <w:sz w:val="14"/>
                <w:szCs w:val="14"/>
                <w:b w:val="1"/>
                <w:bCs w:val="1"/>
                <w:color w:val="auto"/>
                <w:w w:val="91"/>
              </w:rPr>
              <w:t>Storage</w:t>
            </w:r>
          </w:p>
        </w:tc>
        <w:tc>
          <w:tcPr>
            <w:tcW w:w="0" w:type="dxa"/>
            <w:vAlign w:val="bottom"/>
          </w:tcPr>
          <w:p>
            <w:pPr>
              <w:spacing w:after="0"/>
              <w:rPr>
                <w:sz w:val="1"/>
                <w:szCs w:val="1"/>
                <w:color w:val="auto"/>
              </w:rPr>
            </w:pPr>
          </w:p>
        </w:tc>
      </w:tr>
      <w:tr>
        <w:trPr>
          <w:trHeight w:val="178"/>
        </w:trPr>
        <w:tc>
          <w:tcPr>
            <w:tcW w:w="2760" w:type="dxa"/>
            <w:vAlign w:val="bottom"/>
            <w:tcBorders>
              <w:bottom w:val="single" w:sz="8" w:color="auto"/>
            </w:tcBorders>
            <w:vMerge w:val="continue"/>
          </w:tcPr>
          <w:p>
            <w:pPr>
              <w:spacing w:after="0"/>
              <w:rPr>
                <w:sz w:val="15"/>
                <w:szCs w:val="15"/>
                <w:color w:val="auto"/>
              </w:rPr>
            </w:pPr>
          </w:p>
        </w:tc>
        <w:tc>
          <w:tcPr>
            <w:tcW w:w="2180" w:type="dxa"/>
            <w:vAlign w:val="bottom"/>
            <w:tcBorders>
              <w:bottom w:val="single" w:sz="8" w:color="auto"/>
            </w:tcBorders>
            <w:vMerge w:val="continue"/>
          </w:tcPr>
          <w:p>
            <w:pPr>
              <w:spacing w:after="0"/>
              <w:rPr>
                <w:sz w:val="15"/>
                <w:szCs w:val="15"/>
                <w:color w:val="auto"/>
              </w:rPr>
            </w:pPr>
          </w:p>
        </w:tc>
        <w:tc>
          <w:tcPr>
            <w:tcW w:w="152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Interest</w:t>
            </w:r>
          </w:p>
        </w:tc>
        <w:tc>
          <w:tcPr>
            <w:tcW w:w="14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4"/>
              </w:rPr>
              <w:t>(Miles)</w:t>
            </w:r>
          </w:p>
        </w:tc>
        <w:tc>
          <w:tcPr>
            <w:tcW w:w="11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(MMcf/d)</w:t>
            </w:r>
          </w:p>
        </w:tc>
        <w:tc>
          <w:tcPr>
            <w:tcW w:w="13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(MMcf/d)</w:t>
            </w: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(Bcf)</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Texas Intrastate System (2)</w:t>
            </w:r>
          </w:p>
        </w:tc>
        <w:tc>
          <w:tcPr>
            <w:tcW w:w="2180" w:type="dxa"/>
            <w:vAlign w:val="bottom"/>
            <w:shd w:val="clear" w:color="auto" w:fill="CCEEFF"/>
          </w:tcPr>
          <w:p>
            <w:pPr>
              <w:jc w:val="center"/>
              <w:ind w:left="348"/>
              <w:spacing w:after="0" w:line="149" w:lineRule="exact"/>
              <w:rPr>
                <w:sz w:val="20"/>
                <w:szCs w:val="20"/>
                <w:color w:val="auto"/>
              </w:rPr>
            </w:pPr>
            <w:r>
              <w:rPr>
                <w:rFonts w:ascii="Arial" w:cs="Arial" w:eastAsia="Arial" w:hAnsi="Arial"/>
                <w:sz w:val="14"/>
                <w:szCs w:val="14"/>
                <w:color w:val="auto"/>
                <w:w w:val="83"/>
              </w:rPr>
              <w:t>Texas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Various</w:t>
            </w:r>
          </w:p>
        </w:tc>
        <w:tc>
          <w:tcPr>
            <w:tcW w:w="8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6,916</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7,345</w:t>
            </w:r>
          </w:p>
        </w:tc>
        <w:tc>
          <w:tcPr>
            <w:tcW w:w="13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80</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Acadian Gas System (2)</w:t>
            </w:r>
          </w:p>
        </w:tc>
        <w:tc>
          <w:tcPr>
            <w:tcW w:w="2180" w:type="dxa"/>
            <w:vAlign w:val="bottom"/>
          </w:tcPr>
          <w:p>
            <w:pPr>
              <w:jc w:val="center"/>
              <w:ind w:left="348"/>
              <w:spacing w:after="0" w:line="149" w:lineRule="exact"/>
              <w:rPr>
                <w:sz w:val="20"/>
                <w:szCs w:val="20"/>
                <w:color w:val="auto"/>
              </w:rPr>
            </w:pPr>
            <w:r>
              <w:rPr>
                <w:rFonts w:ascii="Arial" w:cs="Arial" w:eastAsia="Arial" w:hAnsi="Arial"/>
                <w:sz w:val="14"/>
                <w:szCs w:val="14"/>
                <w:color w:val="auto"/>
                <w:w w:val="93"/>
              </w:rPr>
              <w:t>Louisiana</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840" w:type="dxa"/>
            <w:vAlign w:val="bottom"/>
          </w:tcPr>
          <w:p>
            <w:pPr>
              <w:spacing w:after="0"/>
              <w:rPr>
                <w:sz w:val="12"/>
                <w:szCs w:val="12"/>
                <w:color w:val="auto"/>
              </w:rPr>
            </w:pPr>
          </w:p>
        </w:tc>
        <w:tc>
          <w:tcPr>
            <w:tcW w:w="1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1,312</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3,100</w:t>
            </w:r>
          </w:p>
        </w:tc>
        <w:tc>
          <w:tcPr>
            <w:tcW w:w="13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Jonah Gathering System</w:t>
            </w:r>
          </w:p>
        </w:tc>
        <w:tc>
          <w:tcPr>
            <w:tcW w:w="2180" w:type="dxa"/>
            <w:vAlign w:val="bottom"/>
            <w:shd w:val="clear" w:color="auto" w:fill="CCEEFF"/>
          </w:tcPr>
          <w:p>
            <w:pPr>
              <w:jc w:val="center"/>
              <w:ind w:left="348"/>
              <w:spacing w:after="0" w:line="149" w:lineRule="exact"/>
              <w:rPr>
                <w:sz w:val="20"/>
                <w:szCs w:val="20"/>
                <w:color w:val="auto"/>
              </w:rPr>
            </w:pPr>
            <w:r>
              <w:rPr>
                <w:rFonts w:ascii="Arial" w:cs="Arial" w:eastAsia="Arial" w:hAnsi="Arial"/>
                <w:sz w:val="14"/>
                <w:szCs w:val="14"/>
                <w:color w:val="auto"/>
                <w:w w:val="95"/>
              </w:rPr>
              <w:t>Wyoming</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8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761</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2,360</w:t>
            </w:r>
          </w:p>
        </w:tc>
        <w:tc>
          <w:tcPr>
            <w:tcW w:w="13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Piceance Basin Gathering System</w:t>
            </w:r>
          </w:p>
        </w:tc>
        <w:tc>
          <w:tcPr>
            <w:tcW w:w="2180" w:type="dxa"/>
            <w:vAlign w:val="bottom"/>
          </w:tcPr>
          <w:p>
            <w:pPr>
              <w:jc w:val="center"/>
              <w:ind w:left="348"/>
              <w:spacing w:after="0" w:line="149" w:lineRule="exact"/>
              <w:rPr>
                <w:sz w:val="20"/>
                <w:szCs w:val="20"/>
                <w:color w:val="auto"/>
              </w:rPr>
            </w:pPr>
            <w:r>
              <w:rPr>
                <w:rFonts w:ascii="Arial" w:cs="Arial" w:eastAsia="Arial" w:hAnsi="Arial"/>
                <w:sz w:val="14"/>
                <w:szCs w:val="14"/>
                <w:color w:val="auto"/>
                <w:w w:val="91"/>
              </w:rPr>
              <w:t>Colorado</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840" w:type="dxa"/>
            <w:vAlign w:val="bottom"/>
          </w:tcPr>
          <w:p>
            <w:pPr>
              <w:spacing w:after="0"/>
              <w:rPr>
                <w:sz w:val="12"/>
                <w:szCs w:val="12"/>
                <w:color w:val="auto"/>
              </w:rPr>
            </w:pPr>
          </w:p>
        </w:tc>
        <w:tc>
          <w:tcPr>
            <w:tcW w:w="1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191</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1,800</w:t>
            </w:r>
          </w:p>
        </w:tc>
        <w:tc>
          <w:tcPr>
            <w:tcW w:w="13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 Juan Gathering System</w:t>
            </w:r>
          </w:p>
        </w:tc>
        <w:tc>
          <w:tcPr>
            <w:tcW w:w="2180" w:type="dxa"/>
            <w:vAlign w:val="bottom"/>
            <w:shd w:val="clear" w:color="auto" w:fill="CCEEFF"/>
          </w:tcPr>
          <w:p>
            <w:pPr>
              <w:jc w:val="center"/>
              <w:ind w:left="348"/>
              <w:spacing w:after="0" w:line="149" w:lineRule="exact"/>
              <w:rPr>
                <w:sz w:val="20"/>
                <w:szCs w:val="20"/>
                <w:color w:val="auto"/>
              </w:rPr>
            </w:pPr>
            <w:r>
              <w:rPr>
                <w:rFonts w:ascii="Arial" w:cs="Arial" w:eastAsia="Arial" w:hAnsi="Arial"/>
                <w:sz w:val="14"/>
                <w:szCs w:val="14"/>
                <w:color w:val="auto"/>
                <w:w w:val="96"/>
              </w:rPr>
              <w:t>New Mexico, Colorado</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8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6,078</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1,750</w:t>
            </w:r>
          </w:p>
        </w:tc>
        <w:tc>
          <w:tcPr>
            <w:tcW w:w="13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420</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Permian Basin Gathering System</w:t>
            </w:r>
          </w:p>
        </w:tc>
        <w:tc>
          <w:tcPr>
            <w:tcW w:w="2180" w:type="dxa"/>
            <w:vAlign w:val="bottom"/>
          </w:tcPr>
          <w:p>
            <w:pPr>
              <w:jc w:val="center"/>
              <w:ind w:left="348"/>
              <w:spacing w:after="0" w:line="149" w:lineRule="exact"/>
              <w:rPr>
                <w:sz w:val="20"/>
                <w:szCs w:val="20"/>
                <w:color w:val="auto"/>
              </w:rPr>
            </w:pPr>
            <w:r>
              <w:rPr>
                <w:rFonts w:ascii="Arial" w:cs="Arial" w:eastAsia="Arial" w:hAnsi="Arial"/>
                <w:sz w:val="14"/>
                <w:szCs w:val="14"/>
                <w:color w:val="auto"/>
                <w:w w:val="94"/>
              </w:rPr>
              <w:t>Texas, New Mexico</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840" w:type="dxa"/>
            <w:vAlign w:val="bottom"/>
          </w:tcPr>
          <w:p>
            <w:pPr>
              <w:spacing w:after="0"/>
              <w:rPr>
                <w:sz w:val="12"/>
                <w:szCs w:val="12"/>
                <w:color w:val="auto"/>
              </w:rPr>
            </w:pPr>
          </w:p>
        </w:tc>
        <w:tc>
          <w:tcPr>
            <w:tcW w:w="1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1,681</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1,575</w:t>
            </w:r>
          </w:p>
        </w:tc>
        <w:tc>
          <w:tcPr>
            <w:tcW w:w="13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150</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White River Hub (3)</w:t>
            </w:r>
          </w:p>
        </w:tc>
        <w:tc>
          <w:tcPr>
            <w:tcW w:w="2180" w:type="dxa"/>
            <w:vAlign w:val="bottom"/>
            <w:shd w:val="clear" w:color="auto" w:fill="CCEEFF"/>
          </w:tcPr>
          <w:p>
            <w:pPr>
              <w:jc w:val="center"/>
              <w:ind w:left="348"/>
              <w:spacing w:after="0" w:line="149" w:lineRule="exact"/>
              <w:rPr>
                <w:sz w:val="20"/>
                <w:szCs w:val="20"/>
                <w:color w:val="auto"/>
              </w:rPr>
            </w:pPr>
            <w:r>
              <w:rPr>
                <w:rFonts w:ascii="Arial" w:cs="Arial" w:eastAsia="Arial" w:hAnsi="Arial"/>
                <w:sz w:val="14"/>
                <w:szCs w:val="14"/>
                <w:color w:val="auto"/>
                <w:w w:val="91"/>
              </w:rPr>
              <w:t>Colorado</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8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13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Haynesville Gathering System</w:t>
            </w:r>
          </w:p>
        </w:tc>
        <w:tc>
          <w:tcPr>
            <w:tcW w:w="2180" w:type="dxa"/>
            <w:vAlign w:val="bottom"/>
          </w:tcPr>
          <w:p>
            <w:pPr>
              <w:jc w:val="center"/>
              <w:ind w:left="348"/>
              <w:spacing w:after="0" w:line="149" w:lineRule="exact"/>
              <w:rPr>
                <w:sz w:val="20"/>
                <w:szCs w:val="20"/>
                <w:color w:val="auto"/>
              </w:rPr>
            </w:pPr>
            <w:r>
              <w:rPr>
                <w:rFonts w:ascii="Arial" w:cs="Arial" w:eastAsia="Arial" w:hAnsi="Arial"/>
                <w:sz w:val="14"/>
                <w:szCs w:val="14"/>
                <w:color w:val="auto"/>
                <w:w w:val="90"/>
              </w:rPr>
              <w:t>Louisiana, Texas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840" w:type="dxa"/>
            <w:vAlign w:val="bottom"/>
          </w:tcPr>
          <w:p>
            <w:pPr>
              <w:spacing w:after="0"/>
              <w:rPr>
                <w:sz w:val="12"/>
                <w:szCs w:val="12"/>
                <w:color w:val="auto"/>
              </w:rPr>
            </w:pPr>
          </w:p>
        </w:tc>
        <w:tc>
          <w:tcPr>
            <w:tcW w:w="1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360</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1,300</w:t>
            </w:r>
          </w:p>
        </w:tc>
        <w:tc>
          <w:tcPr>
            <w:tcW w:w="13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810</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BTA Gathering System (4)</w:t>
            </w:r>
          </w:p>
        </w:tc>
        <w:tc>
          <w:tcPr>
            <w:tcW w:w="2180" w:type="dxa"/>
            <w:vAlign w:val="bottom"/>
            <w:shd w:val="clear" w:color="auto" w:fill="CCEEFF"/>
          </w:tcPr>
          <w:p>
            <w:pPr>
              <w:jc w:val="center"/>
              <w:ind w:left="348"/>
              <w:spacing w:after="0" w:line="149" w:lineRule="exact"/>
              <w:rPr>
                <w:sz w:val="20"/>
                <w:szCs w:val="20"/>
                <w:color w:val="auto"/>
              </w:rPr>
            </w:pPr>
            <w:r>
              <w:rPr>
                <w:rFonts w:ascii="Arial" w:cs="Arial" w:eastAsia="Arial" w:hAnsi="Arial"/>
                <w:sz w:val="14"/>
                <w:szCs w:val="14"/>
                <w:color w:val="auto"/>
                <w:w w:val="83"/>
              </w:rPr>
              <w:t>Texas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84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(5)</w:t>
            </w:r>
          </w:p>
        </w:tc>
        <w:tc>
          <w:tcPr>
            <w:tcW w:w="1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723</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w:t>
            </w:r>
          </w:p>
        </w:tc>
        <w:tc>
          <w:tcPr>
            <w:tcW w:w="13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160</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Indian Springs Gathering System (4)</w:t>
            </w:r>
          </w:p>
        </w:tc>
        <w:tc>
          <w:tcPr>
            <w:tcW w:w="2180" w:type="dxa"/>
            <w:vAlign w:val="bottom"/>
          </w:tcPr>
          <w:p>
            <w:pPr>
              <w:jc w:val="center"/>
              <w:ind w:left="348"/>
              <w:spacing w:after="0" w:line="149" w:lineRule="exact"/>
              <w:rPr>
                <w:sz w:val="20"/>
                <w:szCs w:val="20"/>
                <w:color w:val="auto"/>
              </w:rPr>
            </w:pPr>
            <w:r>
              <w:rPr>
                <w:rFonts w:ascii="Arial" w:cs="Arial" w:eastAsia="Arial" w:hAnsi="Arial"/>
                <w:sz w:val="14"/>
                <w:szCs w:val="14"/>
                <w:color w:val="auto"/>
                <w:w w:val="83"/>
              </w:rPr>
              <w:t>Texas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w:t>
            </w:r>
          </w:p>
        </w:tc>
        <w:tc>
          <w:tcPr>
            <w:tcW w:w="8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(6)</w:t>
            </w:r>
          </w:p>
        </w:tc>
        <w:tc>
          <w:tcPr>
            <w:tcW w:w="1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145</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13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Delmita Gathering System</w:t>
            </w:r>
          </w:p>
        </w:tc>
        <w:tc>
          <w:tcPr>
            <w:tcW w:w="2180" w:type="dxa"/>
            <w:vAlign w:val="bottom"/>
            <w:shd w:val="clear" w:color="auto" w:fill="CCEEFF"/>
          </w:tcPr>
          <w:p>
            <w:pPr>
              <w:jc w:val="center"/>
              <w:ind w:left="348"/>
              <w:spacing w:after="0" w:line="149" w:lineRule="exact"/>
              <w:rPr>
                <w:sz w:val="20"/>
                <w:szCs w:val="20"/>
                <w:color w:val="auto"/>
              </w:rPr>
            </w:pPr>
            <w:r>
              <w:rPr>
                <w:rFonts w:ascii="Arial" w:cs="Arial" w:eastAsia="Arial" w:hAnsi="Arial"/>
                <w:sz w:val="14"/>
                <w:szCs w:val="14"/>
                <w:color w:val="auto"/>
                <w:w w:val="83"/>
              </w:rPr>
              <w:t>Texas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8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201</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13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South Texas Gathering System</w:t>
            </w:r>
          </w:p>
        </w:tc>
        <w:tc>
          <w:tcPr>
            <w:tcW w:w="2180" w:type="dxa"/>
            <w:vAlign w:val="bottom"/>
          </w:tcPr>
          <w:p>
            <w:pPr>
              <w:jc w:val="center"/>
              <w:ind w:left="348"/>
              <w:spacing w:after="0" w:line="149" w:lineRule="exact"/>
              <w:rPr>
                <w:sz w:val="20"/>
                <w:szCs w:val="20"/>
                <w:color w:val="auto"/>
              </w:rPr>
            </w:pPr>
            <w:r>
              <w:rPr>
                <w:rFonts w:ascii="Arial" w:cs="Arial" w:eastAsia="Arial" w:hAnsi="Arial"/>
                <w:sz w:val="14"/>
                <w:szCs w:val="14"/>
                <w:color w:val="auto"/>
                <w:w w:val="83"/>
              </w:rPr>
              <w:t>Texas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840" w:type="dxa"/>
            <w:vAlign w:val="bottom"/>
          </w:tcPr>
          <w:p>
            <w:pPr>
              <w:spacing w:after="0"/>
              <w:rPr>
                <w:sz w:val="12"/>
                <w:szCs w:val="12"/>
                <w:color w:val="auto"/>
              </w:rPr>
            </w:pPr>
          </w:p>
        </w:tc>
        <w:tc>
          <w:tcPr>
            <w:tcW w:w="1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518</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143</w:t>
            </w:r>
          </w:p>
        </w:tc>
        <w:tc>
          <w:tcPr>
            <w:tcW w:w="13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220</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Old Ocean Pipeline</w:t>
            </w:r>
          </w:p>
        </w:tc>
        <w:tc>
          <w:tcPr>
            <w:tcW w:w="2180" w:type="dxa"/>
            <w:vAlign w:val="bottom"/>
            <w:shd w:val="clear" w:color="auto" w:fill="CCEEFF"/>
          </w:tcPr>
          <w:p>
            <w:pPr>
              <w:jc w:val="center"/>
              <w:ind w:left="348"/>
              <w:spacing w:after="0" w:line="149" w:lineRule="exact"/>
              <w:rPr>
                <w:sz w:val="20"/>
                <w:szCs w:val="20"/>
                <w:color w:val="auto"/>
              </w:rPr>
            </w:pPr>
            <w:r>
              <w:rPr>
                <w:rFonts w:ascii="Arial" w:cs="Arial" w:eastAsia="Arial" w:hAnsi="Arial"/>
                <w:sz w:val="14"/>
                <w:szCs w:val="14"/>
                <w:color w:val="auto"/>
                <w:w w:val="83"/>
              </w:rPr>
              <w:t>Texas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8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240</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13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Big Thicket Gathering System</w:t>
            </w:r>
          </w:p>
        </w:tc>
        <w:tc>
          <w:tcPr>
            <w:tcW w:w="2180" w:type="dxa"/>
            <w:vAlign w:val="bottom"/>
          </w:tcPr>
          <w:p>
            <w:pPr>
              <w:jc w:val="center"/>
              <w:ind w:left="348"/>
              <w:spacing w:after="0" w:line="149" w:lineRule="exact"/>
              <w:rPr>
                <w:sz w:val="20"/>
                <w:szCs w:val="20"/>
                <w:color w:val="auto"/>
              </w:rPr>
            </w:pPr>
            <w:r>
              <w:rPr>
                <w:rFonts w:ascii="Arial" w:cs="Arial" w:eastAsia="Arial" w:hAnsi="Arial"/>
                <w:sz w:val="14"/>
                <w:szCs w:val="14"/>
                <w:color w:val="auto"/>
                <w:w w:val="83"/>
              </w:rPr>
              <w:t>Texas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840" w:type="dxa"/>
            <w:vAlign w:val="bottom"/>
          </w:tcPr>
          <w:p>
            <w:pPr>
              <w:spacing w:after="0"/>
              <w:rPr>
                <w:sz w:val="12"/>
                <w:szCs w:val="12"/>
                <w:color w:val="auto"/>
              </w:rPr>
            </w:pPr>
          </w:p>
        </w:tc>
        <w:tc>
          <w:tcPr>
            <w:tcW w:w="1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250</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13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7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Central Treating Facility</w:t>
            </w:r>
          </w:p>
        </w:tc>
        <w:tc>
          <w:tcPr>
            <w:tcW w:w="2180" w:type="dxa"/>
            <w:vAlign w:val="bottom"/>
            <w:tcBorders>
              <w:bottom w:val="single" w:sz="8" w:color="CCEEFF"/>
            </w:tcBorders>
            <w:shd w:val="clear" w:color="auto" w:fill="CCEEFF"/>
          </w:tcPr>
          <w:p>
            <w:pPr>
              <w:jc w:val="center"/>
              <w:ind w:left="348"/>
              <w:spacing w:after="0" w:line="149" w:lineRule="exact"/>
              <w:rPr>
                <w:sz w:val="20"/>
                <w:szCs w:val="20"/>
                <w:color w:val="auto"/>
              </w:rPr>
            </w:pPr>
            <w:r>
              <w:rPr>
                <w:rFonts w:ascii="Arial" w:cs="Arial" w:eastAsia="Arial" w:hAnsi="Arial"/>
                <w:sz w:val="14"/>
                <w:szCs w:val="14"/>
                <w:color w:val="auto"/>
                <w:w w:val="91"/>
              </w:rPr>
              <w:t>Colorado</w:t>
            </w:r>
          </w:p>
        </w:tc>
        <w:tc>
          <w:tcPr>
            <w:tcW w:w="68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84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200</w:t>
            </w: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760" w:type="dxa"/>
            <w:vAlign w:val="bottom"/>
          </w:tcPr>
          <w:p>
            <w:pPr>
              <w:ind w:left="120"/>
              <w:spacing w:after="0" w:line="155" w:lineRule="exact"/>
              <w:rPr>
                <w:sz w:val="20"/>
                <w:szCs w:val="20"/>
                <w:color w:val="auto"/>
              </w:rPr>
            </w:pPr>
            <w:r>
              <w:rPr>
                <w:rFonts w:ascii="Arial" w:cs="Arial" w:eastAsia="Arial" w:hAnsi="Arial"/>
                <w:sz w:val="14"/>
                <w:szCs w:val="14"/>
                <w:color w:val="auto"/>
              </w:rPr>
              <w:t>Total</w:t>
            </w:r>
          </w:p>
        </w:tc>
        <w:tc>
          <w:tcPr>
            <w:tcW w:w="2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Borders>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color w:val="auto"/>
              </w:rPr>
              <w:t>19,386</w:t>
            </w: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22,243</w:t>
            </w:r>
          </w:p>
        </w:tc>
        <w:tc>
          <w:tcPr>
            <w:tcW w:w="13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2,040</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420" w:hanging="412"/>
        <w:spacing w:after="0"/>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Net capacity amounts are based on our ownership interest or contractual right-of-use.</w:t>
      </w:r>
    </w:p>
    <w:p>
      <w:pPr>
        <w:ind w:left="420" w:hanging="412"/>
        <w:spacing w:after="0" w:line="221" w:lineRule="auto"/>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Transportation services provided by these pipeline systems, in whole or part, are regulated by both federal and state governmental agencies.</w:t>
      </w:r>
    </w:p>
    <w:p>
      <w:pPr>
        <w:ind w:left="420" w:hanging="412"/>
        <w:spacing w:after="0" w:line="221" w:lineRule="auto"/>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Services provided by the White River Hub are regulated by federal governmental agencies.</w:t>
      </w:r>
    </w:p>
    <w:p>
      <w:pPr>
        <w:ind w:left="420" w:hanging="412"/>
        <w:spacing w:after="0" w:line="221" w:lineRule="auto"/>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Transportation services provided by these systems are regulated in part by state governmental agencies.</w:t>
      </w:r>
    </w:p>
    <w:p>
      <w:pPr>
        <w:ind w:left="420" w:hanging="412"/>
        <w:spacing w:after="0" w:line="221" w:lineRule="auto"/>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system includes approximately 52 miles of pipeline held under an operating lease.</w:t>
      </w:r>
    </w:p>
    <w:p>
      <w:pPr>
        <w:ind w:left="420" w:hanging="412"/>
        <w:spacing w:after="0"/>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proportionately consolidate our 80% undivided interest in the Indian Springs Gathering System.</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 weighted-average basis, overall utilization rates for our natural gas pipelines were approximately 60.0%, 58.3% and 57.1% during the years ended December 31, 2019, 2018 and 2017, respectively. These utilization rates represent actual natural gas volumes delivered as a percentage of our nominal delivery capacity and do not reflect firm capacity reservation agreements where capacity fees are earned whether or not the shipper actually utilizes such capacity.</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information describes our principal natural gas pipelines. With the exception of the White River Hub and certain segments of the Texas Intrastate System, we operate our natural gas pipelines and storage facilities.</w:t>
      </w:r>
    </w:p>
    <w:p>
      <w:pPr>
        <w:spacing w:after="0" w:line="197" w:lineRule="exact"/>
        <w:rPr>
          <w:sz w:val="20"/>
          <w:szCs w:val="20"/>
          <w:color w:val="auto"/>
        </w:rPr>
      </w:pPr>
    </w:p>
    <w:p>
      <w:pPr>
        <w:jc w:val="both"/>
        <w:ind w:left="500" w:hanging="330"/>
        <w:spacing w:after="0" w:line="256" w:lineRule="auto"/>
        <w:tabs>
          <w:tab w:leader="none" w:pos="500" w:val="left"/>
        </w:tabs>
        <w:numPr>
          <w:ilvl w:val="0"/>
          <w:numId w:val="25"/>
        </w:numPr>
        <w:rPr>
          <w:rFonts w:ascii="Arial" w:cs="Arial" w:eastAsia="Arial" w:hAnsi="Arial"/>
          <w:sz w:val="26"/>
          <w:szCs w:val="26"/>
          <w:color w:val="auto"/>
          <w:vertAlign w:val="superscript"/>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Texas Intrastate System</w:t>
      </w:r>
      <w:r>
        <w:rPr>
          <w:rFonts w:ascii="Arial" w:cs="Arial" w:eastAsia="Arial" w:hAnsi="Arial"/>
          <w:sz w:val="16"/>
          <w:szCs w:val="16"/>
          <w:color w:val="auto"/>
        </w:rPr>
        <w:t xml:space="preserve"> is comprised of the 6,299-mile Enterprise Texas pipeline system and the 617-mile Channel pipeline system. The Texas Intrastate System gathers, transports and stores natural gas from supply basins in Texas including the Permian Basin and Eagle Ford and Barnett Shales for delivery to local gas distribution companies, electric utility plants and industrial and municipal consumers. The system is also connected to regional natural gas processing facilities and other intrastate and interstate pipelines. The Texas Intrastate System serves a number of commercial markets in Texas, including Corpus Christi, San Antonio/Austin, Beaumont/Orange and Houston, including the Houston Ship Channel industrial market.</w:t>
      </w:r>
    </w:p>
    <w:p>
      <w:pPr>
        <w:spacing w:after="0" w:line="219" w:lineRule="exact"/>
        <w:rPr>
          <w:rFonts w:ascii="Arial" w:cs="Arial" w:eastAsia="Arial" w:hAnsi="Arial"/>
          <w:sz w:val="26"/>
          <w:szCs w:val="26"/>
          <w:color w:val="auto"/>
          <w:vertAlign w:val="superscript"/>
        </w:rPr>
      </w:pPr>
    </w:p>
    <w:p>
      <w:pPr>
        <w:jc w:val="both"/>
        <w:ind w:left="500"/>
        <w:spacing w:after="0" w:line="264" w:lineRule="auto"/>
        <w:rPr>
          <w:rFonts w:ascii="Arial" w:cs="Arial" w:eastAsia="Arial" w:hAnsi="Arial"/>
          <w:sz w:val="26"/>
          <w:szCs w:val="26"/>
          <w:color w:val="auto"/>
          <w:vertAlign w:val="superscript"/>
        </w:rPr>
      </w:pPr>
      <w:r>
        <w:rPr>
          <w:rFonts w:ascii="Arial" w:cs="Arial" w:eastAsia="Arial" w:hAnsi="Arial"/>
          <w:sz w:val="18"/>
          <w:szCs w:val="18"/>
          <w:color w:val="auto"/>
        </w:rPr>
        <w:t>In January 2019, we completed an expansion project on the 36-inch diameter North Texas pipeline (a component of the Texas Intrastate System) that provides us with an additional 150 MMcf/d of natural gas takeaway capacity from West Texas, including deliveries into the reactivated Old Ocean Pipeline.</w:t>
      </w:r>
    </w:p>
    <w:p>
      <w:pPr>
        <w:spacing w:after="0" w:line="208" w:lineRule="exact"/>
        <w:rPr>
          <w:rFonts w:ascii="Arial" w:cs="Arial" w:eastAsia="Arial" w:hAnsi="Arial"/>
          <w:sz w:val="26"/>
          <w:szCs w:val="26"/>
          <w:color w:val="auto"/>
          <w:vertAlign w:val="superscript"/>
        </w:rPr>
      </w:pPr>
    </w:p>
    <w:p>
      <w:pPr>
        <w:jc w:val="both"/>
        <w:ind w:left="500"/>
        <w:spacing w:after="0" w:line="259" w:lineRule="auto"/>
        <w:rPr>
          <w:rFonts w:ascii="Arial" w:cs="Arial" w:eastAsia="Arial" w:hAnsi="Arial"/>
          <w:sz w:val="26"/>
          <w:szCs w:val="26"/>
          <w:color w:val="auto"/>
          <w:vertAlign w:val="superscript"/>
        </w:rPr>
      </w:pPr>
      <w:r>
        <w:rPr>
          <w:rFonts w:ascii="Arial" w:cs="Arial" w:eastAsia="Arial" w:hAnsi="Arial"/>
          <w:sz w:val="18"/>
          <w:szCs w:val="18"/>
          <w:color w:val="auto"/>
        </w:rPr>
        <w:t>We proportionately consolidate our undivided interests, which range from 22% to 80%, in 1,471 miles of pipeline. The Texas Intrastate System also includes our Wilson natural gas storage facility, which consists of a network of leased and owned underground salt dome storage caverns located in Wharton County, Texas with an aggregate 12.9 Bcf of usable storage capacity. Four of these caverns, comprising 6.9 Bcf of usable capacity, are held under an operating lease. The remainder of our Texas Intrastate System is wholly owned.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left="500" w:hanging="330"/>
        <w:spacing w:after="0" w:line="256" w:lineRule="auto"/>
        <w:tabs>
          <w:tab w:leader="none" w:pos="500" w:val="left"/>
        </w:tabs>
        <w:numPr>
          <w:ilvl w:val="0"/>
          <w:numId w:val="26"/>
        </w:numPr>
        <w:rPr>
          <w:rFonts w:ascii="Arial" w:cs="Arial" w:eastAsia="Arial" w:hAnsi="Arial"/>
          <w:sz w:val="26"/>
          <w:szCs w:val="26"/>
          <w:color w:val="auto"/>
          <w:vertAlign w:val="superscript"/>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Acadian Gas System</w:t>
      </w:r>
      <w:r>
        <w:rPr>
          <w:rFonts w:ascii="Arial" w:cs="Arial" w:eastAsia="Arial" w:hAnsi="Arial"/>
          <w:sz w:val="16"/>
          <w:szCs w:val="16"/>
          <w:color w:val="auto"/>
        </w:rPr>
        <w:t xml:space="preserve"> transports, stores and markets natural gas in Louisiana. The Acadian Gas System is comprised of the 582-mile Cypress pipeline, 429-mile Acadian pipeline, 275-mile Haynesville Extension pipeline and 26-mile Enterprise Pelican pipeline. The Acadian Gas System includes a leased underground salt dome natural gas storage cavern located at Napoleonville, Louisiana. The Acadian Gas System links natural gas supplies from Louisiana (e.g., from Haynesville Shale supply basin) and offshore Gulf of Mexico developments with local gas distribution companies, electric utility plants and industrial customers located primarily in the Baton Rouge/New Orleans/Mississippi River corridor.</w:t>
      </w:r>
    </w:p>
    <w:p>
      <w:pPr>
        <w:spacing w:after="0" w:line="219" w:lineRule="exact"/>
        <w:rPr>
          <w:rFonts w:ascii="Arial" w:cs="Arial" w:eastAsia="Arial" w:hAnsi="Arial"/>
          <w:sz w:val="26"/>
          <w:szCs w:val="26"/>
          <w:color w:val="auto"/>
          <w:vertAlign w:val="superscript"/>
        </w:rPr>
      </w:pPr>
    </w:p>
    <w:p>
      <w:pPr>
        <w:jc w:val="both"/>
        <w:ind w:left="500"/>
        <w:spacing w:after="0" w:line="291" w:lineRule="auto"/>
        <w:rPr>
          <w:rFonts w:ascii="Arial" w:cs="Arial" w:eastAsia="Arial" w:hAnsi="Arial"/>
          <w:sz w:val="26"/>
          <w:szCs w:val="26"/>
          <w:color w:val="auto"/>
          <w:vertAlign w:val="superscript"/>
        </w:rPr>
      </w:pPr>
      <w:r>
        <w:rPr>
          <w:rFonts w:ascii="Arial" w:cs="Arial" w:eastAsia="Arial" w:hAnsi="Arial"/>
          <w:sz w:val="16"/>
          <w:szCs w:val="16"/>
          <w:color w:val="auto"/>
        </w:rPr>
        <w:t>In September 2019, we announced plans to expand and extend our Acadian Gas System in order to deliver natural gas production from the Haynesville Shale to the liquefied natural gas (“LNG”) market in South Louisiana. The expansion project will include construction of an approximately 80-mile natural gas pipeline (the “Gillis Lateral”) extending from near Cheneyville, Louisiana to third-party pipeline interconnects near Gillis, Louisiana, including multiple pipelines serving regional LNG export facilities. According to the FERC, the LNG market in South Louisiana and Southeast Texas includes facilities, including those under construction, featuring an aggregate 15 Bcf/d of export capacity. The Gillis Lateral will have a transportation capacity of approximately 1 Bcf/d. In addition to construction of the Gillis Lateral, we plan to increase the transportation capacity of the Haynesville Extension from 1.8 Bcf/d to 2.1 Bcf/d by adding horsepower at our compressor station in Mansfield, Louisiana (the “Mansfield project”).</w:t>
      </w:r>
    </w:p>
    <w:p>
      <w:pPr>
        <w:spacing w:after="0" w:line="194" w:lineRule="exact"/>
        <w:rPr>
          <w:rFonts w:ascii="Arial" w:cs="Arial" w:eastAsia="Arial" w:hAnsi="Arial"/>
          <w:sz w:val="26"/>
          <w:szCs w:val="26"/>
          <w:color w:val="auto"/>
          <w:vertAlign w:val="superscript"/>
        </w:rPr>
      </w:pPr>
    </w:p>
    <w:p>
      <w:pPr>
        <w:jc w:val="both"/>
        <w:ind w:left="500"/>
        <w:spacing w:after="0" w:line="259" w:lineRule="auto"/>
        <w:rPr>
          <w:rFonts w:ascii="Arial" w:cs="Arial" w:eastAsia="Arial" w:hAnsi="Arial"/>
          <w:sz w:val="26"/>
          <w:szCs w:val="26"/>
          <w:color w:val="auto"/>
          <w:vertAlign w:val="superscript"/>
        </w:rPr>
      </w:pPr>
      <w:r>
        <w:rPr>
          <w:rFonts w:ascii="Arial" w:cs="Arial" w:eastAsia="Arial" w:hAnsi="Arial"/>
          <w:sz w:val="18"/>
          <w:szCs w:val="18"/>
          <w:color w:val="auto"/>
        </w:rPr>
        <w:t>The Mansfield project and construction of the Gillis Lateral are supported by long-term customer contracts and are expected to begin service in the third quarter of 2021. Once the expansion project is completed, we expect that our Acadian Gas System will be able to deliver up to 2.1 Bcf/d of Haynesville Shale production into the LNG market, South Louisiana industrial complex and other pipeline interconnects that serve attractive southeastern U.S. markets.</w:t>
      </w:r>
    </w:p>
    <w:p>
      <w:pPr>
        <w:spacing w:after="0" w:line="213" w:lineRule="exact"/>
        <w:rPr>
          <w:rFonts w:ascii="Arial" w:cs="Arial" w:eastAsia="Arial" w:hAnsi="Arial"/>
          <w:sz w:val="26"/>
          <w:szCs w:val="26"/>
          <w:color w:val="auto"/>
          <w:vertAlign w:val="superscript"/>
        </w:rPr>
      </w:pPr>
    </w:p>
    <w:p>
      <w:pPr>
        <w:ind w:left="500" w:hanging="330"/>
        <w:spacing w:after="0" w:line="198" w:lineRule="auto"/>
        <w:tabs>
          <w:tab w:leader="none" w:pos="50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Jonah Gathering System</w:t>
      </w:r>
      <w:r>
        <w:rPr>
          <w:rFonts w:ascii="Arial" w:cs="Arial" w:eastAsia="Arial" w:hAnsi="Arial"/>
          <w:sz w:val="18"/>
          <w:szCs w:val="18"/>
          <w:color w:val="auto"/>
        </w:rPr>
        <w:t xml:space="preserve"> is located in the Greater Green River Basin of southwest Wyoming. This system gathers natural gas from the Jonah and Pinedale supply fields for delivery to regional natural gas processing facilities, including our Pioneer facility.</w:t>
      </w:r>
    </w:p>
    <w:p>
      <w:pPr>
        <w:spacing w:after="0" w:line="229" w:lineRule="exact"/>
        <w:rPr>
          <w:rFonts w:ascii="Arial" w:cs="Arial" w:eastAsia="Arial" w:hAnsi="Arial"/>
          <w:sz w:val="29"/>
          <w:szCs w:val="29"/>
          <w:color w:val="auto"/>
          <w:vertAlign w:val="superscript"/>
        </w:rPr>
      </w:pPr>
    </w:p>
    <w:p>
      <w:pPr>
        <w:ind w:left="500" w:right="20" w:hanging="330"/>
        <w:spacing w:after="0" w:line="198" w:lineRule="auto"/>
        <w:tabs>
          <w:tab w:leader="none" w:pos="50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Piceance Basin Gathering System</w:t>
      </w:r>
      <w:r>
        <w:rPr>
          <w:rFonts w:ascii="Arial" w:cs="Arial" w:eastAsia="Arial" w:hAnsi="Arial"/>
          <w:sz w:val="18"/>
          <w:szCs w:val="18"/>
          <w:color w:val="auto"/>
        </w:rPr>
        <w:t xml:space="preserve"> gathers natural gas produced from the Piceance Basin in northwestern Colorado to our Meeker natural gas processing facility.</w:t>
      </w:r>
    </w:p>
    <w:p>
      <w:pPr>
        <w:spacing w:after="0" w:line="229" w:lineRule="exact"/>
        <w:rPr>
          <w:rFonts w:ascii="Arial" w:cs="Arial" w:eastAsia="Arial" w:hAnsi="Arial"/>
          <w:sz w:val="29"/>
          <w:szCs w:val="29"/>
          <w:color w:val="auto"/>
          <w:vertAlign w:val="superscript"/>
        </w:rPr>
      </w:pPr>
    </w:p>
    <w:p>
      <w:pPr>
        <w:jc w:val="both"/>
        <w:ind w:left="500" w:hanging="330"/>
        <w:spacing w:after="0" w:line="212" w:lineRule="auto"/>
        <w:tabs>
          <w:tab w:leader="none" w:pos="50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San Juan Gathering System</w:t>
      </w:r>
      <w:r>
        <w:rPr>
          <w:rFonts w:ascii="Arial" w:cs="Arial" w:eastAsia="Arial" w:hAnsi="Arial"/>
          <w:sz w:val="18"/>
          <w:szCs w:val="18"/>
          <w:color w:val="auto"/>
        </w:rPr>
        <w:t xml:space="preserve"> gathers and treats natural gas produced from the San Juan Basin in northern New Mexico and southern Colorado and delivers the natural gas either directly into interstate pipelines (if dry natural gas) or to regional natural gas plants, including our Chaco facility, for further processing (if rich natural gas) prior to being transported on interstate pipelines.</w:t>
      </w:r>
    </w:p>
    <w:p>
      <w:pPr>
        <w:spacing w:after="0" w:line="231" w:lineRule="exact"/>
        <w:rPr>
          <w:rFonts w:ascii="Arial" w:cs="Arial" w:eastAsia="Arial" w:hAnsi="Arial"/>
          <w:sz w:val="29"/>
          <w:szCs w:val="29"/>
          <w:color w:val="auto"/>
          <w:vertAlign w:val="superscript"/>
        </w:rPr>
      </w:pPr>
    </w:p>
    <w:p>
      <w:pPr>
        <w:jc w:val="both"/>
        <w:ind w:left="500" w:hanging="330"/>
        <w:spacing w:after="0" w:line="220" w:lineRule="auto"/>
        <w:tabs>
          <w:tab w:leader="none" w:pos="50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Permian Basin Gathering System</w:t>
      </w:r>
      <w:r>
        <w:rPr>
          <w:rFonts w:ascii="Arial" w:cs="Arial" w:eastAsia="Arial" w:hAnsi="Arial"/>
          <w:sz w:val="18"/>
          <w:szCs w:val="18"/>
          <w:color w:val="auto"/>
        </w:rPr>
        <w:t xml:space="preserve"> is comprised of the 993-mile Carlsbad pipeline system, the 636-mile Waha pipeline system, the 34-mile Orla pipeline system and the 18-mile Mentone pipeline system. The Permian Basin Gathering System gathers natural gas from the Permian Basin for delivery to regional natural gas processing facilities, including our Chaparral, South Eddy, Waha, Mentone and Orla plants, and delivers residue and treated natural gas into our Texas Intrastate System and third party pipelines.</w:t>
      </w:r>
    </w:p>
    <w:p>
      <w:pPr>
        <w:spacing w:after="0" w:line="232" w:lineRule="exact"/>
        <w:rPr>
          <w:rFonts w:ascii="Arial" w:cs="Arial" w:eastAsia="Arial" w:hAnsi="Arial"/>
          <w:sz w:val="29"/>
          <w:szCs w:val="29"/>
          <w:color w:val="auto"/>
          <w:vertAlign w:val="superscript"/>
        </w:rPr>
      </w:pPr>
    </w:p>
    <w:p>
      <w:pPr>
        <w:jc w:val="both"/>
        <w:ind w:left="500" w:hanging="330"/>
        <w:spacing w:after="0" w:line="212" w:lineRule="auto"/>
        <w:tabs>
          <w:tab w:leader="none" w:pos="50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White River Hub</w:t>
      </w:r>
      <w:r>
        <w:rPr>
          <w:rFonts w:ascii="Arial" w:cs="Arial" w:eastAsia="Arial" w:hAnsi="Arial"/>
          <w:sz w:val="18"/>
          <w:szCs w:val="18"/>
          <w:color w:val="auto"/>
        </w:rPr>
        <w:t xml:space="preserve"> is a natural gas hub facility serving producers in the Piceance Basin. The facility enables producers to access six interstate natural gas pipelines and has a gross throughput capacity of 3 Bcf/d of natural gas. Our 50% ownership interest in White River Hub is held indirectly through our equity method investment in White River Hub, LLC.</w:t>
      </w:r>
    </w:p>
    <w:p>
      <w:pPr>
        <w:spacing w:after="0" w:line="231" w:lineRule="exact"/>
        <w:rPr>
          <w:rFonts w:ascii="Arial" w:cs="Arial" w:eastAsia="Arial" w:hAnsi="Arial"/>
          <w:sz w:val="29"/>
          <w:szCs w:val="29"/>
          <w:color w:val="auto"/>
          <w:vertAlign w:val="superscript"/>
        </w:rPr>
      </w:pPr>
    </w:p>
    <w:p>
      <w:pPr>
        <w:jc w:val="both"/>
        <w:ind w:left="500" w:right="20" w:hanging="330"/>
        <w:spacing w:after="0" w:line="232" w:lineRule="auto"/>
        <w:tabs>
          <w:tab w:leader="none" w:pos="500" w:val="left"/>
        </w:tabs>
        <w:numPr>
          <w:ilvl w:val="0"/>
          <w:numId w:val="26"/>
        </w:numPr>
        <w:rPr>
          <w:rFonts w:ascii="Arial" w:cs="Arial" w:eastAsia="Arial" w:hAnsi="Arial"/>
          <w:sz w:val="28"/>
          <w:szCs w:val="28"/>
          <w:color w:val="auto"/>
          <w:vertAlign w:val="superscript"/>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Haynesville Gathering System</w:t>
      </w:r>
      <w:r>
        <w:rPr>
          <w:rFonts w:ascii="Arial" w:cs="Arial" w:eastAsia="Arial" w:hAnsi="Arial"/>
          <w:sz w:val="17"/>
          <w:szCs w:val="17"/>
          <w:color w:val="auto"/>
        </w:rPr>
        <w:t xml:space="preserve"> consists of the 217-mile State Line gathering system, the 73-mile Southeast Mansfield gathering system, and the 70-mile Southeast Stanley gathering system. The Haynesville Gathering System gathers and treats natural gas produced from the Haynesville and Bossier Shale supply basins and the Cotton Valley and Taylor Sand formations in Louisiana and eastern Texas for delivery to regional markets, including (through an interconnect with the Haynesville Extension pipeline) markets served by our Acadian Gas System.</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right="20" w:hanging="330"/>
        <w:spacing w:after="0" w:line="198" w:lineRule="auto"/>
        <w:tabs>
          <w:tab w:leader="none" w:pos="50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BTA Gathering System</w:t>
      </w:r>
      <w:r>
        <w:rPr>
          <w:rFonts w:ascii="Arial" w:cs="Arial" w:eastAsia="Arial" w:hAnsi="Arial"/>
          <w:sz w:val="18"/>
          <w:szCs w:val="18"/>
          <w:color w:val="auto"/>
        </w:rPr>
        <w:t>, which is located in East Texas, gathers and treats natural gas from the Haynesville Shale and Bossier, Cotton Valley and Travis Peak formations. This system includes our Fairplay Gathering System.</w:t>
      </w:r>
    </w:p>
    <w:p>
      <w:pPr>
        <w:spacing w:after="0" w:line="229" w:lineRule="exact"/>
        <w:rPr>
          <w:rFonts w:ascii="Arial" w:cs="Arial" w:eastAsia="Arial" w:hAnsi="Arial"/>
          <w:sz w:val="29"/>
          <w:szCs w:val="29"/>
          <w:color w:val="auto"/>
          <w:vertAlign w:val="superscript"/>
        </w:rPr>
      </w:pPr>
    </w:p>
    <w:p>
      <w:pPr>
        <w:ind w:left="500" w:right="660" w:hanging="330"/>
        <w:spacing w:after="0" w:line="198" w:lineRule="auto"/>
        <w:tabs>
          <w:tab w:leader="none" w:pos="50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Indian Springs Gathering System</w:t>
      </w:r>
      <w:r>
        <w:rPr>
          <w:rFonts w:ascii="Arial" w:cs="Arial" w:eastAsia="Arial" w:hAnsi="Arial"/>
          <w:sz w:val="18"/>
          <w:szCs w:val="18"/>
          <w:color w:val="auto"/>
        </w:rPr>
        <w:t xml:space="preserve">, along with the </w:t>
      </w:r>
      <w:r>
        <w:rPr>
          <w:rFonts w:ascii="Arial" w:cs="Arial" w:eastAsia="Arial" w:hAnsi="Arial"/>
          <w:sz w:val="18"/>
          <w:szCs w:val="18"/>
          <w:i w:val="1"/>
          <w:iCs w:val="1"/>
          <w:color w:val="auto"/>
        </w:rPr>
        <w:t>Big Thicket Gathering System</w:t>
      </w:r>
      <w:r>
        <w:rPr>
          <w:rFonts w:ascii="Arial" w:cs="Arial" w:eastAsia="Arial" w:hAnsi="Arial"/>
          <w:sz w:val="18"/>
          <w:szCs w:val="18"/>
          <w:color w:val="auto"/>
        </w:rPr>
        <w:t>, gather natural gas from the Woodbine, Wilcox and Yegua production areas in East Texas.</w:t>
      </w:r>
    </w:p>
    <w:p>
      <w:pPr>
        <w:spacing w:after="0" w:line="229" w:lineRule="exact"/>
        <w:rPr>
          <w:rFonts w:ascii="Arial" w:cs="Arial" w:eastAsia="Arial" w:hAnsi="Arial"/>
          <w:sz w:val="29"/>
          <w:szCs w:val="29"/>
          <w:color w:val="auto"/>
          <w:vertAlign w:val="superscript"/>
        </w:rPr>
      </w:pPr>
    </w:p>
    <w:p>
      <w:pPr>
        <w:ind w:left="500" w:right="20" w:hanging="330"/>
        <w:spacing w:after="0" w:line="198" w:lineRule="auto"/>
        <w:tabs>
          <w:tab w:leader="none" w:pos="50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Delmita Gathering System</w:t>
      </w:r>
      <w:r>
        <w:rPr>
          <w:rFonts w:ascii="Arial" w:cs="Arial" w:eastAsia="Arial" w:hAnsi="Arial"/>
          <w:sz w:val="18"/>
          <w:szCs w:val="18"/>
          <w:color w:val="auto"/>
        </w:rPr>
        <w:t xml:space="preserve"> gathers natural gas from the Frio-Vicksburg formation in South Texas for delivery to our South Texas natural gas processing facilities.</w:t>
      </w:r>
    </w:p>
    <w:p>
      <w:pPr>
        <w:spacing w:after="0" w:line="229" w:lineRule="exact"/>
        <w:rPr>
          <w:rFonts w:ascii="Arial" w:cs="Arial" w:eastAsia="Arial" w:hAnsi="Arial"/>
          <w:sz w:val="29"/>
          <w:szCs w:val="29"/>
          <w:color w:val="auto"/>
          <w:vertAlign w:val="superscript"/>
        </w:rPr>
      </w:pPr>
    </w:p>
    <w:p>
      <w:pPr>
        <w:ind w:left="500" w:hanging="330"/>
        <w:spacing w:after="0" w:line="198" w:lineRule="auto"/>
        <w:tabs>
          <w:tab w:leader="none" w:pos="50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South Texas Gathering System</w:t>
      </w:r>
      <w:r>
        <w:rPr>
          <w:rFonts w:ascii="Arial" w:cs="Arial" w:eastAsia="Arial" w:hAnsi="Arial"/>
          <w:sz w:val="18"/>
          <w:szCs w:val="18"/>
          <w:color w:val="auto"/>
        </w:rPr>
        <w:t xml:space="preserve"> gathers natural gas from the Olmos and Wilcox formations for delivery into our Texas Intrastate System, which delivers the natural gas to our South Texas natural gas processing facilities.</w:t>
      </w:r>
    </w:p>
    <w:p>
      <w:pPr>
        <w:spacing w:after="0" w:line="229" w:lineRule="exact"/>
        <w:rPr>
          <w:rFonts w:ascii="Arial" w:cs="Arial" w:eastAsia="Arial" w:hAnsi="Arial"/>
          <w:sz w:val="29"/>
          <w:szCs w:val="29"/>
          <w:color w:val="auto"/>
          <w:vertAlign w:val="superscript"/>
        </w:rPr>
      </w:pPr>
    </w:p>
    <w:p>
      <w:pPr>
        <w:jc w:val="both"/>
        <w:ind w:left="500" w:hanging="330"/>
        <w:spacing w:after="0" w:line="220" w:lineRule="auto"/>
        <w:tabs>
          <w:tab w:leader="none" w:pos="50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Old Ocean Pipeline</w:t>
      </w:r>
      <w:r>
        <w:rPr>
          <w:rFonts w:ascii="Arial" w:cs="Arial" w:eastAsia="Arial" w:hAnsi="Arial"/>
          <w:sz w:val="18"/>
          <w:szCs w:val="18"/>
          <w:color w:val="auto"/>
        </w:rPr>
        <w:t xml:space="preserve"> transports natural gas from an injection point on our Texas Intrastate System near Maypearl, Texas for delivery to a pipeline interconnect at Sweeny, Texas. Our 50% ownership interest in the Old Ocean Pipeline is held indirectly through our equity method investment in Old Ocean Pipeline, LLC. A third party serves as operator of the pipeline, which has a gross natural gas transportation capacity of 160 MMcf/d and entered full service in January 2019.</w:t>
      </w:r>
    </w:p>
    <w:p>
      <w:pPr>
        <w:spacing w:after="0" w:line="232" w:lineRule="exact"/>
        <w:rPr>
          <w:rFonts w:ascii="Arial" w:cs="Arial" w:eastAsia="Arial" w:hAnsi="Arial"/>
          <w:sz w:val="29"/>
          <w:szCs w:val="29"/>
          <w:color w:val="auto"/>
          <w:vertAlign w:val="superscript"/>
        </w:rPr>
      </w:pPr>
    </w:p>
    <w:p>
      <w:pPr>
        <w:ind w:left="500" w:right="20" w:hanging="330"/>
        <w:spacing w:after="0" w:line="198" w:lineRule="auto"/>
        <w:tabs>
          <w:tab w:leader="none" w:pos="50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Central Treating Facility</w:t>
      </w:r>
      <w:r>
        <w:rPr>
          <w:rFonts w:ascii="Arial" w:cs="Arial" w:eastAsia="Arial" w:hAnsi="Arial"/>
          <w:sz w:val="18"/>
          <w:szCs w:val="18"/>
          <w:color w:val="auto"/>
        </w:rPr>
        <w:t xml:space="preserve"> is located in Rio Blanco County, Colorado and serves producers in the Piceance Basin. Natural gas delivered to the treating facility is treated to remove impurities and transported to our Meeker gas plant for further processing.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Natural gas marketing activities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natural gas marketing activities generate revenues from the sale and delivery of natural gas purchased from producers, regional natural gas processing facilities and on the open market. Our natural gas marketing customers include local gas distribution companies and electric utility plants. The results of operations from our natural gas marketing activities are primarily dependent upon the difference, or spread, between natural gas sales prices and the associated purchase and other costs, including those costs attributable to the use of our assets. In general, sales prices referenced in the underlying contracts are market-based and may include pricing differentials for factors such as delivery location.</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commodity price risk to the extent that we take title to natural gas volumes in connection with our natural gas marketing activities and certain intrastate natural gas transportation contracts. In addition, we purchase and resell natural gas for certain producers that use our San Juan, Piceance, Permian Basin and Jonah Gathering Systems and certain segments of our Acadian Gas and Texas Intrastate Systems. Also, several of our natural gas gathering systems, while not providing marketing services, have some exposure to risks related to fluctuations in commodity prices through transportation arrangements with shippers. For example, nearly all of the transportation revenues generated by our San Juan Gathering System are based on a percentage of a regional natural gas price index. This index may fluctuate based on a variety of factors, including changes in natural gas supply and consumer demand. We attempt to mitigate these price risks through the use of commodity derivative instruments. For a discussion of our commodity hedging program, see Part II, Item 7A of this annual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Petrochemical &amp; Refined Products Services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Petrochemical &amp; Refined Products Services business segment currently includes:</w:t>
      </w:r>
    </w:p>
    <w:p>
      <w:pPr>
        <w:spacing w:after="0" w:line="252" w:lineRule="exact"/>
        <w:rPr>
          <w:sz w:val="20"/>
          <w:szCs w:val="20"/>
          <w:color w:val="auto"/>
        </w:rPr>
      </w:pPr>
    </w:p>
    <w:p>
      <w:pPr>
        <w:ind w:left="500" w:hanging="330"/>
        <w:spacing w:after="0" w:line="198" w:lineRule="auto"/>
        <w:tabs>
          <w:tab w:leader="none" w:pos="50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propylene production facilities, which include propylene fractionation units and a propane dehydrogenation (“PDH”) facility, approximately 800 miles of pipelines, and related marketing activities;</w:t>
      </w:r>
    </w:p>
    <w:p>
      <w:pPr>
        <w:spacing w:after="0" w:line="126" w:lineRule="exact"/>
        <w:rPr>
          <w:rFonts w:ascii="Arial" w:cs="Arial" w:eastAsia="Arial" w:hAnsi="Arial"/>
          <w:sz w:val="29"/>
          <w:szCs w:val="29"/>
          <w:color w:val="auto"/>
          <w:vertAlign w:val="superscript"/>
        </w:rPr>
      </w:pPr>
    </w:p>
    <w:p>
      <w:pPr>
        <w:ind w:left="500" w:hanging="330"/>
        <w:spacing w:after="0"/>
        <w:tabs>
          <w:tab w:leader="none" w:pos="50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a butane isomerization complex and related deisobutanizer (“DIB”) operations, along with approximately 70 miles of associated pipelines;</w:t>
      </w:r>
    </w:p>
    <w:p>
      <w:pPr>
        <w:spacing w:after="0" w:line="139" w:lineRule="exact"/>
        <w:rPr>
          <w:rFonts w:ascii="Arial" w:cs="Arial" w:eastAsia="Arial" w:hAnsi="Arial"/>
          <w:sz w:val="29"/>
          <w:szCs w:val="29"/>
          <w:color w:val="auto"/>
          <w:vertAlign w:val="superscript"/>
        </w:rPr>
      </w:pPr>
    </w:p>
    <w:p>
      <w:pPr>
        <w:ind w:left="500" w:hanging="330"/>
        <w:spacing w:after="0" w:line="229" w:lineRule="auto"/>
        <w:tabs>
          <w:tab w:leader="none" w:pos="50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isobutane dehydrogenation (“iBDH”), octane enhancement and high purity isobutylene (“HPIB”) production facilities;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07" w:lineRule="exact"/>
        <w:rPr>
          <w:sz w:val="20"/>
          <w:szCs w:val="20"/>
          <w:color w:val="auto"/>
        </w:rPr>
      </w:pPr>
    </w:p>
    <w:p>
      <w:pPr>
        <w:ind w:left="500" w:hanging="330"/>
        <w:spacing w:after="0"/>
        <w:tabs>
          <w:tab w:leader="none" w:pos="50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refined products pipelines aggregating approximately 3,300 miles, terminals and related marketing activities;</w:t>
      </w:r>
    </w:p>
    <w:p>
      <w:pPr>
        <w:spacing w:after="0" w:line="139" w:lineRule="exact"/>
        <w:rPr>
          <w:rFonts w:ascii="Arial" w:cs="Arial" w:eastAsia="Arial" w:hAnsi="Arial"/>
          <w:sz w:val="29"/>
          <w:szCs w:val="29"/>
          <w:color w:val="auto"/>
          <w:vertAlign w:val="superscript"/>
        </w:rPr>
      </w:pPr>
    </w:p>
    <w:p>
      <w:pPr>
        <w:ind w:left="500" w:hanging="330"/>
        <w:spacing w:after="0" w:line="229" w:lineRule="auto"/>
        <w:tabs>
          <w:tab w:leader="none" w:pos="50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an ethylene export terminal and related operations; and</w:t>
      </w:r>
    </w:p>
    <w:p>
      <w:pPr>
        <w:spacing w:after="0" w:line="140" w:lineRule="exact"/>
        <w:rPr>
          <w:rFonts w:ascii="Arial" w:cs="Arial" w:eastAsia="Arial" w:hAnsi="Arial"/>
          <w:sz w:val="29"/>
          <w:szCs w:val="29"/>
          <w:color w:val="auto"/>
          <w:vertAlign w:val="superscript"/>
        </w:rPr>
      </w:pPr>
    </w:p>
    <w:p>
      <w:pPr>
        <w:ind w:left="500" w:hanging="330"/>
        <w:spacing w:after="0" w:line="229" w:lineRule="auto"/>
        <w:tabs>
          <w:tab w:leader="none" w:pos="50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marine transportation.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Propylene production facilities and related operations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propylene production and related operations include seven propylene fractionation (or splitter) units, a PDH facility, approximately 800 miles of related pipelines, marine export dock infrastructure, and related marketing activities.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Propylene production and related marketing activities</w:t>
      </w:r>
      <w:r>
        <w:rPr>
          <w:rFonts w:ascii="Arial" w:cs="Arial" w:eastAsia="Arial" w:hAnsi="Arial"/>
          <w:sz w:val="17"/>
          <w:szCs w:val="17"/>
          <w:color w:val="auto"/>
        </w:rPr>
        <w:t>. Propylene is a key feedstock used by the petrochemical industry. There are three grades of propylene;</w:t>
      </w:r>
      <w:r>
        <w:rPr>
          <w:rFonts w:ascii="Arial" w:cs="Arial" w:eastAsia="Arial" w:hAnsi="Arial"/>
          <w:sz w:val="17"/>
          <w:szCs w:val="17"/>
          <w:i w:val="1"/>
          <w:iCs w:val="1"/>
          <w:color w:val="auto"/>
        </w:rPr>
        <w:t xml:space="preserve"> </w:t>
      </w:r>
      <w:r>
        <w:rPr>
          <w:rFonts w:ascii="Arial" w:cs="Arial" w:eastAsia="Arial" w:hAnsi="Arial"/>
          <w:sz w:val="17"/>
          <w:szCs w:val="17"/>
          <w:color w:val="auto"/>
        </w:rPr>
        <w:t>polymer grade (“PGP”) with a minimum purity of 99.5%; chemical grade (“CGP”) with a minimum purity of approximately 93-94%; and refinery grade (“RGP”) with a purity of approximately 70%. Propylene fractionation units separate RGP, which is a mixture of propane and propylene, into either PGP or CGP. Our PDH facility produces PGP using propane feedstocks. The demand for PGP primarily relates to the manufacture of polypropylene, which has a variety of end uses including packaging film, fiber for carpets and upholstery, molded plastic parts for appliances, and automotive, houseware and medical products. CGP is a basic petrochemical used in the manufacturing of plastics, synthetic fibers and foams.</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 the extent we fractionate RGP for customers, we enter into toll processing arrangements. In our petrochemical marketing activities, we purchase RGP on the open market for fractionation at our splitter units and sell the resulting PGP to customers at market-based prices. The results of this marketing activity are primarily dependent upon the difference, or spread, between the sales prices of the PGP and the associated purchase and other costs, including the costs attributable to use of our propylene production assets and related infrastructure. To limit the exposure of these marketing activities to price risk, we attempt to match the timing and price of our feedstock purchases with those of the sales of end products.</w:t>
      </w:r>
    </w:p>
    <w:p>
      <w:pPr>
        <w:spacing w:after="0" w:line="20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petrochemical marketing activities also include the purchase of propane for our PDH facility to process into PGP, which is then sold to customers under long-term sales contracts (take-or-pay arrangements) that feature minimum volume commitments and contractual pricing that minimizes our commodity price risk.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information regarding our propylene production facilities at February 1,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ind w:left="40"/>
              <w:spacing w:after="0"/>
              <w:rPr>
                <w:sz w:val="20"/>
                <w:szCs w:val="20"/>
                <w:color w:val="auto"/>
              </w:rPr>
            </w:pPr>
            <w:r>
              <w:rPr>
                <w:rFonts w:ascii="Arial" w:cs="Arial" w:eastAsia="Arial" w:hAnsi="Arial"/>
                <w:sz w:val="14"/>
                <w:szCs w:val="14"/>
                <w:b w:val="1"/>
                <w:bCs w:val="1"/>
                <w:color w:val="auto"/>
              </w:rPr>
              <w:t>Our</w:t>
            </w:r>
          </w:p>
        </w:tc>
        <w:tc>
          <w:tcPr>
            <w:tcW w:w="174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Net Plant</w:t>
            </w:r>
          </w:p>
        </w:tc>
        <w:tc>
          <w:tcPr>
            <w:tcW w:w="1320" w:type="dxa"/>
            <w:vAlign w:val="bottom"/>
          </w:tcPr>
          <w:p>
            <w:pPr>
              <w:jc w:val="center"/>
              <w:ind w:right="128"/>
              <w:spacing w:after="0"/>
              <w:rPr>
                <w:sz w:val="20"/>
                <w:szCs w:val="20"/>
                <w:color w:val="auto"/>
              </w:rPr>
            </w:pPr>
            <w:r>
              <w:rPr>
                <w:rFonts w:ascii="Arial" w:cs="Arial" w:eastAsia="Arial" w:hAnsi="Arial"/>
                <w:sz w:val="14"/>
                <w:szCs w:val="14"/>
                <w:b w:val="1"/>
                <w:bCs w:val="1"/>
                <w:color w:val="auto"/>
                <w:w w:val="94"/>
              </w:rPr>
              <w:t>Total Plant</w:t>
            </w:r>
          </w:p>
        </w:tc>
        <w:tc>
          <w:tcPr>
            <w:tcW w:w="0" w:type="dxa"/>
            <w:vAlign w:val="bottom"/>
          </w:tcPr>
          <w:p>
            <w:pPr>
              <w:spacing w:after="0"/>
              <w:rPr>
                <w:sz w:val="1"/>
                <w:szCs w:val="1"/>
                <w:color w:val="auto"/>
              </w:rPr>
            </w:pPr>
          </w:p>
        </w:tc>
      </w:tr>
      <w:tr>
        <w:trPr>
          <w:trHeight w:val="178"/>
        </w:trPr>
        <w:tc>
          <w:tcPr>
            <w:tcW w:w="430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Description of Asset</w:t>
            </w:r>
          </w:p>
        </w:tc>
        <w:tc>
          <w:tcPr>
            <w:tcW w:w="2180" w:type="dxa"/>
            <w:vAlign w:val="bottom"/>
            <w:vMerge w:val="restart"/>
          </w:tcPr>
          <w:p>
            <w:pPr>
              <w:jc w:val="center"/>
              <w:ind w:left="768"/>
              <w:spacing w:after="0"/>
              <w:rPr>
                <w:sz w:val="20"/>
                <w:szCs w:val="20"/>
                <w:color w:val="auto"/>
              </w:rPr>
            </w:pPr>
            <w:r>
              <w:rPr>
                <w:rFonts w:ascii="Arial" w:cs="Arial" w:eastAsia="Arial" w:hAnsi="Arial"/>
                <w:sz w:val="14"/>
                <w:szCs w:val="14"/>
                <w:b w:val="1"/>
                <w:bCs w:val="1"/>
                <w:color w:val="auto"/>
                <w:w w:val="92"/>
              </w:rPr>
              <w:t>Location</w:t>
            </w:r>
          </w:p>
        </w:tc>
        <w:tc>
          <w:tcPr>
            <w:tcW w:w="188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93"/>
              </w:rPr>
              <w:t>Ownership</w:t>
            </w:r>
          </w:p>
        </w:tc>
        <w:tc>
          <w:tcPr>
            <w:tcW w:w="174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Capacity</w:t>
            </w:r>
          </w:p>
        </w:tc>
        <w:tc>
          <w:tcPr>
            <w:tcW w:w="132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Capacity</w:t>
            </w:r>
          </w:p>
        </w:tc>
        <w:tc>
          <w:tcPr>
            <w:tcW w:w="0" w:type="dxa"/>
            <w:vAlign w:val="bottom"/>
          </w:tcPr>
          <w:p>
            <w:pPr>
              <w:spacing w:after="0"/>
              <w:rPr>
                <w:sz w:val="1"/>
                <w:szCs w:val="1"/>
                <w:color w:val="auto"/>
              </w:rPr>
            </w:pPr>
          </w:p>
        </w:tc>
      </w:tr>
      <w:tr>
        <w:trPr>
          <w:trHeight w:val="178"/>
        </w:trPr>
        <w:tc>
          <w:tcPr>
            <w:tcW w:w="4300" w:type="dxa"/>
            <w:vAlign w:val="bottom"/>
            <w:tcBorders>
              <w:bottom w:val="single" w:sz="8" w:color="auto"/>
            </w:tcBorders>
            <w:vMerge w:val="continue"/>
          </w:tcPr>
          <w:p>
            <w:pPr>
              <w:spacing w:after="0"/>
              <w:rPr>
                <w:sz w:val="15"/>
                <w:szCs w:val="15"/>
                <w:color w:val="auto"/>
              </w:rPr>
            </w:pPr>
          </w:p>
        </w:tc>
        <w:tc>
          <w:tcPr>
            <w:tcW w:w="2180" w:type="dxa"/>
            <w:vAlign w:val="bottom"/>
            <w:tcBorders>
              <w:bottom w:val="single" w:sz="8" w:color="auto"/>
            </w:tcBorders>
            <w:vMerge w:val="continue"/>
          </w:tcPr>
          <w:p>
            <w:pPr>
              <w:spacing w:after="0"/>
              <w:rPr>
                <w:sz w:val="15"/>
                <w:szCs w:val="15"/>
                <w:color w:val="auto"/>
              </w:rPr>
            </w:pPr>
          </w:p>
        </w:tc>
        <w:tc>
          <w:tcPr>
            <w:tcW w:w="188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b w:val="1"/>
                <w:bCs w:val="1"/>
                <w:color w:val="auto"/>
                <w:w w:val="94"/>
              </w:rPr>
              <w:t>Interest</w:t>
            </w:r>
          </w:p>
        </w:tc>
        <w:tc>
          <w:tcPr>
            <w:tcW w:w="17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(MBPD)</w:t>
            </w:r>
          </w:p>
        </w:tc>
        <w:tc>
          <w:tcPr>
            <w:tcW w:w="13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(MBPD)</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4"/>
                <w:szCs w:val="14"/>
                <w:b w:val="1"/>
                <w:bCs w:val="1"/>
                <w:color w:val="auto"/>
              </w:rPr>
              <w:t>Propylene fractionation facilities:</w:t>
            </w:r>
          </w:p>
        </w:tc>
        <w:tc>
          <w:tcPr>
            <w:tcW w:w="2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Mont Belvieu (six units)</w:t>
            </w:r>
          </w:p>
        </w:tc>
        <w:tc>
          <w:tcPr>
            <w:tcW w:w="2180" w:type="dxa"/>
            <w:vAlign w:val="bottom"/>
            <w:shd w:val="clear" w:color="auto" w:fill="CCEEFF"/>
          </w:tcPr>
          <w:p>
            <w:pPr>
              <w:jc w:val="center"/>
              <w:ind w:left="768"/>
              <w:spacing w:after="0" w:line="149" w:lineRule="exact"/>
              <w:rPr>
                <w:sz w:val="20"/>
                <w:szCs w:val="20"/>
                <w:color w:val="auto"/>
              </w:rPr>
            </w:pPr>
            <w:r>
              <w:rPr>
                <w:rFonts w:ascii="Arial" w:cs="Arial" w:eastAsia="Arial" w:hAnsi="Arial"/>
                <w:sz w:val="14"/>
                <w:szCs w:val="14"/>
                <w:color w:val="auto"/>
                <w:w w:val="89"/>
              </w:rPr>
              <w:t>Texas</w:t>
            </w:r>
          </w:p>
        </w:tc>
        <w:tc>
          <w:tcPr>
            <w:tcW w:w="8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Various</w:t>
            </w:r>
          </w:p>
        </w:tc>
        <w:tc>
          <w:tcPr>
            <w:tcW w:w="10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(1)</w:t>
            </w:r>
          </w:p>
        </w:tc>
        <w:tc>
          <w:tcPr>
            <w:tcW w:w="17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80</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56"/>
        </w:trPr>
        <w:tc>
          <w:tcPr>
            <w:tcW w:w="43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BRPC (one unit)</w:t>
            </w:r>
          </w:p>
        </w:tc>
        <w:tc>
          <w:tcPr>
            <w:tcW w:w="2180" w:type="dxa"/>
            <w:vAlign w:val="bottom"/>
            <w:tcBorders>
              <w:bottom w:val="single" w:sz="8" w:color="CCEEFF"/>
            </w:tcBorders>
          </w:tcPr>
          <w:p>
            <w:pPr>
              <w:jc w:val="center"/>
              <w:ind w:left="788"/>
              <w:spacing w:after="0" w:line="149" w:lineRule="exact"/>
              <w:rPr>
                <w:sz w:val="20"/>
                <w:szCs w:val="20"/>
                <w:color w:val="auto"/>
              </w:rPr>
            </w:pPr>
            <w:r>
              <w:rPr>
                <w:rFonts w:ascii="Arial" w:cs="Arial" w:eastAsia="Arial" w:hAnsi="Arial"/>
                <w:sz w:val="14"/>
                <w:szCs w:val="14"/>
                <w:color w:val="auto"/>
                <w:w w:val="93"/>
              </w:rPr>
              <w:t>Louisiana</w:t>
            </w:r>
          </w:p>
        </w:tc>
        <w:tc>
          <w:tcPr>
            <w:tcW w:w="88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30.0%</w:t>
            </w:r>
          </w:p>
        </w:tc>
        <w:tc>
          <w:tcPr>
            <w:tcW w:w="1000" w:type="dxa"/>
            <w:vAlign w:val="bottom"/>
            <w:tcBorders>
              <w:bottom w:val="single" w:sz="8" w:color="CCEEFF"/>
            </w:tcBorders>
          </w:tcPr>
          <w:p>
            <w:pPr>
              <w:ind w:left="40"/>
              <w:spacing w:after="0" w:line="149" w:lineRule="exact"/>
              <w:rPr>
                <w:sz w:val="20"/>
                <w:szCs w:val="20"/>
                <w:color w:val="auto"/>
              </w:rPr>
            </w:pPr>
            <w:r>
              <w:rPr>
                <w:rFonts w:ascii="Arial" w:cs="Arial" w:eastAsia="Arial" w:hAnsi="Arial"/>
                <w:sz w:val="14"/>
                <w:szCs w:val="14"/>
                <w:color w:val="auto"/>
              </w:rPr>
              <w:t>(2)</w:t>
            </w:r>
          </w:p>
        </w:tc>
        <w:tc>
          <w:tcPr>
            <w:tcW w:w="174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color w:val="auto"/>
              </w:rPr>
              <w:t>7</w:t>
            </w:r>
          </w:p>
        </w:tc>
        <w:tc>
          <w:tcPr>
            <w:tcW w:w="1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1"/>
        </w:trPr>
        <w:tc>
          <w:tcPr>
            <w:tcW w:w="4300" w:type="dxa"/>
            <w:vAlign w:val="bottom"/>
            <w:tcBorders>
              <w:bottom w:val="single" w:sz="8" w:color="CCEEFF"/>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Total</w:t>
            </w:r>
          </w:p>
        </w:tc>
        <w:tc>
          <w:tcPr>
            <w:tcW w:w="2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rPr>
              <w:t>87</w:t>
            </w:r>
          </w:p>
        </w:tc>
        <w:tc>
          <w:tcPr>
            <w:tcW w:w="13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PDH facility:</w:t>
            </w:r>
          </w:p>
        </w:tc>
        <w:tc>
          <w:tcPr>
            <w:tcW w:w="2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line="129" w:lineRule="exact"/>
              <w:rPr>
                <w:sz w:val="20"/>
                <w:szCs w:val="20"/>
                <w:color w:val="auto"/>
              </w:rPr>
            </w:pPr>
            <w:r>
              <w:rPr>
                <w:rFonts w:ascii="Arial" w:cs="Arial" w:eastAsia="Arial" w:hAnsi="Arial"/>
                <w:sz w:val="14"/>
                <w:szCs w:val="14"/>
                <w:color w:val="auto"/>
              </w:rPr>
              <w:t>Mont Belvieu – PDH 1</w:t>
            </w:r>
          </w:p>
        </w:tc>
        <w:tc>
          <w:tcPr>
            <w:tcW w:w="2180" w:type="dxa"/>
            <w:vAlign w:val="bottom"/>
          </w:tcPr>
          <w:p>
            <w:pPr>
              <w:jc w:val="center"/>
              <w:ind w:left="768"/>
              <w:spacing w:after="0" w:line="129" w:lineRule="exact"/>
              <w:rPr>
                <w:sz w:val="20"/>
                <w:szCs w:val="20"/>
                <w:color w:val="auto"/>
              </w:rPr>
            </w:pPr>
            <w:r>
              <w:rPr>
                <w:rFonts w:ascii="Arial" w:cs="Arial" w:eastAsia="Arial" w:hAnsi="Arial"/>
                <w:sz w:val="14"/>
                <w:szCs w:val="14"/>
                <w:color w:val="auto"/>
                <w:w w:val="89"/>
              </w:rPr>
              <w:t>Texas</w:t>
            </w:r>
          </w:p>
        </w:tc>
        <w:tc>
          <w:tcPr>
            <w:tcW w:w="880" w:type="dxa"/>
            <w:vAlign w:val="bottom"/>
          </w:tcPr>
          <w:p>
            <w:pPr>
              <w:jc w:val="right"/>
              <w:spacing w:after="0" w:line="129" w:lineRule="exact"/>
              <w:rPr>
                <w:sz w:val="20"/>
                <w:szCs w:val="20"/>
                <w:color w:val="auto"/>
              </w:rPr>
            </w:pPr>
            <w:r>
              <w:rPr>
                <w:rFonts w:ascii="Arial" w:cs="Arial" w:eastAsia="Arial" w:hAnsi="Arial"/>
                <w:sz w:val="14"/>
                <w:szCs w:val="14"/>
                <w:color w:val="auto"/>
              </w:rPr>
              <w:t>100.0%</w:t>
            </w:r>
          </w:p>
        </w:tc>
        <w:tc>
          <w:tcPr>
            <w:tcW w:w="1000" w:type="dxa"/>
            <w:vAlign w:val="bottom"/>
          </w:tcPr>
          <w:p>
            <w:pPr>
              <w:spacing w:after="0"/>
              <w:rPr>
                <w:sz w:val="12"/>
                <w:szCs w:val="12"/>
                <w:color w:val="auto"/>
              </w:rPr>
            </w:pPr>
          </w:p>
        </w:tc>
        <w:tc>
          <w:tcPr>
            <w:tcW w:w="1740" w:type="dxa"/>
            <w:vAlign w:val="bottom"/>
            <w:tcBorders>
              <w:bottom w:val="single" w:sz="8" w:color="auto"/>
            </w:tcBorders>
          </w:tcPr>
          <w:p>
            <w:pPr>
              <w:jc w:val="right"/>
              <w:ind w:right="128"/>
              <w:spacing w:after="0" w:line="129" w:lineRule="exact"/>
              <w:rPr>
                <w:sz w:val="20"/>
                <w:szCs w:val="20"/>
                <w:color w:val="auto"/>
              </w:rPr>
            </w:pPr>
            <w:r>
              <w:rPr>
                <w:rFonts w:ascii="Arial" w:cs="Arial" w:eastAsia="Arial" w:hAnsi="Arial"/>
                <w:sz w:val="14"/>
                <w:szCs w:val="14"/>
                <w:color w:val="auto"/>
              </w:rPr>
              <w:t>25</w:t>
            </w:r>
          </w:p>
        </w:tc>
        <w:tc>
          <w:tcPr>
            <w:tcW w:w="1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500" w:hanging="492"/>
        <w:spacing w:after="0" w:line="230"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proportionately consolidate a 66.7% undivided interest in three of the propylene splitters, which have an aggregate 38 MBPD of total plant capacity. The remaining three propylene fractionation units are wholly owned.</w:t>
      </w:r>
    </w:p>
    <w:p>
      <w:pPr>
        <w:ind w:left="500" w:hanging="49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ownership interest in the BRPC facility is held indirectly through our equity method investment in Baton Rouge Propylene Concentrator LLC (“BRPC”).</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produce PGP at our propylene fractionation units and PDH 1 facility located at the Mont Belvieu hub and CGP at our BRPC facility located in Baton Rouge, Louisiana. On a weighted-average basis, the overall utilization rate of our propylene production facilities was approximately 86.7%, 86.7% and 89.9% during the years ended December 31, 2019, 2018 and 2017, respectively.</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Global demand for propylene is increasing; however, the use of lighter crude oil feedstocks by U.S. refiners and increased use of ethane by steam crackers has reduced propylene production from these traditional sources. This has led to the development of more “on purpose” propylene production facilities such as our current PDH facility (“PDH 1”), which entered service in April 2018. The facility, which is located in Chambers County, Texas at our Mont Belvieu complex, has the capacity to produce up to 1.65 billion pounds per year, or approximately 25 MBPD, of PGP. At this nameplate production rate, the facility consumes approximately 35 MBPD of propane as feedstock. The PDH 1 facility is integrated with our legacy Mont Belvieu propylene fractionation units, which provides us with operational reliability and flexibility for both the PDH facility and the fractionation units. The construction of PDH 1 was underwritten by long-term, fee-based contracts that feature minimum volume commitments.</w:t>
      </w:r>
    </w:p>
    <w:p>
      <w:pPr>
        <w:spacing w:after="0" w:line="29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initiated legal proceedings involving the former general contractor for PDH 1. For a summary of this litigation, see Note 17 of the Notes to Consolidated Financial Statements included under Part II, Item 8 of this annual report.</w:t>
      </w:r>
    </w:p>
    <w:p>
      <w:pPr>
        <w:spacing w:after="0" w:line="2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PDH 2. </w:t>
      </w:r>
      <w:r>
        <w:rPr>
          <w:rFonts w:ascii="Arial" w:cs="Arial" w:eastAsia="Arial" w:hAnsi="Arial"/>
          <w:sz w:val="18"/>
          <w:szCs w:val="18"/>
          <w:color w:val="auto"/>
        </w:rPr>
        <w:t>In September 2019, we announced the execution of long-term, fee-based contracts with affiliates of LyondellBasell Industries N.V. that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of our second PDH facility (referred to as “PDH 2”). Like PDH 1, the new plant is expected to have the capacity to consume up to 35 MBPD of propane and produce up to 1.65 billion pounds per year of PGP. PDH 2 will be located in Chambers County, Texas at our Mont Belvieu complex and is scheduled to begin service in the first quarter of 2023. Once PDH 2 is placed into service and integrated with PDH 1 and our other propylene production facilities, we will have the capability to produce 11 billion pounds of propylene per year.</w:t>
      </w:r>
    </w:p>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Propylene pipelines</w:t>
      </w:r>
      <w:r>
        <w:rPr>
          <w:rFonts w:ascii="Arial" w:cs="Arial" w:eastAsia="Arial" w:hAnsi="Arial"/>
          <w:sz w:val="17"/>
          <w:szCs w:val="17"/>
          <w:color w:val="auto"/>
        </w:rPr>
        <w:t>. The results of operations from our petrochemical pipelines are primarily dependent upon the volume of products transported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level of fees charged to shippers. The following table presents selected information regarding our propylene pipelines at February 1,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Description of Asset</w:t>
            </w:r>
          </w:p>
        </w:tc>
        <w:tc>
          <w:tcPr>
            <w:tcW w:w="2920" w:type="dxa"/>
            <w:vAlign w:val="bottom"/>
            <w:vMerge w:val="restart"/>
          </w:tcPr>
          <w:p>
            <w:pPr>
              <w:jc w:val="center"/>
              <w:ind w:left="988"/>
              <w:spacing w:after="0"/>
              <w:rPr>
                <w:sz w:val="20"/>
                <w:szCs w:val="20"/>
                <w:color w:val="auto"/>
              </w:rPr>
            </w:pPr>
            <w:r>
              <w:rPr>
                <w:rFonts w:ascii="Arial" w:cs="Arial" w:eastAsia="Arial" w:hAnsi="Arial"/>
                <w:sz w:val="14"/>
                <w:szCs w:val="14"/>
                <w:b w:val="1"/>
                <w:bCs w:val="1"/>
                <w:color w:val="auto"/>
                <w:w w:val="92"/>
              </w:rPr>
              <w:t>Location(s)</w:t>
            </w:r>
          </w:p>
        </w:tc>
        <w:tc>
          <w:tcPr>
            <w:tcW w:w="2020" w:type="dxa"/>
            <w:vAlign w:val="bottom"/>
            <w:gridSpan w:val="2"/>
          </w:tcPr>
          <w:p>
            <w:pPr>
              <w:ind w:left="840"/>
              <w:spacing w:after="0"/>
              <w:rPr>
                <w:sz w:val="20"/>
                <w:szCs w:val="20"/>
                <w:color w:val="auto"/>
              </w:rPr>
            </w:pPr>
            <w:r>
              <w:rPr>
                <w:rFonts w:ascii="Arial" w:cs="Arial" w:eastAsia="Arial" w:hAnsi="Arial"/>
                <w:sz w:val="14"/>
                <w:szCs w:val="14"/>
                <w:b w:val="1"/>
                <w:bCs w:val="1"/>
                <w:color w:val="auto"/>
              </w:rPr>
              <w:t>Ownership</w:t>
            </w:r>
          </w:p>
        </w:tc>
        <w:tc>
          <w:tcPr>
            <w:tcW w:w="1540" w:type="dxa"/>
            <w:vAlign w:val="bottom"/>
          </w:tcPr>
          <w:p>
            <w:pPr>
              <w:jc w:val="right"/>
              <w:ind w:right="468"/>
              <w:spacing w:after="0"/>
              <w:rPr>
                <w:sz w:val="20"/>
                <w:szCs w:val="20"/>
                <w:color w:val="auto"/>
              </w:rPr>
            </w:pPr>
            <w:r>
              <w:rPr>
                <w:rFonts w:ascii="Arial" w:cs="Arial" w:eastAsia="Arial" w:hAnsi="Arial"/>
                <w:sz w:val="14"/>
                <w:szCs w:val="14"/>
                <w:b w:val="1"/>
                <w:bCs w:val="1"/>
                <w:color w:val="auto"/>
              </w:rPr>
              <w:t>Length</w:t>
            </w:r>
          </w:p>
        </w:tc>
        <w:tc>
          <w:tcPr>
            <w:tcW w:w="0" w:type="dxa"/>
            <w:vAlign w:val="bottom"/>
          </w:tcPr>
          <w:p>
            <w:pPr>
              <w:spacing w:after="0"/>
              <w:rPr>
                <w:sz w:val="1"/>
                <w:szCs w:val="1"/>
                <w:color w:val="auto"/>
              </w:rPr>
            </w:pPr>
          </w:p>
        </w:tc>
      </w:tr>
      <w:tr>
        <w:trPr>
          <w:trHeight w:val="178"/>
        </w:trPr>
        <w:tc>
          <w:tcPr>
            <w:tcW w:w="4940" w:type="dxa"/>
            <w:vAlign w:val="bottom"/>
            <w:tcBorders>
              <w:bottom w:val="single" w:sz="8" w:color="auto"/>
            </w:tcBorders>
            <w:vMerge w:val="continue"/>
          </w:tcPr>
          <w:p>
            <w:pPr>
              <w:spacing w:after="0"/>
              <w:rPr>
                <w:sz w:val="15"/>
                <w:szCs w:val="15"/>
                <w:color w:val="auto"/>
              </w:rPr>
            </w:pPr>
          </w:p>
        </w:tc>
        <w:tc>
          <w:tcPr>
            <w:tcW w:w="29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Interest</w:t>
            </w:r>
          </w:p>
        </w:tc>
        <w:tc>
          <w:tcPr>
            <w:tcW w:w="15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(Miles)</w:t>
            </w: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Lou-Tex Propylene Pipeline</w:t>
            </w:r>
          </w:p>
        </w:tc>
        <w:tc>
          <w:tcPr>
            <w:tcW w:w="2920" w:type="dxa"/>
            <w:vAlign w:val="bottom"/>
            <w:shd w:val="clear" w:color="auto" w:fill="CCEEFF"/>
          </w:tcPr>
          <w:p>
            <w:pPr>
              <w:jc w:val="center"/>
              <w:ind w:left="988"/>
              <w:spacing w:after="0" w:line="149" w:lineRule="exact"/>
              <w:rPr>
                <w:sz w:val="20"/>
                <w:szCs w:val="20"/>
                <w:color w:val="auto"/>
              </w:rPr>
            </w:pPr>
            <w:r>
              <w:rPr>
                <w:rFonts w:ascii="Arial" w:cs="Arial" w:eastAsia="Arial" w:hAnsi="Arial"/>
                <w:sz w:val="14"/>
                <w:szCs w:val="14"/>
                <w:color w:val="auto"/>
                <w:w w:val="92"/>
              </w:rPr>
              <w:t>Texas, Louisiana</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1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Texas City RGP Gathering System</w:t>
            </w:r>
          </w:p>
        </w:tc>
        <w:tc>
          <w:tcPr>
            <w:tcW w:w="2920" w:type="dxa"/>
            <w:vAlign w:val="bottom"/>
          </w:tcPr>
          <w:p>
            <w:pPr>
              <w:jc w:val="center"/>
              <w:ind w:left="988"/>
              <w:spacing w:after="0" w:line="149" w:lineRule="exact"/>
              <w:rPr>
                <w:sz w:val="20"/>
                <w:szCs w:val="20"/>
                <w:color w:val="auto"/>
              </w:rPr>
            </w:pPr>
            <w:r>
              <w:rPr>
                <w:rFonts w:ascii="Arial" w:cs="Arial" w:eastAsia="Arial" w:hAnsi="Arial"/>
                <w:sz w:val="14"/>
                <w:szCs w:val="14"/>
                <w:color w:val="auto"/>
                <w:w w:val="89"/>
              </w:rPr>
              <w:t>Texas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110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North Dean Pipeline System</w:t>
            </w:r>
          </w:p>
        </w:tc>
        <w:tc>
          <w:tcPr>
            <w:tcW w:w="2920" w:type="dxa"/>
            <w:vAlign w:val="bottom"/>
            <w:shd w:val="clear" w:color="auto" w:fill="CCEEFF"/>
          </w:tcPr>
          <w:p>
            <w:pPr>
              <w:jc w:val="center"/>
              <w:ind w:left="988"/>
              <w:spacing w:after="0" w:line="149" w:lineRule="exact"/>
              <w:rPr>
                <w:sz w:val="20"/>
                <w:szCs w:val="20"/>
                <w:color w:val="auto"/>
              </w:rPr>
            </w:pPr>
            <w:r>
              <w:rPr>
                <w:rFonts w:ascii="Arial" w:cs="Arial" w:eastAsia="Arial" w:hAnsi="Arial"/>
                <w:sz w:val="14"/>
                <w:szCs w:val="14"/>
                <w:color w:val="auto"/>
                <w:w w:val="89"/>
              </w:rPr>
              <w:t>Texas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1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Propylene Splitter PGP Distribution System</w:t>
            </w:r>
          </w:p>
        </w:tc>
        <w:tc>
          <w:tcPr>
            <w:tcW w:w="2920" w:type="dxa"/>
            <w:vAlign w:val="bottom"/>
          </w:tcPr>
          <w:p>
            <w:pPr>
              <w:jc w:val="center"/>
              <w:ind w:left="988"/>
              <w:spacing w:after="0" w:line="149" w:lineRule="exact"/>
              <w:rPr>
                <w:sz w:val="20"/>
                <w:szCs w:val="20"/>
                <w:color w:val="auto"/>
              </w:rPr>
            </w:pPr>
            <w:r>
              <w:rPr>
                <w:rFonts w:ascii="Arial" w:cs="Arial" w:eastAsia="Arial" w:hAnsi="Arial"/>
                <w:sz w:val="14"/>
                <w:szCs w:val="14"/>
                <w:color w:val="auto"/>
                <w:w w:val="89"/>
              </w:rPr>
              <w:t>Texas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110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Louisiana RGP Gathering System</w:t>
            </w:r>
          </w:p>
        </w:tc>
        <w:tc>
          <w:tcPr>
            <w:tcW w:w="2920" w:type="dxa"/>
            <w:vAlign w:val="bottom"/>
            <w:shd w:val="clear" w:color="auto" w:fill="CCEEFF"/>
          </w:tcPr>
          <w:p>
            <w:pPr>
              <w:jc w:val="center"/>
              <w:ind w:left="1008"/>
              <w:spacing w:after="0" w:line="149" w:lineRule="exact"/>
              <w:rPr>
                <w:sz w:val="20"/>
                <w:szCs w:val="20"/>
                <w:color w:val="auto"/>
              </w:rPr>
            </w:pPr>
            <w:r>
              <w:rPr>
                <w:rFonts w:ascii="Arial" w:cs="Arial" w:eastAsia="Arial" w:hAnsi="Arial"/>
                <w:sz w:val="14"/>
                <w:szCs w:val="14"/>
                <w:color w:val="auto"/>
                <w:w w:val="93"/>
              </w:rPr>
              <w:t>Louisiana</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1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Lake Charles PGP Pipeline</w:t>
            </w:r>
          </w:p>
        </w:tc>
        <w:tc>
          <w:tcPr>
            <w:tcW w:w="2920" w:type="dxa"/>
            <w:vAlign w:val="bottom"/>
          </w:tcPr>
          <w:p>
            <w:pPr>
              <w:jc w:val="center"/>
              <w:ind w:left="988"/>
              <w:spacing w:after="0" w:line="149" w:lineRule="exact"/>
              <w:rPr>
                <w:sz w:val="20"/>
                <w:szCs w:val="20"/>
                <w:color w:val="auto"/>
              </w:rPr>
            </w:pPr>
            <w:r>
              <w:rPr>
                <w:rFonts w:ascii="Arial" w:cs="Arial" w:eastAsia="Arial" w:hAnsi="Arial"/>
                <w:sz w:val="14"/>
                <w:szCs w:val="14"/>
                <w:color w:val="auto"/>
                <w:w w:val="92"/>
              </w:rPr>
              <w:t>Texas, Louisiana</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1100" w:type="dxa"/>
            <w:vAlign w:val="bottom"/>
          </w:tcPr>
          <w:p>
            <w:pPr>
              <w:ind w:left="20"/>
              <w:spacing w:after="0" w:line="149" w:lineRule="exact"/>
              <w:rPr>
                <w:sz w:val="20"/>
                <w:szCs w:val="20"/>
                <w:color w:val="auto"/>
              </w:rPr>
            </w:pPr>
            <w:r>
              <w:rPr>
                <w:rFonts w:ascii="Arial" w:cs="Arial" w:eastAsia="Arial" w:hAnsi="Arial"/>
                <w:sz w:val="14"/>
                <w:szCs w:val="14"/>
                <w:color w:val="auto"/>
              </w:rPr>
              <w:t>(1)</w:t>
            </w:r>
          </w:p>
        </w:tc>
        <w:tc>
          <w:tcPr>
            <w:tcW w:w="154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 Porte PGP Pipeline</w:t>
            </w:r>
          </w:p>
        </w:tc>
        <w:tc>
          <w:tcPr>
            <w:tcW w:w="2920" w:type="dxa"/>
            <w:vAlign w:val="bottom"/>
            <w:shd w:val="clear" w:color="auto" w:fill="CCEEFF"/>
          </w:tcPr>
          <w:p>
            <w:pPr>
              <w:jc w:val="center"/>
              <w:ind w:left="988"/>
              <w:spacing w:after="0" w:line="149" w:lineRule="exact"/>
              <w:rPr>
                <w:sz w:val="20"/>
                <w:szCs w:val="20"/>
                <w:color w:val="auto"/>
              </w:rPr>
            </w:pPr>
            <w:r>
              <w:rPr>
                <w:rFonts w:ascii="Arial" w:cs="Arial" w:eastAsia="Arial" w:hAnsi="Arial"/>
                <w:sz w:val="14"/>
                <w:szCs w:val="14"/>
                <w:color w:val="auto"/>
                <w:w w:val="89"/>
              </w:rPr>
              <w:t>Texas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1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(2)</w:t>
            </w:r>
          </w:p>
        </w:tc>
        <w:tc>
          <w:tcPr>
            <w:tcW w:w="1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6"/>
        </w:trPr>
        <w:tc>
          <w:tcPr>
            <w:tcW w:w="49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Sabine Pipeline</w:t>
            </w:r>
          </w:p>
        </w:tc>
        <w:tc>
          <w:tcPr>
            <w:tcW w:w="2920" w:type="dxa"/>
            <w:vAlign w:val="bottom"/>
            <w:tcBorders>
              <w:bottom w:val="single" w:sz="8" w:color="CCEEFF"/>
            </w:tcBorders>
          </w:tcPr>
          <w:p>
            <w:pPr>
              <w:jc w:val="center"/>
              <w:ind w:left="988"/>
              <w:spacing w:after="0" w:line="149" w:lineRule="exact"/>
              <w:rPr>
                <w:sz w:val="20"/>
                <w:szCs w:val="20"/>
                <w:color w:val="auto"/>
              </w:rPr>
            </w:pPr>
            <w:r>
              <w:rPr>
                <w:rFonts w:ascii="Arial" w:cs="Arial" w:eastAsia="Arial" w:hAnsi="Arial"/>
                <w:sz w:val="14"/>
                <w:szCs w:val="14"/>
                <w:color w:val="auto"/>
                <w:w w:val="92"/>
              </w:rPr>
              <w:t>Texas, Louisiana</w:t>
            </w:r>
          </w:p>
        </w:tc>
        <w:tc>
          <w:tcPr>
            <w:tcW w:w="92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100.0%</w:t>
            </w:r>
          </w:p>
        </w:tc>
        <w:tc>
          <w:tcPr>
            <w:tcW w:w="110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1"/>
        </w:trPr>
        <w:tc>
          <w:tcPr>
            <w:tcW w:w="4940" w:type="dxa"/>
            <w:vAlign w:val="bottom"/>
            <w:tcBorders>
              <w:bottom w:val="single" w:sz="8" w:color="CCEEFF"/>
            </w:tcBorders>
            <w:shd w:val="clear" w:color="auto" w:fill="CCEEFF"/>
          </w:tcPr>
          <w:p>
            <w:pPr>
              <w:ind w:left="320"/>
              <w:spacing w:after="0" w:line="155" w:lineRule="exact"/>
              <w:rPr>
                <w:sz w:val="20"/>
                <w:szCs w:val="20"/>
                <w:color w:val="auto"/>
              </w:rPr>
            </w:pPr>
            <w:r>
              <w:rPr>
                <w:rFonts w:ascii="Arial" w:cs="Arial" w:eastAsia="Arial" w:hAnsi="Arial"/>
                <w:sz w:val="14"/>
                <w:szCs w:val="14"/>
                <w:color w:val="auto"/>
              </w:rPr>
              <w:t>Total</w:t>
            </w:r>
          </w:p>
        </w:tc>
        <w:tc>
          <w:tcPr>
            <w:tcW w:w="29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proportionately consolidate our undivided interest in the Lake Charles PGP Pipeline.</w:t>
      </w:r>
    </w:p>
    <w:p>
      <w:pPr>
        <w:ind w:left="500" w:hanging="49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own an 80% consolidated interest in the La Porte PGP Pipeline through our majority owned subsidiaries, La Porte Pipeline Company, L.P. and La Porte Pipeline GP, L.L.C.</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maximum number of barrels per day that our petrochemical pipelines can transport depends on the operating rates achieved at a given point in time between various segments of each system (e.g., demand levels at each delivery point and the mix of products being transported). As a result, we measure the utilization rates of our petrochemical pipelines in terms of net throughput, which is based on our ownership interest. Total net throughput volumes were 124 MBPD, 125 MBPD and 106 MBPD during the years ended December 31, 2019, 2018 and 2017, respectively.</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Lou-Tex Propylene pipeline is used to transport CGP from Sorrento, Louisiana to Mont Belvieu. In June 2015, we announced plans to convert the Lou-Tex Propylene pipeline from CGP to PGP service. This conversion is scheduled for completion in the second quarter of 2020.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With the exception of the Lake Charles PGP Pipeline in Louisiana, we operate all of our propylene production assets and related pipelines.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Propylene export assets. </w:t>
      </w:r>
      <w:r>
        <w:rPr>
          <w:rFonts w:ascii="Arial" w:cs="Arial" w:eastAsia="Arial" w:hAnsi="Arial"/>
          <w:sz w:val="18"/>
          <w:szCs w:val="18"/>
          <w:color w:val="auto"/>
        </w:rPr>
        <w:t>This business includes export assets located at EHT that are currently capable of loading up to 2,500 barrels per hour, or 60 MBPD,</w:t>
      </w:r>
      <w:r>
        <w:rPr>
          <w:rFonts w:ascii="Arial" w:cs="Arial" w:eastAsia="Arial" w:hAnsi="Arial"/>
          <w:sz w:val="18"/>
          <w:szCs w:val="18"/>
          <w:i w:val="1"/>
          <w:iCs w:val="1"/>
          <w:color w:val="auto"/>
        </w:rPr>
        <w:t xml:space="preserve"> </w:t>
      </w:r>
      <w:r>
        <w:rPr>
          <w:rFonts w:ascii="Arial" w:cs="Arial" w:eastAsia="Arial" w:hAnsi="Arial"/>
          <w:sz w:val="18"/>
          <w:szCs w:val="18"/>
          <w:color w:val="auto"/>
        </w:rPr>
        <w:t>of semi-refrigerated product. In July 2019, we announced plans to increase our export capacity at EHT for semi- or fully-refrigerated PGP. This project is currently expected to increase our export capacity by 3,500 barrels per hour, or approximately 84 MBPD. With the addition of fully refrigerated volumes, this expansion project will enable EHT to co-load fully refrigerated PGP and LPG volumes onto the same vessel. This expansion project is expected to be placed into service during the second half of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Isomerization and related operations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own and operate three isomerization units at our Mont Belvieu complex having an aggregate processing capacity of 116 MBPD that comprise the largest commercial isomerization facility in the U.S. These operations also include a 70-mile pipeline system used to transport high-purity isobutane from the Mont Belvieu hub to Port Neches, Texas. We own and operate this pipeline system.</w:t>
      </w:r>
    </w:p>
    <w:p>
      <w:pPr>
        <w:spacing w:after="0" w:line="2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demand for commercial isomerization services depends upon the energy industry’s requirements for isobutane and high-purity isobutane in excess of the isobutane produced through the process of NGL fractionation and refinery operations. Isomerization units convert normal butane feedstock into mixed butane, which is a stream of isobutane and normal butane. DIB units, of which we own and operate nine located at our Mont Belvieu complex, then separate the isobutane from the normal butane. Any remaining unconverted (or residual) normal butane generated by the DIB process is then recirculated through the isomerization process until it has been converted into varying grades of isobutane, including high-purity isobutane. The primary uses of isobutane are for the production of propylene oxide, isooctane, isobutylene and alkylate for motor gasoline. We also use certain of our DIB units to fractionate mixed butanes originating from NGL fractionation activities, imports and other sources into isobutane and normal butane. The operating flexibility provided by our multiple standalone DIBs enables us to capture market opportunities resulting from fluctuations in demand and prices for different types of butanes.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operations from our isomerization business are generally dependent on the volume of normal and mixed butanes processed and the level of toll processing fees charged to customers.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isomerization assets provide processing services to meet the needs of third party customers and our other businesses, including our NGL marketing activities and octane enhancement production facility. On a weighted-average basis, the utilization rates of our isomerization facility were approximately 94.0%, 92.2% and 92.2% during the years ended December 31, 2019, 2018 and 2017, respectively.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we announced plans to expand our butane isomerization facility by up to 30 MBPD of incremental capacity. The expansion is supported by long-term agreements to provide butane isomerization, storage and related pipeline services. We currently expect this project to be completed in the first quarter of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Octane enhancement and related operations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own and operate an octane enhancement production facility located at our Mont Belvieu complex that is designed to produce isobutylene and either isooctane or methyl tertiary butyl ether (“MTBE”). The products produced by this facility are used by refiners to increase octane values in reformulated motor gasoline blends. The high-purity isobutane feedstocks consumed in the production of these products are supplied by our isomerization units.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sell our octane enhancement products at market-based prices. We attempt to mitigate the price risk associated with these products by entering into commodity derivative instruments. To the extent that we produce MTBE, it is sold exclusively into the export market. We measure the utilization of our octane enhancement facility in terms of its combined isooctane, isobutylene and MTBE production volumes, which averaged 22 MBPD, 24 MBPD and 23 MBPD during the years ended December 31, 2019, 2018 and 2017,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own and operate a facility located on the Houston Ship Channel that produces up to 4 MBPD of HPIB and includes an associated storage facility with 0.6 MMBbls of related product storage capacity. The primary feedstock for this plant, an isobutane/isobutylene mix, is produced by our octane enhancement and iBDH facilities. HPIB is used in the production of polyisobutylene, which is used in the manufacture of lubricants and rubber. In general, we sell HPIB at market-based prices with a cost-based floor. On a weighted-average basis, utilization rates for this facility were 77.6%, 88.9% and 75.9% for the years ended December 31, 2019, 2018 and 2017, respectively.</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operations from our octane enhancement and HPIB facilities are generally dependent on the level of production volumes and the difference, or spread, between the sales prices of the products and the associated feedstock purchase costs and other operating expenses.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Isobutane Dehydrogenation Unit. </w:t>
      </w:r>
      <w:r>
        <w:rPr>
          <w:rFonts w:ascii="Arial" w:cs="Arial" w:eastAsia="Arial" w:hAnsi="Arial"/>
          <w:sz w:val="18"/>
          <w:szCs w:val="18"/>
          <w:color w:val="auto"/>
        </w:rPr>
        <w:t>In December 2019, we completed construction and placed our iBDH unit into service. The facility, which is located at our</w:t>
      </w:r>
      <w:r>
        <w:rPr>
          <w:rFonts w:ascii="Arial" w:cs="Arial" w:eastAsia="Arial" w:hAnsi="Arial"/>
          <w:sz w:val="18"/>
          <w:szCs w:val="18"/>
          <w:i w:val="1"/>
          <w:iCs w:val="1"/>
          <w:color w:val="auto"/>
        </w:rPr>
        <w:t xml:space="preserve"> </w:t>
      </w:r>
      <w:r>
        <w:rPr>
          <w:rFonts w:ascii="Arial" w:cs="Arial" w:eastAsia="Arial" w:hAnsi="Arial"/>
          <w:sz w:val="18"/>
          <w:szCs w:val="18"/>
          <w:color w:val="auto"/>
        </w:rPr>
        <w:t>Mont Belvieu complex and supported by long-term, fee-based contracts, is capable of processing approximately 25 MBPD of butane into nearly 1 billion pounds per year of isobutylene. Production from the iBDH plant will enable us to optimize our MTBE and high purity isobutylene assets and meet growing market demand for isobutylene.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Steam crackers and refineries have historically been the major source of propane and butane olefins for downstream use; however, with the increased use of light-end feedstocks such as ethane, the need for “on purpose” olefins production has increased. Like our PDH facility, the iBDH plant will help meet market demand where traditional supplies have been reduced. The iBDH plant will increase our production of high purity and low purity isobutylene, both of which are used as feedstocks to manufacture lubricants, rubber products and fuel additives.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Refined products services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refined products services business includes refined products pipelines, terminals and associated marketing activities.</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Refined products pipelines</w:t>
      </w:r>
      <w:r>
        <w:rPr>
          <w:rFonts w:ascii="Arial" w:cs="Arial" w:eastAsia="Arial" w:hAnsi="Arial"/>
          <w:sz w:val="17"/>
          <w:szCs w:val="17"/>
          <w:color w:val="auto"/>
        </w:rPr>
        <w:t>. We own and operate the</w:t>
      </w:r>
      <w:r>
        <w:rPr>
          <w:rFonts w:ascii="Arial" w:cs="Arial" w:eastAsia="Arial" w:hAnsi="Arial"/>
          <w:sz w:val="17"/>
          <w:szCs w:val="17"/>
          <w:i w:val="1"/>
          <w:iCs w:val="1"/>
          <w:color w:val="auto"/>
        </w:rPr>
        <w:t xml:space="preserve"> TE Products Pipeline</w:t>
      </w:r>
      <w:r>
        <w:rPr>
          <w:rFonts w:ascii="Arial" w:cs="Arial" w:eastAsia="Arial" w:hAnsi="Arial"/>
          <w:sz w:val="17"/>
          <w:szCs w:val="17"/>
          <w:color w:val="auto"/>
        </w:rPr>
        <w:t>, which is a 3,252-mile pipeline system comprised of 2,927 miles of regulated</w:t>
      </w:r>
      <w:r>
        <w:rPr>
          <w:rFonts w:ascii="Arial" w:cs="Arial" w:eastAsia="Arial" w:hAnsi="Arial"/>
          <w:sz w:val="17"/>
          <w:szCs w:val="17"/>
          <w:i w:val="1"/>
          <w:iCs w:val="1"/>
          <w:color w:val="auto"/>
        </w:rPr>
        <w:t xml:space="preserve"> </w:t>
      </w:r>
      <w:r>
        <w:rPr>
          <w:rFonts w:ascii="Arial" w:cs="Arial" w:eastAsia="Arial" w:hAnsi="Arial"/>
          <w:sz w:val="17"/>
          <w:szCs w:val="17"/>
          <w:color w:val="auto"/>
        </w:rPr>
        <w:t>interstate pipelines and 325 miles of unregulated intrastate Texas pipelines. The system primarily transports refined products from the upper Texas Gulf Coast to Seymour, Indiana. From Seymour, segments of the TE Products Pipeline extend to Chicago, Illinois; Lima, Ohio; Selkirk, New York; and a location near Philadelphia, Pennsylvania. East of Seymour, Indiana, the TE Products Pipeline is primarily dedicated to NGL transportation service. The refined products transported by the TE Products Pipeline are produced by refineries and include motor gasoline and distillates.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operations for this pipeline system are dependent upon the volume of products transported and the level of fees charged to shippers. The tariffs charged for such services are either contractual or regulated by governmental agencies, including the FERC. See “Regulatory Matters” within this Part I, Items 1 and 2 discussion for additional information regarding governmental oversight of our liquids pipelines, including tariffs charged for transportation services.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maximum number of barrels per day that our TE Products Pipeline can transport depends on the operating balance achieved at a given point in time between various segments of the system (e.g., demand levels at each delivery point and the mix of products being transported). As a result, we measure the utilization rate of this pipeline in terms of throughput. Aggregate throughput volumes by product type for the TE Products Pipeline were as follows for the years indicated:</w:t>
      </w:r>
    </w:p>
    <w:p>
      <w:pPr>
        <w:spacing w:after="0" w:line="273"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6350</wp:posOffset>
            </wp:positionV>
            <wp:extent cx="24612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Refined products transportation (MBPD)</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407</w:t>
            </w: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456</w:t>
            </w:r>
          </w:p>
        </w:tc>
      </w:tr>
      <w:tr>
        <w:trPr>
          <w:trHeight w:val="216"/>
        </w:trPr>
        <w:tc>
          <w:tcPr>
            <w:tcW w:w="8280" w:type="dxa"/>
            <w:vAlign w:val="bottom"/>
            <w:gridSpan w:val="2"/>
          </w:tcPr>
          <w:p>
            <w:pPr>
              <w:spacing w:after="0"/>
              <w:rPr>
                <w:sz w:val="20"/>
                <w:szCs w:val="20"/>
                <w:color w:val="auto"/>
              </w:rPr>
            </w:pPr>
            <w:r>
              <w:rPr>
                <w:rFonts w:ascii="Arial" w:cs="Arial" w:eastAsia="Arial" w:hAnsi="Arial"/>
                <w:sz w:val="14"/>
                <w:szCs w:val="14"/>
                <w:color w:val="auto"/>
              </w:rPr>
              <w:t>Petrochemical transportation (MBPD)</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126</w:t>
            </w:r>
          </w:p>
        </w:tc>
        <w:tc>
          <w:tcPr>
            <w:tcW w:w="8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148</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156</w:t>
            </w: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NGL transportation (MBPD)</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w:t>
            </w: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 Products Pipeline system includes five non-regulated refined products truck terminals and 19.6 MMBbls of aggregate storage capacity.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2019, we recorded a $76.4 million impairment charge to fully write-off our 50% equity method investment in Centennial Pipeline LLC (“Centennial”), which owns the Centennial Pipeline and related terminal infrastructure. These assets were idled in 2013 while management investigated multiple capital project opportunities to repurpose the pipeline. Due to recent declines in the viability of potential commercial transactions involving the pipeline, we concluded that our investment was not recoverable and had no remaining fair value at December 31, 2019. We continue to own a 50% equity interest in the Centennial Pipeline, which is being maintained in an idled state in accordance with governmental regulations.</w:t>
      </w:r>
    </w:p>
    <w:p>
      <w:pPr>
        <w:spacing w:after="0" w:line="20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Refined products marine terminals. </w:t>
      </w:r>
      <w:r>
        <w:rPr>
          <w:rFonts w:ascii="Arial" w:cs="Arial" w:eastAsia="Arial" w:hAnsi="Arial"/>
          <w:sz w:val="18"/>
          <w:szCs w:val="18"/>
          <w:color w:val="auto"/>
        </w:rPr>
        <w:t>We own and operate marine terminals located on the Neches River near Beaumont, Texas that handle refined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along with crude oil. Our Beaumont facilities include five deep-water ship docks, three barge docks and access to approximately 10.9 MMBbls of aggregate refined products storage capacity.</w:t>
      </w:r>
    </w:p>
    <w:p>
      <w:pPr>
        <w:spacing w:after="0" w:line="20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also handle refined products at EHT on the Houston Ship Channel. In addition to providing vessel loading and unloading services for refined products, EHT’s refined products operations include 2.0 MMBbls of aggregate storage capacity through the use of 24 above-ground storage tanks.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from these marine terminals are primarily dependent upon the volume handled and the associated storage and other fees we charge.</w:t>
      </w:r>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Refined products marketing activities. </w:t>
      </w:r>
      <w:r>
        <w:rPr>
          <w:rFonts w:ascii="Arial" w:cs="Arial" w:eastAsia="Arial" w:hAnsi="Arial"/>
          <w:sz w:val="18"/>
          <w:szCs w:val="18"/>
          <w:color w:val="auto"/>
        </w:rPr>
        <w:t>Our refined products marketing activities generate revenues from the sale and delivery of refined products obtained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open market. The results of operations from our refined products marketing activities are primarily dependent upon the difference, or spread, between product sales prices and the associated purchase and other costs, including those costs attributable to the use of our other assets. In general, we sell our refined products at market-based prices, which may include pricing differentials for factors such as grade and delivery location. We use derivative instruments to mitigate our exposure to commodity price risks associated with our refined products marketing activities. For a discussion of our commodity hedging program, see Part II, Item 7A of this annual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Ethylene export terminal and related operations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December 2019, we placed our ethylene export terminal into limited service, with the first cargo of 25 million pounds of ethylene exported in January 2020. The terminal, which we operate, is located at our Morgan’s Point facility on the Houston Ship Channel and features two docks and the capacity to load 2.2 billion pounds of ethylene per year. A refrigerated storage tank for 66 million pounds of ethylene is being constructed on-site that will allow the terminal to load ethylene up to a rate of 2.2 million pounds per hour. Full commercial operations at the terminal are expected in the fourth quarter of 2020 once certain refrigeration assets are complete. We own a 50% member interest in Enterprise Navigator Ethylene Terminal LLC, which owns the export facility.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ethylene system is being developed to serve as an open market storage and trading hub for the ethylene industry using storage capacity, connections to multiple ethylene pipelines, and high-volume export capabilities. In support of our ethylene business, we recently placed into service a high-capacity underground ethylene storage well at our Mont Belvieu complex having a storage capacity of 600 million pounds of ethylene. The storage well is connected to our Morgan’s Point ethylene export terminal by a 16-mile pipeline, which was placed into service in December 2019. An additional nine miles of ethylene pipelines extending from Morgan’s Point to Bayport, Texas are under construction and expected to be completed and placed into service in the fourth quarter of 2020.</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2019, we announced plans to further expand our ethylene pipeline and logistics system by constructing the </w:t>
      </w:r>
      <w:r>
        <w:rPr>
          <w:rFonts w:ascii="Arial" w:cs="Arial" w:eastAsia="Arial" w:hAnsi="Arial"/>
          <w:sz w:val="18"/>
          <w:szCs w:val="18"/>
          <w:i w:val="1"/>
          <w:iCs w:val="1"/>
          <w:color w:val="auto"/>
        </w:rPr>
        <w:t>Baymark</w:t>
      </w:r>
      <w:r>
        <w:rPr>
          <w:rFonts w:ascii="Arial" w:cs="Arial" w:eastAsia="Arial" w:hAnsi="Arial"/>
          <w:sz w:val="18"/>
          <w:szCs w:val="18"/>
          <w:color w:val="auto"/>
        </w:rPr>
        <w:t xml:space="preserve"> ethylene pipeline in South Texas, which is a leading growth area for new ethylene crackers and related facilities. The Baymark pipeline will originate in Bayport, Texas and extend approximately 90 miles to Markham, Texas. The Baymark pipeline is supported by long-term customer commitments and is expected to begin service in the fourth quarter of 2020. We will own a 70% interest in and operate the Baymark pipeline. Customers using the Baymark pipeline will have access to our high-capacity ethylene storage well in Mont Belvieu and our export terminal at Morgan’s Point.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Marine transportation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Our marine transportation business consists of 66 tow boats and 153 tank barges used to transport refined products, crude oil, asphalt, condensate, heavy fuel oil, LPG and other petroleum products along key U.S. inland and intracoastal waterway systems. The marine transportation industry uses tow boats as power sources and tank barges for freight capacity. Our marine transportation assets serve refinery and storage terminal customers along the Mississippi River, the Intracoastal Waterway between Texas and Florida and the Tennessee-Tombigbee Waterway system. We own and operate shipyard and repair facilities located in Houma and Morgan City, Louisiana and marine fleeting facilities located in Bourg, Louisiana and Channelview, Texas.</w:t>
      </w:r>
    </w:p>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results of operations from our marine transportation business are generally dependent upon the level of fees charged (e.g., set day rates or fee per cargo movement) to transport petroleum products.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fleet of marine vessels operated at an average utilization rate of 94.0%, 93.5% and 86.3% during the years ended December 31, 2019, 2018 and 2017, respectively.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marine transportation business is subject to regulation, including by the U.S. Department of Transportation (“DOT”), Department of Homeland Security, U.S. Department of Commerce and the U.S. Coast Guard (“USCG”). For information regarding these regulations, see “Regulatory Matters – Federal Regulation of Marine Operations,” within this Part I, Items 1 and 2 discussion.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information describes the principal effects of regulation on our operations, including those regulations involving safety and environmental matters and the rates we charge customers for transportation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Safety and Conservation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safe operation of our pipelines and other assets is a top priority. We are committed to protecting the environment and the health and safety of the public and those working on our behalf by conducting our business activities in a safe and environmentally responsible manner.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Occupational Safety and Health</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facilities are subject to general industry requirements of the Federal Occupational Safety and Health Act, as amended (“OSHA”), and comparable state statutes. We believe we are in material compliance with OSHA and similar state requirements, including general industry standards, record keeping requirements and monitoring of occupational exposures of employees.</w:t>
      </w:r>
    </w:p>
    <w:p>
      <w:pPr>
        <w:spacing w:after="0" w:line="2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of our facilities are also subject to OSHA Process Safety Management (“PSM”) regulations, which are designed to prevent or minimize the consequences of catastrophic releases of toxic, reactive, flammable or explosive chemicals. These regulations apply to any process involving certain chemicals, flammable gases or liquids at or above a specified threshold (as defined in the regulations). In addition, we are subject to Risk Management Plan regulations of the U.S. Environmental Protection Agency (“EPA”) at certain facilities. These regulations are intended to complement the OSHA PSM regulations. These EPA regulations require us to develop and implement a risk management program that includes a five-year accident history report, an offsite consequence analysis process, a prevention program and an emergency response program. We believe we are operating in material compliance with the OSHA PSM regulations and the EPA’s Risk Management Plan requirements.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OSHA hazard communication standard, the community right-to-know regulations under Title III of the federal Superfund Amendments and Reauthorization Act, and comparable state statutes require us to organize and disclose information about the hazardous materials used in our operations. Certain parts of this information must be reported to federal, state and local governmental authorities and local citizens upon request. These laws and provisions of the Comprehensive Environmental Response, Compensation, and Liability Act (“CERCLA”) require us to report spills and releases of hazardous chemicals in certain situations.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Pipeline Safety</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subject to extensive regulation by the DOT as authorized under various provisions of Title 49 of the United States Code and comparable state statutes relating to the design, installation, testing, construction, operation, replacement and management of our pipeline facilities. These statutes require companies that own or operate pipelines to (i) comply with such regulations, (ii) permit access to and copying of pertinent records, (iii) file certain reports and (iv) provide information as required by the U.S. Secretary of Transportation. The DOT regulates natural gas and hazardous liquids pipelines through its Pipeline and Hazardous Materials Safety Administration (“PHMSA”). We believe we are in material compliance with DOT regulations.</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also subject to DOT pipeline integrity management regulations that specify how companies should assess, evaluate, validate and maintain the integrity of pipeline segments that, in the event of a release, could impact High Consequence Areas (“HCAs”). HCAs include populated areas, unusually sensitive areas and commercially navigable waterways. These regulations require the development and implementation of an integrity management program that utilizes internal pipeline inspection techniques, pressure testing or other equally effective means to assess the integrity of pipeline segments in HCAs. These regulations also require periodic review of pipeline segments in HCAs to ensure that adequate preventive and mitigative measures exist and that companies take prompt action to address integrity issues raised in the assessment and analysis process. We have identified our pipeline segments in HCAs and developed an appropriate integrity management program for such assets.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Pipeline Safety, Regulatory Certainty, and Job Creation Act of 2011 (the “Pipeline Safety Act”) provides for regulatory oversight of the nation’s pipelines, penalties for violations of pipeline safety rules, and other DOT matters. The Pipeline Safety Act currently provides for penalties involving non-compliance with DOT regulations of $0.2 million for a single violation and a maximum fine for the most serious pipeline safety violations (e.g., those violations resulting in deaths, injuries or major environmental harm) of approximately $2.2 million per incident. In addition, the Pipeline Safety Act includes additional safety requirements for newly constructed pipelines.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June 2016, the “Securing America’s Future Energy: Protecting our Infrastructure of Pipelines and Enhancing Safety Act of 2016” (the “SAFE PIPES Act”) was signed into law. The SAFE PIPES Act extends the PHMSA’s statutory mandate through 2019 and establishes or continues the development of requirements affecting pipeline safety including, but not limited to, the following: (i) providing the PHMSA with additional authority to address imminent hazards by imposing emergency restrictions, prohibitions and safety measures on owners and operators of gas or hazardous liquid pipeline facilities, without prior notice or an opportunity for a hearing; (ii) obligating the PHMSA to develop safety standards for natural gas storage facilities; and (iii) requiring the PHMSA to complete certain of the outstanding mandates under existing legislation and to report to Congress on the status of overdue rulemakings. The SAFE PIPES Act also empowered PHMSA to address unsafe conditions or practices constituting imminent hazards by imposing emergency restrictions, prohibitions and safety measures on owners and operators of gas or hazardous liquid pipeline facilities without prior notice or an opportunity for a hearing. PHMSA published an interim rule in October 2016 and a final rule on October 1, 2019 to implement the agency’s expanded authority to address imminent hazards to life, property, or the environment.</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response to the SAFE PIPES Act, PHMSA also issued an interim final rule in December 2016 and a final rule in January 2020 adopting federal safety regulations and reporting requirements for underground natural gas storage facilities. The final rule incorporates by reference American Petroleum Institute Recommended Practices 1170 and 1171, which outline safety standards for underground natural gas storage facilities and provide a minimum federal standard for inspection, enforcement and training.</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DOT regulations have also incorporated by reference American Petroleum Institute Standard 653 (“API 653”) as the industry standard for the inspection, repair, alteration and reconstruction of above-ground storage tanks. API 653 requires that above-ground storage tanks undergo regularly scheduled maintenance, which may result in significant and unanticipated expenditures for repairs or upgrades that are deemed necessary to ensure the continued safe and reliable operation of such tanks.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2015, PHMSA issued proposed new or revised regulations under the Pipeline Safety Act and the SAFE PIPES Act that may impact our hazardous liquids pipelines. Several elements of the proposed rules were incorporated into a final rule issued by PHMSA in October 2019, significantly extending and expanding the reach of certain PHMSA integrity management requirements (for example, periodic assessments and expanded use of leak detection systems), regardless of the pipeline’s proximity to an HCA. The final rule also requires all hazardous liquid pipelines in or affecting an HCA to be capable of accommodating in-line inspection tools within the next 20 years. In addition, the final rule extends annual, accident and safety-related conditional reporting requirements to gravity lines and certain gathering lines and also imposes inspection requirements on pipelines in areas affected by extreme weather events and natural disasters, such as hurricanes, landslides, floods, earthquakes or other similar events that are likely to damage infrastructure. This final rule becomes effective July 1, 2020.</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March 2016, PHMSA issued proposed new safety regulations for natural gas transmission pipelines that broaden the scope of safety coverage in several ways, including but not limited to: (i) modifying the regulation of gathering lines by eliminating the exemption from reporting requirements for gas gathering line operators and revising the definition for gathering lines; (ii) adding new assessment and revising repair criteria for pipeline segments in HCAs and establishing repair criteria for pipelines that are outside of HCAs; (iii) expanding the scope of the regulations to include pipelines located in areas of Moderate Consequence Areas (“MCAs”); (iv) adding a requirement to test pipelines built before 1970, which are currently exempt from certain pipeline safety requirements; (v) modifying the way that pipeline operators secure and inspect transmission pipeline infrastructure following extreme weather events; (vi) clarifying requirements for conducting risk assessment associated with integrity management activities; (vii) expanding mandatory data collection and integration requirements associated with integrity management activities, including data validation; (viii) requiring new safety features for pipeline “pig” launchers and receivers; and (ix) requiring a systematic approach to verify a pipeline’s maximum allowable operating pressure and requiring operators to report maximum allowable operating pressure exceedances. PHMSA has since decided to split its 2016 proposed rule, which has become known as the “gas mega rule,” into three separate rulemakings to facilitate completion. The first of these three rulemakings, relating to onshore gas transmission pipelines, was published as a final rule on October 1, 2019, becomes effective on July 1, 2020, and imposes numerous requirements on such pipelines, including maximum allowable operating pressure (“MAOP”) reconfirmation, the periodic assessment of these pipelines in populated areas not designated as HCAs, the reporting of exceedances of MAOP, and the consideration of seismicity as a risk factor in integrity management. The remaining rulemakings comprising the gas mega rule are expected to be issued in 2020.</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PHMSA has also issued a final rule, which became effective in January 2019, that amends pipeline safety regulations covering the types, design, and installation of plastic materials that can be used to transport natural gas. The new rule permits the use of PVC pipe, adopts a variety of applicable industry standards, and revises regulations related to storage and handling, component design, valve design, standard fittings, and pipe testing associated with the use of plastic pipe.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development and/or implementation of more stringent requirements pursuant to regulations implementing all of the requirements of the Pipeline Safety Act or the SAFE PIPES Act, or legislation that is expected to be introduced to reauthorize PHMSA pipeline safety programs, as well as any implementation of the PHMSA rules thereunder or reinterpretation of guidance by PHMSA or any state agencies with respect thereto, may result in us incurring significant and unanticipated expenditures to comply with such standards. Until the proposed regulations are finalized, the impact on our operations, if any, is not known.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Environmental Matters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operations are subject to various environmental and safety requirements and potential liabilities under extensive federal, state and local laws and regulations. These include, without limitation: CERCLA; the Resource Conservation and Recovery Act (“RCRA”); the Federal Clean Air Act (“CAA”); the Clean Water Act (“CWA”); the Oil Pollution Act of 1990 (“OPA”); the OSHA; the Emergency Planning and Community Right-to-Know Act; the National Historic Preservation Act; and comparable or analogous state and local laws and regulations. Such laws and regulations affect many aspects of our present and future operations, and generally require us to obtain and comply with a wide variety of environmental registrations, licenses, permits, inspections and other approvals with respect to air emissions, water quality, wastewater discharges and solid and hazardous waste management. Failure to comply with these requirements may expose us to fines, penalties and/or interruptions in our operations that could have a material adverse effect on our financial position, results of operations and cash flows.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 leak, spill or release of hazardous substances occurs at any facilities that we own, operate or otherwise use, or where we send materials for treatment or disposal, we could be held liable for all resulting liabilities, including investigation, remedial and clean-up costs. Likewise, we could be required to remove previously disposed waste products or remediate contaminated property, including situations where groundwater has been impacted. Any or all of these developments could have a material adverse effect on our financial position, results of operations and cash flows.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our operations are in material compliance with existing environmental and safety laws and regulations and that our compliance with such regulations will not have a material adverse effect on our financial position, results of operations and cash flows. However, environmental and safety laws and regulations are subject to change. The trend in environmental regulation has been to place more restrictions and limitations on activities that may be perceived to impact the environment, and thus there can be no assurance as to the amount or timing of future expenditures for environmental regulation compliance or remediation. New or revised regulations that result in increased compliance costs or additional operating restrictions, particularly if those costs are not fully recoverable from our customers, could have a material adverse effect on our financial position, results of operations and cash flows.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occasion, we are assessed monetary sanctions by governmental authorities related to administrative or judicial proceedings involving environmental matters. See Part I, Item 3 of this annual report for additional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Air Quality</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operations are associated with regulated, permitted emissions of air pollutants. As a result, we are subject to the CAA and comparable state laws and regulations including state air quality implementation plans. These laws and regulations regulate emissions of air pollutants from various industrial sources, including certain of our facilities, and also impose various monitoring and reporting requirements. These laws and regulations may also require that we (i) obtain pre-approval for the construction or modification of certain projects or facilities expected to produce air emissions or result in an increase in existing levels of air emissions, (ii) obtain and strictly comply with the requirements of air permits containing various emission and operational limitations, or (iii) utilize specific emission control technologies to limit emissions.</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Increasingly, environmental groups are challenging requests to modify or renew permits and seeking to apply more stringent provisions on applicants. Our failure to comply with applicable requirements could subject us to monetary penalties, injunctions, conditions or restrictions on operations, including enforcement actions, and our inability to renew or secure a needed modification to an existing permit could adversely affect our operations. We may also be required to incur certain capital expenditures for air pollution control equipment in connection with obtaining and maintaining permits and approvals for air emissions.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Water Quality</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CWA and comparable state laws impose strict controls on the discharge of petroleum and its derivatives into regulated waters. The CWA provides penalties for any discharge of petroleum products in reportable quantities and imposes substantial potential liability for the costs of removing petroleum or other hazardous substances. State laws for the control of water pollution also provide varying civil and criminal penalties and liabilities in the case of a release of petroleum or its derivatives into navigable waters or groundwater. Federal spill prevention control and countermeasure mandates require appropriate containment berms and similar structures to help prevent a petroleum tank release from impacting regulated waters. The EPA has also adopted regulations that require us to have permits in order to discharge certain storm water run-off. Storm water discharge permits may also be required by certain states in which we operate and may impose monitoring and other requirements. The CWA prohibits discharges of dredged and fill material in wetlands and other waters of the U.S. unless authorized by an appropriately issued permit. We believe that our costs of compliance with these CWA requirements will not have a material adverse effect on our financial position, results of operations and cash flows.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federal law for crude oil spill liability is the OPA, which addresses three principal areas of crude oil pollution: prevention, containment and clean-up, and liability. The OPA applies to vessels, deepwater ports, offshore production platforms and onshore facilities, including terminals, pipelines and transfer facilities. In order to handle, store or transport crude oil above certain thresholds, onshore facilities are required to file oil spill response plans with the USCG, the DOT’s Office of Pipeline Safety (“OPS”) or the EPA, as appropriate. Numerous states have enacted laws similar to the OPA. Under the OPA and similar state laws, responsible parties for a regulated facility from which crude oil is discharged may be liable for remediation costs, including damage to surrounding natural resources. Any unpermitted release of petroleum or other pollutants from our pipelines or facilities could result in fines or penalties as well as significant remediation costs.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Contamination resulting from spills or releases of petroleum products is an inherent risk within the pipeline industry.</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To the extent that groundwater contamination requiring remediation exists along our pipeline systems or other facilities as a result of historical operations, we believe any such contamination could be controlled or remedied; however, such costs are site specific and there is no assurance that the impact will not be material in the aggregate.</w:t>
      </w:r>
    </w:p>
    <w:p>
      <w:pPr>
        <w:spacing w:after="0" w:line="2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Environmental groups have instituted lawsuits regarding certain nationwide permits issued by the U.S. Army Corps of Engineers. These permits allow for streamlined permitting of pipeline projects. If these lawsuits are successful, timelines for future pipeline construction projects could be adversely impacted.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Disposal of Hazardous and Non-Hazardous Wastes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normal operations, we generate hazardous and non-hazardous solid wastes that are subject to requirements of the federal RCRA and comparable state statutes, which impose detailed requirements for the handling, storage, treatment and disposal of solid waste. We also utilize waste minimization and recycling processes to reduce the volumes of our solid wastes.</w:t>
      </w:r>
    </w:p>
    <w:p>
      <w:pPr>
        <w:spacing w:after="0" w:line="2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CERCLA, also known as “Superfund,” imposes liability, often without regard to fault or the legality of the original act, on certain classes of persons who contributed to the release of a “hazardous substance” into the environment. These persons include the owner or operator of a facility where a release occurred and companies that disposed or arranged for the disposal of hazardous substances found at a facility. Under CERCLA, responsible parties may be subject to joint and several liability for the costs of cleaning up the hazardous substances that have been released into the environment, for damages to natural resources and for the costs of certain health studies. CERCLA and RCRA also authorize the EPA and, in some instances, third parties to take actions in response to threats to the public health or the environment and to seek to recover the costs they incur from the responsible parties. It is not uncommon for neighboring landowners and other third parties to file claims for personal injury and property damage allegedly caused by hazardous substances or other pollutants released into the environment. In the course of our ordinary operations, our pipeline systems and other facilities generate wastes that may fall within CERCLA’s definition of a “hazardous substance” or be subject to CERCLA and RCRA remediation requirements. It is possible that we could incur liability for remediation, or reimbursement of remediation costs, under CERCLA or RCRA for remediation at sites we currently own or operate, whether as a result of our or our predecessors’ operations, at sites that we previously owned or operated, or at disposal facilities previously used by us, even if such disposal was legal at the time it was undertaken.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Endangered Species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federal Endangered Species Act, as amended, and comparable state laws, may restrict commercial or other activities that affect endangered and threatened species or their habitats. Some of our current or future planned facilities may be located in areas that are designated as a habitat for endangered or threatened species and, if so, may limit or impose increased costs on facility construction or operation. In addition, the designation of previously unidentified endangered or threatened species could cause us to incur additional costs or become subject to operating restrictions or bans in the affected areas.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FERC Regulation – Liquids Pipelines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NGL, refined products and crude oil pipeline systems have interstate common carrier movements subject to regulation by the FERC under the Interstate Commerce Act (“ICA”). Pipelines providing such movements (referred to as “interstate liquids pipelines”) include, but are not limited to, the following: ATEX, Aegis, Dixie Pipeline, TE Products Pipeline, Front Range Pipeline, Mid-America Pipeline System, Seaway Pipeline, Seminole NGL Pipeline and Texas Express Pipeline. These pipelines are owned by legal entities whose movements are subject to FERC regulation, including periodic reporting requirements. For example, ATEX, Aegis and the TE Products Pipeline are owned by Enterprise TE Products Pipeline Company LLC (“Enterprise TE”), which provides FERC-regulated movements.</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ICA prescribes that the rates we charge for transportation on these interstate liquids pipelines must be just and reasonable, and that the rules applied to our services not unduly discriminate against or confer any undue preference upon any shipper. The FERC regulations implementing the ICA further require that interstate liquids pipeline transportation rates and rules be filed with the FERC. The ICA permits interested persons to challenge proposed new or changed rates or rules, and authorizes the FERC to investigate such changes and to suspend their effectiveness for a period of up to seven months. Upon completion of such an investigation, the FERC may require refunds of amounts collected above what it finds to be a just and reasonable level, together with interest. The FERC may also investigate, upon complaint or on its own motion, rates and related rules that are already in effect, and may order a carrier to change them prospectively. Upon an appropriate showing, a shipper may obtain reparations (including interest) for damages sustained for a period of up to two years prior to the filing of its complaint.</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rates charged for our interstate liquids pipeline services are generally based on a FERC-approved indexing methodology, which allows a pipeline to charge rates up to a prescribed ceiling that changes annually based on the year-to-year change in the U.S. Producer Price Index for Finished Goods (“PPI”). A rate increase within the indexed rate ceiling is presumed to be just and reasonable unless a protesting party can demonstrate that the rate increase is substantially in excess of the pipeline’s operating costs. For the five-year period ending June 30, 2021, we are permitted to adjust the indexed rate ceiling annually by PPI plus 1.23%. In any year in which the index is negative due to a decline in the PPI, a pipeline must file to lower its rates if they otherwise would be above the indexed rate ceiling. Otherwise, a pipeline is permitted to increase its rates to the new ceiling. As an alternative to this indexing methodology, we may also choose to support changes in our rates based on a cost-of-service methodology, by obtaining advance approval to charge “market-based rates,” or by charging “settlement rates” agreed to by all affected shippers.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2014, Seaway submitted an application requesting market-based rate setting authority. Certain parties filed protests to the application. In September 2015, the FERC issued an order setting the matter for hearing. In December 2016, an administrative law judge issued an initial decision in the market-based rate proceeding (“2016 Initial Decision”) finding that the FERC should grant Seaway’s application for market-based rates. In May 2018, the FERC issued an order affirming the initial decision’s finding that Seaway lacks market power in the applicable markets, thereby granting Seaway market-based rate authority.</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2016, the FERC issued an Advance Notice of Proposed Rulemaking that sought comments regarding potential modifications to its policies for evaluating changes in oil pipeline indexed rates and the associated reporting requirements. The FERC observed that some pipelines continue to obtain additional index rate increases despite reporting on Form No. 6 that their revenues exceed their costs. The FERC is considering whether to propose a new policy that would deny proposed index increases if a pipeline’s Form No. 6 reflects (i) revenues that exceed the total cost-of-service by 15% for the two preceding years or (ii) the proposed increase in the rate index exceeds the percentage change in the pipeline’s annual costs by 5%. The FERC is also considering requiring pipelines to file additional information for crude and refined product pipelines, non-contiguous systems and major pipeline systems. Comments on these proposals were filed with the FERC through March 2017; however, the FERC has taken no position at this time and we are unable to predict the outcome of this proceeding.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2018, the FERC issued a Revised Policy Statement on the Treatment of Income Taxes (the “Revised Policy”). The Revised Policy reversed a 13-year old policy that permitted a pipeline owned by a master limited partnership (“MLP”) to recover an income tax allowance (“ITA”) in its cost-of-service rates, if it could demonstrate that the ultimate owners of the pipeline (i.e., the unitholders of the MLP) have an actual or potential income tax liability. In July 2018, the FERC, in an Order on Rehearing, decided to provide pipeline MLPs the opportunity to argue for inclusion of an ITA in cost-of-service rates on a case-by-case basis, as opposed to having no opportunity to recover an ITA. Two third parties filed petitions for review of the Revised Policy and Order on Rehearing in the D.C. Circuit in September 2018 and the matters are pending. We are unable to predict the outcome of these pending proceedings.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Revised Policy and Order on Rehearing do not impact oil and liquids pipelines with market-based rate authority, or those that charge “settlement rates,” and have no immediate effect on oil and liquid pipelines with rates set using the indexing methodology, given that the current index will remain in effect through June 30, 2021. However, following issuance of the Revised Policy, the FERC now requires oil and liquids pipelines owned by MLPs to remove the ITA from their cost-of-service reporting in FERC Form No. 6. The FERC has stated that it will incorporate the effects of this change when it commences its next five-year review of the oil pipeline index in 2020, for rates that will take effect on July 1, 2021. The FERC has not yet commenced this proceeding and we are unable predict the outcome at this time.</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in the FERC’s methodologies for approving rates could adversely affect us. In addition, challenges to our regulated rates could be filed with the FERC and future decisions by the FERC regarding our regulated rates could adversely affect our cash flows. We believe the transportation rates currently charged by our interstate liquids pipelines are in accordance with the ICA and applicable FERC regulations. However, we cannot predict the rates we will be allowed to charge in the future for transportation services by such pipelines.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FERC Regulation – Natural Gas Pipelines and Related Matters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of our intrastate natural gas pipelines, including the Texas Intrastate System and Acadian Gas System, are subject to regulation by the FERC under the Natural Gas Policy Act of 1978 (“NGPA”), in connection with the transportation and storage services they provide pursuant to Section 311 of the NGPA. Under Section 311, along with the FERC’s implementing regulations, an intrastate pipeline may transport gas “on behalf of” an interstate pipeline company or any local distribution company served by an interstate pipeline, without becoming subject to the FERC’s broader regulatory authority under the Natural Gas Act of 1938 (“NGA”). These services must be provided on an open and nondiscriminatory basis, and the rates charged for these services may not exceed a “fair and equitable” level as determined by the FERC in periodic rate proceedings.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2018, the FERC issued a final rule to address the impact of the Tax Cuts and Jobs Act on cost-of-service rates for jurisdictional natural gas pipelines. The final rule primarily impacts interstate pipelines regulated under the NGA. With respect to intrastate pipelines regulated by the FERC under the NGPA, the rule requires an intrastate pipeline with rates on file with a state regulatory agency to file with the FERC a new rate election for its interstate rates if the state rates are reduced to reflect the reduced income tax rates adopted in the Tax Cuts and Jobs Act. As of the date of this report, we have not been required to refile the rates for our intrastate systems as a result of this rule.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the transportation rates currently charged and the services performed by our natural gas pipelines are all in accordance with the applicable requirements of the NGPA and FERC regulations. However, we cannot predict the rates we will be allowed to charge in the future for transportation services by our pipelines.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resale of natural gas in interstate commerce is subject to FERC oversight. In order to increase transparency in natural gas markets, the FERC has established rules requiring the annual reporting of data regarding natural gas sales. The FERC has also established regulations that prohibit manipulation of energy markets. A violation of the FERC’s regulations may subject us to civil penalties, suspension or loss of authorization to perform services or make sales of natural gas, disgorgement of unjust profits or other appropriate non-monetary remedies imposed by the FERC. Pursuant to the Energy Policy Act of 2005, the potential civil and criminal penalties for any violation of the NGPA, or any rules, regulations or orders of the FERC, were $1.2 million per day per violation as of January 2018. The Federal Trade Commission and the Commodity Futures Trading Commission (“CFTC”) have also issued rules and regulations prohibiting energy market manipulation. We believe that our natural gas sales activities are in compliance with all applicable regulatory requirements.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Regulation of Pipeline Transportation Services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Transportation services rendered by our intrastate liquids and natural gas pipelines are subject to regulation in many states, including Alabama, Colorado, Illinois, Kansas, Louisiana, Minnesota, Mississippi, New Mexico, Oklahoma, Texas and Wyoming. Although the applicable state statutes and regulations vary widely, they generally require that intrastate pipelines publish tariffs setting forth all rates, rules and regulations applying to intrastate service, and generally require that pipeline rates and practices be reasonable and nondiscriminatory.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Regulation of Marine Operations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operation of tow boats, barges and marine equipment create obligations involving property, personnel and cargo under General Maritime Law. These obligations create a variety of risks including, among other things, the risk of collision and allision, which may precipitate claims for personal injury, cargo, contract, pollution, third party claims and property damages to vessels and facilities.</w:t>
      </w:r>
    </w:p>
    <w:p>
      <w:pPr>
        <w:spacing w:after="0" w:line="2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subject to the Jones Act and other federal laws that restrict maritime transportation between U.S. departure and destination points to vessels built and registered in the U.S. and owned and manned by U.S. citizens. As a result of this ownership requirement, we are responsible for monitoring the foreign ownership of our common units and other partnership interests. If we do not comply with such requirements, we would be prohibited from operating our vessels in U.S. coastwise trade, and under certain circumstances we would be deemed to have undertaken an unapproved foreign transfer, resulting in severe penalties, including permanent loss of U.S. coastwise trading rights for our vessels, fines or forfeiture of the vessels. In addition, the USCG and American Bureau of Shipping maintain the most stringent regime of vessel inspection in the world, which tends to result in higher regulatory compliance costs for U.S.-flagged operators than for owners of vessels registered under foreign flags of convenience. Our marine operations are also subject to the Merchant Marine Act of 1936, which under certain conditions would allow the U.S. government to requisition our marine assets in the event of a national emergency.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Discussion</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is considerable discussion over climate change and the environmental effects of greenhouse gas emissions and their associated consequences on global climate, oceans and ecosystems. As a commercial enterprise, we are not in a position to validate or repudiate the existence of global warming or various aspects of the scientific discussion. However, if global warming is occurring, it could have a long-term impact on our operations. For example, our facilities that are located in low lying areas such as the coastal regions of Louisiana and Texas may be at increased risk due to flooding, rising sea levels, or disruption of operations from more frequent and severe weather events. Facilities in areas with limited water availability may be impacted if droughts become more frequent or severe. Changes in climate or weather may hinder exploration and production activities or increase the cost of production of oil and gas resources and consequently affect the volume of hydrocarbon products entering our system. Changes in climate or weather may also affect consumer demand for energy or alter the overall energy mix.</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response to scientific studies suggesting that emissions of certain gases, commonly referred to as greenhouse gases, including gases associated with oil and natural gas production such as carbon dioxide, methane and nitrous oxide among others, may be contributing to a warming of the earth’s atmosphere and other adverse environmental effects, various governmental authorities have considered or taken actions to reduce emissions of greenhouse gases. For example, the EPA has taken action under the CAA to regulate greenhouse gas emissions. In addition, certain states (individually or in regional cooperation), including states in which some of our facilities or operations are located, have taken or proposed measures to reduce emissions of greenhouse gases. Also, the U.S. Congress from time to time has proposed legislative measures for imposing restrictions or requiring emissions fees for greenhouse gases.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Actions have also taken place at the international level, with the U.S. being involved. Various policies and approaches, including establishing a cap on emissions, requiring efficiency measures, or providing incentives for pollution reduction, use of renewable energy, or use of replacement fuels with lower carbon content are under discussion and have and may continue to result in additional actions involving greenhouse gases.</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These federal, regional and state measures generally apply to industrial sources (including facilities in the oil and gas sector) and suppliers and distributors of fuel, and could increase the operating and compliance costs of our pipelines, natural gas processing facilities, fractionation plants and other facilities, and the costs of certain sale and distribution activities. These regulations could also adversely affect market demand and pricing for products handled by our midstream network, by affecting the price of, or reducing the demand for, fossil fuels or providing competitive advantages to competing fuels and energy sources. The potential increase in the costs of our operations could include costs to operate and maintain our facilities, install new emission controls on our facilities, acquire allowances to authorize our greenhouse gas emissions, pay taxes related to our greenhouse gas emissions, or administer and manage a greenhouse gas emissions program. While we may be able to include some or all of such increased costs in the rates charged by our pipelines or other facilities, such recovery of costs is uncertain and may depend on events beyond our control, including the outcome of future rate proceedings before the FERC and the provisions of any final regulations. In addition, changes in regulatory policies that result in a reduction in the demand for hydrocarbon products that are deemed to contribute to greenhouse gases, or restrictions on their use, may reduce volumes available to us for processing, transportation, marketing and storage.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Pipelines &amp; Services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Within their respective market areas, our natural gas processing facilities and related NGL marketing activities encounter competition primarily from independent processors, major integrated oil companies, and financial institutions with commodity trading platforms. Each of our marketing competitors has varying levels of financial and personnel resources, and competition generally revolves around price, quality of customer service and proximity to customers and other market hubs. In the markets served by our NGL pipelines, we compete with a number of intrastate and interstate pipeline companies (including those affiliated with major oil, petrochemical and natural gas companies) and barge, rail and truck fleet operations. In general, our NGL pipelines compete with these entities in terms of transportation fees, reliability and quality of customer service.</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primary competitors in the NGL and related product storage business are major integrated oil companies, chemical companies and other storage and pipeline companies. We compete with other storage service providers primarily in terms of the fees charged, number of pipeline connections provided and operational dependability. Our export terminal operations compete with those operated by major oil and gas and chemical companies and other midstream service providers primarily in terms of loading and offloading throughput capacity and access to related pipeline and storage infrastructure.</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compete with a number of NGL fractionators in Kansas, Louisiana, New Mexico and Texas. Competition for such services is primarily based on the fractionation fee charged. However, the ability of an NGL fractionator to receive a customer’s mixed NGLs and store and distribute the resulting purity NGL products is also an important competitive factor and is a function of having the necessary pipeline and storage infrastructure.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Pipelines &amp; Services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Within their respective market areas, our crude oil pipelines, storage and marine terminals and related marketing activities compete with other crude oil pipeline companies, rail carriers, major integrated oil companies and their marketing affiliates, financial institutions with commodity trading platforms and independent crude oil gathering and marketing companies. The crude oil business can be characterized by intense competition for supplies of crude oil at the wellhead. Competition is based primarily on quality of customer service, competitive pricing and proximity to customers and market hubs.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Pipelines &amp; Services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natural gas gathering business, we encounter competition in obtaining contracts to gather natural gas supplies, particularly new supplies. Competition in natural gas gathering is based in large part on reputation, efficiency, system reliability, gathering system capacity and pricing arrangements. Our key competitors in the natural gas gathering business include independent gas gatherers and major integrated energy companies. Our natural gas marketing activities compete primarily with other natural gas pipeline companies and their marketing affiliates as well as standalone natural gas marketing and trading firms. Competition in the natural gas marketing business is based primarily on competitive pricing, proximity to customers and market hubs, and quality of customer service.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Petrochemical &amp; Refined Products Services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compete with numerous producers of PGP, which include many of the major refiners and petrochemical companies located along the Gulf Coast, in terms of the level of toll processing fees charged and access to pipeline and storage infrastructure. Our petrochemical marketing activities encounter competition from major integrated oil companies and various petrochemical companies that have varying levels of financial and personnel resources and competition generally revolves around product price, quality of customer service, logistics and location.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our isomerization operations, we compete primarily with facilities located in Kansas, Louisiana and New Mexico. Competitive factors affecting this business include the level of toll processing fees charged, the quality of isobutane that can be produced and access to supporting pipeline and storage infrastructure. We compete with other octane additive manufacturing companies primarily on the basis of price.</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With respect to our TE Products Pipeline, the pipeline’s most significant competitors are third party pipelines in the areas where it delivers products. Competition among common carrier pipelines is based primarily on transportation fees, quality of customer service and proximity to end users. Trucks, barges and railroads competitively deliver products into some of the markets served by our TE Products Pipeline and river terminals. The TE Products Pipeline also faces competition from rail and pipeline movements of NGLs from Canada and waterborne imports into terminals located along the upper East Coast.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marine transportation business competes with other inland marine transportation companies as well as providers of other modes of transportation, such as rail tank cars, tractor-trailer tank trucks and, to a limited extent, pipelines. Competition within the marine transportation business is largely based on performance and price. Also, substantial new construction of inland marine vessels could create an oversupply and intensify competition for our marine transportation business.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discussion of the general risks involving competition, see “We face competition from third parties in our midstream energy business” under Part I, Item 1A of this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Although the majority of our businesses are not materially affected by seasonality, certain aspects of our operations are impacted by seasonal changes such as tropical weather events, energy demand in connection with heating and cooling requirements and for the summer driving season. Examples include:</w:t>
      </w:r>
    </w:p>
    <w:p>
      <w:pPr>
        <w:spacing w:after="0" w:line="151" w:lineRule="exact"/>
        <w:rPr>
          <w:sz w:val="20"/>
          <w:szCs w:val="20"/>
          <w:color w:val="auto"/>
        </w:rPr>
      </w:pPr>
    </w:p>
    <w:p>
      <w:pPr>
        <w:ind w:left="340" w:right="2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operations along the Gulf Coast, including those at our Mont Belvieu complex, may be affected by weather events such as hurricanes and tropical storms, which generally arise during the summer and fall months.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left="34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Residential demand for natural gas typically peaks during the winter months in connection with heating needs and during the summer months for power generation for air conditioning. These seasonal trends affect throughput volumes on our natural gas pipelines and associated natural gas storage levels and marketing results.</w:t>
      </w:r>
    </w:p>
    <w:p>
      <w:pPr>
        <w:spacing w:after="0" w:line="208"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Due to increased demand for fuel additives used in the production of motor gasoline, our isomerization and octane enhancement businesses experience higher levels of demand during the summer driving season, which typically occurs in the spring and summer months. Likewise, shipments of refined products and normal butane experience similar changes in demand due to their use in motor fuels.</w:t>
      </w:r>
    </w:p>
    <w:p>
      <w:pPr>
        <w:spacing w:after="0" w:line="20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Extreme temperatures and ice during the winter months can negatively affect our trucking and inland marine operations on the upper Mississippi and Illinois rivers.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real property holdings fall into two basic categories: (i) parcels that we and our unconsolidated affiliates own in fee (e.g., we own the land upon which our Mont Belvieu complex is constructed) and (ii) parcels in which our interests and those of our unconsolidated affiliates are derived from leases, easements, rights-of-way, permits or licenses from landowners or governmental authorities permitting the use of such land for our operations. The fee sites upon which our significant facilities are located have been owned by us or our predecessors in title for many years without any material challenge known to us relating to title to the land upon which the assets are located, and we believe that we have satisfactory title to such fee sites. We and our affiliates have no knowledge of any material challenge to the underlying fee title of any material lease, easement, right-of-way, permit or license held by us or to our rights pursuant to any material lease, easement, right-of-way, permit or license, and we believe that we have satisfactory rights pursuant to all of our material leases, easements, rights-of-way, permits and licenses.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As a publicly traded partnership, we electronically file certain documents with the U.S. Securities and Exchange Commission (“SEC”). We file annual reports on Form 10-K; quarterly reports on Form 10-Q; and current reports on Form 8-K (as appropriate); along with any related amendments and supplements thereto. Occasionally, we may also file registration statements and related documents in connection with equity or debt offerings. The SEC maintains a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that contains reports and other information regarding registrants that file electronically with the SEC.</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provide free electronic access to our periodic and current reports on our website, </w:t>
      </w:r>
      <w:r>
        <w:rPr>
          <w:rFonts w:ascii="Arial" w:cs="Arial" w:eastAsia="Arial" w:hAnsi="Arial"/>
          <w:sz w:val="18"/>
          <w:szCs w:val="18"/>
          <w:u w:val="single" w:color="auto"/>
          <w:color w:val="auto"/>
        </w:rPr>
        <w:t>www.enterpriseproducts.com</w:t>
      </w:r>
      <w:r>
        <w:rPr>
          <w:rFonts w:ascii="Arial" w:cs="Arial" w:eastAsia="Arial" w:hAnsi="Arial"/>
          <w:sz w:val="18"/>
          <w:szCs w:val="18"/>
          <w:color w:val="auto"/>
        </w:rPr>
        <w:t>. These reports are available as soon as reasonably practicable after we electronically file such materials with, or furnish such materials to, the SEC. You may also contact our Investor Relations department at (866) 230-0745 for paper copies of these reports free of charge. The information found on our website is not incorporated into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 investment in our common units or debt securities involves certain risks. If any of the following key risks were to occur, it could have a material adverse effect on our financial position, results of operations and cash flows, as well as our ability to maintain or increase distribution levels. In any such circumstance and others described below, the trading price of our securities could decline and you could lose part or all of your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56" w:lineRule="exact"/>
        <w:rPr>
          <w:sz w:val="20"/>
          <w:szCs w:val="20"/>
          <w:color w:val="auto"/>
        </w:rPr>
      </w:pPr>
    </w:p>
    <w:p>
      <w:pPr>
        <w:ind w:right="3100"/>
        <w:spacing w:after="0" w:line="277" w:lineRule="auto"/>
        <w:rPr>
          <w:sz w:val="20"/>
          <w:szCs w:val="20"/>
          <w:color w:val="auto"/>
        </w:rPr>
      </w:pPr>
      <w:r>
        <w:rPr>
          <w:rFonts w:ascii="Arial" w:cs="Arial" w:eastAsia="Arial" w:hAnsi="Arial"/>
          <w:sz w:val="18"/>
          <w:szCs w:val="18"/>
          <w:b w:val="1"/>
          <w:bCs w:val="1"/>
          <w:i w:val="1"/>
          <w:iCs w:val="1"/>
          <w:u w:val="single" w:color="auto"/>
          <w:color w:val="auto"/>
        </w:rPr>
        <w:t>Changes in demand for and prices and production of hydrocarbon products could have a material adverse effect on our financial position, results of operations and cash flows.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operate predominantly in the midstream energy industry, which includes gathering, transporting, processing, fractionating and storing natural gas, NGLs, crude oil, petrochemical and refined products. As such, changes in the prices of hydrocarbon products and in the relative price levels among hydrocarbon products could have a material adverse effect on our financial position, results of operations and cash flows. Changes in prices may impact demand for hydrocarbon products, which in turn may impact production, demand and the volumes of products for which we provide services. In addition, decreases in demand may be caused by other factors, including prevailing economic conditions, reduced demand by consumers for the end products made with hydrocarbon products, increased competition, adverse weather conditions, public health emergencies, and government regulations affecting prices and production levels. We may also incur credit and price risk to the extent customers do not fulfill their obligations to us in connection with our marketing of natural gas, NGLs, propylene, refined products and/or crude oil and long-term take-or-pay agreements.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Crude oil and natural gas prices have been volatile in recent years. For example, crude oil prices (based on WTI as measured by the NYMEX) ranged from a high of $76.41 per barrel to a low of $42.53 per barrel in the three year period ending December 31, 2019. WTI prices in 2020 have ranged from a high of $63.27 per barrel to a low of $49.57 per barrel through February 10, 2020. Likewise, natural gas prices (based on Henry Hub as measured by the NYMEX) ranged from a high of $4.84 per MMBtu to a low of $2.07 per MMBtu over the same three-year period. Henry Hub natural gas prices in 2020 have ranged from a high of $2.20 per MMBtu to a low of $1.77 per MMBtu through February 10, 2020.</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Generally, prices of hydrocarbon products are subject to fluctuations in response to changes in supply, demand, market uncertainty and a variety of other uncontrollable factors, such as: (i) the level of domestic production and consumer product demand; (ii) the availability of imported crude oil and natural gas and actions taken by foreign crude oil and natural gas producing nations; (iii) the availability of transportation systems with adequate capacity; (iv) the availability of competitive fuels; (v) fluctuating and seasonal demand for crude oil, natural gas, NGLs and other hydrocarbon products, including demand for NGL products by the petrochemical, refining and heating industries; (vi) the impact of conservation efforts; (vii) governmental regulation and taxation of production; (viii) reduced demand for hydrocarbons attributable to public health emergencies and (ix) prevailing economic conditions.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exposed to natural gas and NGL commodity price risks under certain of our natural gas processing and gathering and NGL fractionation contracts that provide for fees to be calculated based on a regional natural gas or NGL price index, or to be paid in-kind by taking title to natural gas or NGLs. A decrease in natural gas and NGL prices can result in lower margins from these contracts, which could have a material adverse effect on our financial position, results of operations and cash flows. Volatility in the prices of natural gas and NGLs can lead to ethane rejection, which results in a reduction in volumes available for transportation, fractionation, storage and marketing. Volatility in these commodity prices may also have an impact on many of our customers, which in turn could have a negative impact on their ability to fulfill their obligations to us.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crude oil, natural gas and NGLs currently transported, gathered or processed at our facilities originate primarily from existing domestic resource basins, which naturally deplete over time. To offset this natural decline, our facilities need access to production from newly discovered properties. Many economic and business factors beyond our control can adversely affect the decision by producers to explore for and develop new reserves. These factors could include relatively low crude oil and natural gas prices, cost and availability of equipment and labor, regulatory changes, capital budget limitations, the lack of available capital or the probability of success in finding hydrocarbons. A decrease in exploration and development activities in the regions where our facilities and other energy logistic assets are located could result in a decrease in volumes handled by our assets, which could have a material adverse effect on our financial position, results of operations and cash flows.</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discussion regarding our current fundamentals outlook for 2020, please read “Management’s Discussion and Analysis of Financial Condition and Results of Operations – General Outlook for 2020” included under Part II, Item 7 of this annual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 face competition from third parties in our midstream energy businesses.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crude oil and natural gas reserves exist in the areas served by our assets, we may not be chosen by producers in these areas to gather, transport, process, fractionate, store or otherwise handle the hydrocarbons extracted. We compete with other companies, including producers of crude oil and natural gas, for any such production on the basis of many factors, including but not limited to geographic proximity to the production, costs of connection, available capacity, rates and access to markets.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NGL, refined products and marine transportation businesses may compete with other pipelines and marine transportation companies in the areas they serve. We also compete with railroads and third party trucking operations in certain of the areas we serve. Competitive pressures may adversely affect our tariff rates or volumes shipped. Also, substantial new construction of inland marine vessels could create an oversupply and intensify competition for our marine transportation business.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crude oil gathering and marketing business can be characterized by intense competition for supplies of crude oil at the wellhead. A decline in domestic crude oil production could intensify this competition among gatherers and marketers. Our crude oil transportation business competes with common carriers and proprietary pipelines owned and operated by major oil companies, large independent pipeline companies, financial institutions with commodity trading platforms and other companies in the areas where such pipeline systems deliver crude oil.</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our natural gas gathering business, we encounter competition in obtaining contracts to gather natural gas supplies, particularly new supplies. Competition in natural gas gathering is based in large part on reputation, efficiency, system reliability, gathering system capacity and pricing arrangements. Our key competitors in the natural gas gathering business include independent gas gatherers and major integrated energy companies. Alternate gathering facilities are available to producers we serve, and those producers may also elect to construct proprietary gas gathering systems.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Both we and our competitors make significant investments in new energy infrastructure to meet anticipated market demand. The success of our projects depends on utilization of our assets. Demand for our new projects may change during construction, and our competitors may make additional investments or redeploy assets that compete with our projects and existing assets. If either our investments or construction by competitors in the markets we serve result in excess capacity, our facilities and assets could be underutilized, which could cause us to reduce rates for our services. A reduction in rates may result in lower returns on our investments and, as a result, lower the value of our assets.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significant increase in competition in the midstream energy industry, including construction of new assets or redeployment of existing assets by our competitors, could have a material adverse effect on our financial position, results of operations and cash flows.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Our debt level may limit our future financial and operating flexibility.</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December 31, 2019, we had $24.75 billion in principal amount of consolidated senior long-term debt outstanding and $2.65 billion in principal amount of junior subordinated debt outstanding. The amount of our future debt could have significant effects on our operations, including, among other things:</w:t>
      </w:r>
    </w:p>
    <w:p>
      <w:pPr>
        <w:spacing w:after="0" w:line="151" w:lineRule="exact"/>
        <w:rPr>
          <w:sz w:val="20"/>
          <w:szCs w:val="20"/>
          <w:color w:val="auto"/>
        </w:rPr>
      </w:pPr>
    </w:p>
    <w:p>
      <w:pPr>
        <w:ind w:left="500" w:hanging="330"/>
        <w:spacing w:after="0" w:line="198" w:lineRule="auto"/>
        <w:tabs>
          <w:tab w:leader="none" w:pos="50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a substantial portion of our cash flow could be dedicated to the payment of principal and interest on our future debt and may not be available for other purposes, including the payment of distributions on our common units and for capital investments;</w:t>
      </w:r>
    </w:p>
    <w:p>
      <w:pPr>
        <w:spacing w:after="0" w:line="126" w:lineRule="exact"/>
        <w:rPr>
          <w:rFonts w:ascii="Arial" w:cs="Arial" w:eastAsia="Arial" w:hAnsi="Arial"/>
          <w:sz w:val="29"/>
          <w:szCs w:val="29"/>
          <w:color w:val="auto"/>
          <w:vertAlign w:val="superscript"/>
        </w:rPr>
      </w:pPr>
    </w:p>
    <w:p>
      <w:pPr>
        <w:ind w:left="500" w:hanging="330"/>
        <w:spacing w:after="0"/>
        <w:tabs>
          <w:tab w:leader="none" w:pos="50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credit rating agencies may take a negative view of our consolidated debt level;</w:t>
      </w:r>
    </w:p>
    <w:p>
      <w:pPr>
        <w:spacing w:after="0" w:line="228" w:lineRule="exact"/>
        <w:rPr>
          <w:rFonts w:ascii="Arial" w:cs="Arial" w:eastAsia="Arial" w:hAnsi="Arial"/>
          <w:sz w:val="29"/>
          <w:szCs w:val="29"/>
          <w:color w:val="auto"/>
          <w:vertAlign w:val="superscript"/>
        </w:rPr>
      </w:pPr>
    </w:p>
    <w:p>
      <w:pPr>
        <w:ind w:left="500" w:hanging="330"/>
        <w:spacing w:after="0" w:line="198" w:lineRule="auto"/>
        <w:tabs>
          <w:tab w:leader="none" w:pos="50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covenants contained in our existing and future credit and debt agreements will require us to continue to meet financial tests that may adversely affect our flexibility in planning for and reacting to changes in our business, including possible acquisition opportunities;</w:t>
      </w:r>
    </w:p>
    <w:p>
      <w:pPr>
        <w:spacing w:after="0" w:line="229" w:lineRule="exact"/>
        <w:rPr>
          <w:rFonts w:ascii="Arial" w:cs="Arial" w:eastAsia="Arial" w:hAnsi="Arial"/>
          <w:sz w:val="29"/>
          <w:szCs w:val="29"/>
          <w:color w:val="auto"/>
          <w:vertAlign w:val="superscript"/>
        </w:rPr>
      </w:pPr>
    </w:p>
    <w:p>
      <w:pPr>
        <w:ind w:left="500" w:right="20" w:hanging="330"/>
        <w:spacing w:after="0" w:line="198" w:lineRule="auto"/>
        <w:tabs>
          <w:tab w:leader="none" w:pos="50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our ability to obtain additional financing, if necessary, for working capital, capital investments, acquisitions or other purposes may be impaired or such financing may not be available on favorable terms;</w:t>
      </w:r>
    </w:p>
    <w:p>
      <w:pPr>
        <w:spacing w:after="0" w:line="126" w:lineRule="exact"/>
        <w:rPr>
          <w:rFonts w:ascii="Arial" w:cs="Arial" w:eastAsia="Arial" w:hAnsi="Arial"/>
          <w:sz w:val="29"/>
          <w:szCs w:val="29"/>
          <w:color w:val="auto"/>
          <w:vertAlign w:val="superscript"/>
        </w:rPr>
      </w:pPr>
    </w:p>
    <w:p>
      <w:pPr>
        <w:ind w:left="500" w:hanging="330"/>
        <w:spacing w:after="0"/>
        <w:tabs>
          <w:tab w:leader="none" w:pos="50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we may be at a competitive disadvantage relative to similar companies that have less debt; and</w:t>
      </w:r>
    </w:p>
    <w:p>
      <w:pPr>
        <w:spacing w:after="0" w:line="139" w:lineRule="exact"/>
        <w:rPr>
          <w:rFonts w:ascii="Arial" w:cs="Arial" w:eastAsia="Arial" w:hAnsi="Arial"/>
          <w:sz w:val="29"/>
          <w:szCs w:val="29"/>
          <w:color w:val="auto"/>
          <w:vertAlign w:val="superscript"/>
        </w:rPr>
      </w:pPr>
    </w:p>
    <w:p>
      <w:pPr>
        <w:ind w:left="500" w:hanging="330"/>
        <w:spacing w:after="0" w:line="229" w:lineRule="auto"/>
        <w:tabs>
          <w:tab w:leader="none" w:pos="50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we may be more vulnerable to adverse economic and industry conditions as a result of our significant debt level.</w:t>
      </w:r>
    </w:p>
    <w:p>
      <w:pPr>
        <w:spacing w:after="0" w:line="23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Our public debt indentures currently do not limit the amount of future indebtedness that we can incur, assume or guarantee. Although our credit agreements restrict our ability to incur additional debt above certain levels, any debt we may incur in compliance with these restrictions may still be substantial. For information regarding our long-term debt, see Note 7 of the Notes to Consolidated Financial Statements included under Part II, Item 8 of this annual report.</w:t>
      </w:r>
    </w:p>
    <w:p>
      <w:pPr>
        <w:spacing w:after="0" w:line="17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Our credit agreements and each of the indentures related to our public debt instruments include traditional financial covenants and other restrictions. For example, we are prohibited from making distributions to our partners if such distributions would cause an event of default or otherwise violate a covenant under our credit agreements. A breach of any of these restrictions by us could permit our lenders or noteholders, as applicable, to declare all amounts outstanding under these debt agreements to be immediately due and payable and, in the case of our credit agreements, terminate all commitments to extend further credit.</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ability to access capital markets to raise capital on favorable terms could be affected by our debt level, when such debt matures, and by prevailing market conditions. Moreover, if the rating agencies were to downgrade our credit ratings, we could experience an increase in our borrowing costs, difficulty assessing capital markets and/or a reduction in the market price of our securities. Such a development could adversely affect our ability to obtain financing for working capital, capital investments or acquisitions, or to refinance existing indebtedness. If we are unable to access the capital markets on favorable terms in the future, we might be forced to seek extensions for some of our short-term debt obligations or to refinance some of our debt obligations through bank credit, as opposed to long-term public debt securities or equity securities.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pay cash distributions at expected levels.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We may not be able to fully execute our growth strategy if we encounter illiquid capital markets or increased competition for investment opportunities.</w:t>
      </w:r>
    </w:p>
    <w:p>
      <w:pPr>
        <w:spacing w:after="0" w:line="2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growth strategy contemplates the development and acquisition of a wide range of midstream and other energy infrastructure assets while maintaining a strong balance sheet. This strategy includes constructing and acquiring additional assets and businesses that enhance our ability to compete effectively and to diversify our asset portfolio, thereby providing us with more stable cash flows. We consider and pursue potential joint ventures, standalone projects and other transactions that we believe may present opportunities to expand our business, increase our market position and realize operational synergies.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will require substantial new capital to finance the future development and acquisition of assets and businesses. For example, our capital investments for 2019 reflected $4.66 billion of cash payments for capital projects and other investments. Based on information currently available, we expect our total capital investments for 2020 to approximate $3.4 billion to $4.4 billion, which includes approximately $400 million for sustaining capital expenditures. Any limitations on our access to capital may impair our ability to execute this growth strategy. If our cost of debt or equity capital becomes too expensive, our ability to develop or acquire accretive assets will be limited. We also may not be able to raise the necessary funds on satisfactory terms, if at all.</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Any sustained tightening of the credit markets may have a material adverse effect on us by, among other things, decreasing our ability to finance growth capital projects or business acquisitions on favorable terms and by the imposition of increasingly restrictive borrowing covenants. In addition, the distribution yields of any new equity we may issue may be higher than historical levels, making additional equity issuances more expensive. Accordingly, increased costs of equity and debt will make returns on capital expenditures with proceeds from such capital less accretive on a per unit basis.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may compete with third parties in the acquisition of energy infrastructure assets that complement our existing asset base. Increased competition for a limited pool of assets could result in our losing to other bidders more often than in the past or acquiring assets at less attractive prices. Either occurrence could limit our ability to fully execute our growth strategy. Our inability to execute our growth strategy may materially adversely affect our ability to maintain or pay higher cash distributions in the future.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Our actual construction, development and acquisition costs could materially exceed forecasted amounts.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announced and are engaged in multiple significant construction projects involving existing and new assets for which we have expended or will expend significant capital. These projects entail significant logistical, technological and staffing challenges. We may not be able to complete our projects at the costs we estimated at the time of each project’s initiation or that we currently estimate. Similarly, force majeure events such as hurricanes along the U.S. Gulf Coast may cause delays, shortages of skilled labor and additional expenses for these construction and development projects.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capital investments materially exceed expected amounts, then our future cash flows could be reduced, which, in turn, could reduce the amount of cash we expect to have available for distribution. In addition, a material increase in project costs could result in decreased overall profitability of the newly constructed asset once it is placed into service.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Our construction of new assets is subject to operational, regulatory, environmental, political, legal and economic risks, which may result in delays, increased costs or decreased cash flows.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One of the ways we intend to grow our business is through the construction of new midstream energy infrastructure assets. The construction of new assets involves numerous operational, regulatory, environmental, political, legal and economic risks beyond our control and may require the expenditure of significant amounts of capital. These potential risks include, among other things, the following:</w:t>
      </w:r>
    </w:p>
    <w:p>
      <w:pPr>
        <w:spacing w:after="0" w:line="181" w:lineRule="exact"/>
        <w:rPr>
          <w:sz w:val="20"/>
          <w:szCs w:val="20"/>
          <w:color w:val="auto"/>
        </w:rPr>
      </w:pPr>
    </w:p>
    <w:p>
      <w:pPr>
        <w:ind w:left="500" w:hanging="330"/>
        <w:spacing w:after="0" w:line="198" w:lineRule="auto"/>
        <w:tabs>
          <w:tab w:leader="none" w:pos="500" w:val="left"/>
        </w:tabs>
        <w:numPr>
          <w:ilvl w:val="0"/>
          <w:numId w:val="35"/>
        </w:numPr>
        <w:rPr>
          <w:rFonts w:ascii="Arial" w:cs="Arial" w:eastAsia="Arial" w:hAnsi="Arial"/>
          <w:sz w:val="29"/>
          <w:szCs w:val="29"/>
          <w:color w:val="auto"/>
          <w:vertAlign w:val="superscript"/>
        </w:rPr>
      </w:pPr>
      <w:r>
        <w:rPr>
          <w:rFonts w:ascii="Arial" w:cs="Arial" w:eastAsia="Arial" w:hAnsi="Arial"/>
          <w:sz w:val="18"/>
          <w:szCs w:val="18"/>
          <w:color w:val="auto"/>
        </w:rPr>
        <w:t>we may be unable to complete construction projects on schedule or at the budgeted cost due to the unavailability of required construction personnel or materials, accidents, weather conditions or an inability to obtain necessary permits;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hanging="330"/>
        <w:spacing w:after="0" w:line="198" w:lineRule="auto"/>
        <w:tabs>
          <w:tab w:leader="none" w:pos="50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we will not receive any material increase in operating cash flows until the project is completed, even though we may have expended considerable funds during the construction phase, which may be prolonged;</w:t>
      </w:r>
    </w:p>
    <w:p>
      <w:pPr>
        <w:spacing w:after="0" w:line="126" w:lineRule="exact"/>
        <w:rPr>
          <w:rFonts w:ascii="Arial" w:cs="Arial" w:eastAsia="Arial" w:hAnsi="Arial"/>
          <w:sz w:val="29"/>
          <w:szCs w:val="29"/>
          <w:color w:val="auto"/>
          <w:vertAlign w:val="superscript"/>
        </w:rPr>
      </w:pPr>
    </w:p>
    <w:p>
      <w:pPr>
        <w:ind w:left="500" w:hanging="330"/>
        <w:spacing w:after="0"/>
        <w:tabs>
          <w:tab w:leader="none" w:pos="50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we may construct facilities to capture anticipated future production growth in a region in which such growth does not materialize;</w:t>
      </w:r>
    </w:p>
    <w:p>
      <w:pPr>
        <w:spacing w:after="0" w:line="228" w:lineRule="exact"/>
        <w:rPr>
          <w:rFonts w:ascii="Arial" w:cs="Arial" w:eastAsia="Arial" w:hAnsi="Arial"/>
          <w:sz w:val="29"/>
          <w:szCs w:val="29"/>
          <w:color w:val="auto"/>
          <w:vertAlign w:val="superscript"/>
        </w:rPr>
      </w:pPr>
    </w:p>
    <w:p>
      <w:pPr>
        <w:jc w:val="both"/>
        <w:ind w:left="500" w:hanging="330"/>
        <w:spacing w:after="0" w:line="212" w:lineRule="auto"/>
        <w:tabs>
          <w:tab w:leader="none" w:pos="50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since we are not engaged in the exploration for and development of crude oil or natural gas reserves, we may not have access to third party estimates of reserves in an area prior to our constructing facilities in the area. As a result, we may construct facilities in an area where the reserves are materially lower than we anticipate;</w:t>
      </w:r>
    </w:p>
    <w:p>
      <w:pPr>
        <w:spacing w:after="0" w:line="162" w:lineRule="exact"/>
        <w:rPr>
          <w:rFonts w:ascii="Arial" w:cs="Arial" w:eastAsia="Arial" w:hAnsi="Arial"/>
          <w:sz w:val="29"/>
          <w:szCs w:val="29"/>
          <w:color w:val="auto"/>
          <w:vertAlign w:val="superscript"/>
        </w:rPr>
      </w:pPr>
    </w:p>
    <w:p>
      <w:pPr>
        <w:ind w:left="500" w:hanging="330"/>
        <w:spacing w:after="0"/>
        <w:tabs>
          <w:tab w:leader="none" w:pos="500" w:val="left"/>
        </w:tabs>
        <w:numPr>
          <w:ilvl w:val="0"/>
          <w:numId w:val="36"/>
        </w:numPr>
        <w:rPr>
          <w:rFonts w:ascii="Arial" w:cs="Arial" w:eastAsia="Arial" w:hAnsi="Arial"/>
          <w:sz w:val="26"/>
          <w:szCs w:val="26"/>
          <w:color w:val="auto"/>
          <w:vertAlign w:val="superscript"/>
        </w:rPr>
      </w:pPr>
      <w:r>
        <w:rPr>
          <w:rFonts w:ascii="Arial" w:cs="Arial" w:eastAsia="Arial" w:hAnsi="Arial"/>
          <w:sz w:val="16"/>
          <w:szCs w:val="16"/>
          <w:color w:val="auto"/>
        </w:rPr>
        <w:t>in those situations where we do rely on third party reserve estimates in making a decision to construct assets, these estimates may prove inaccurate;</w:t>
      </w:r>
    </w:p>
    <w:p>
      <w:pPr>
        <w:spacing w:after="0" w:line="228" w:lineRule="exact"/>
        <w:rPr>
          <w:rFonts w:ascii="Arial" w:cs="Arial" w:eastAsia="Arial" w:hAnsi="Arial"/>
          <w:sz w:val="26"/>
          <w:szCs w:val="26"/>
          <w:color w:val="auto"/>
          <w:vertAlign w:val="superscript"/>
        </w:rPr>
      </w:pPr>
    </w:p>
    <w:p>
      <w:pPr>
        <w:jc w:val="both"/>
        <w:ind w:left="500" w:hanging="330"/>
        <w:spacing w:after="0" w:line="212" w:lineRule="auto"/>
        <w:tabs>
          <w:tab w:leader="none" w:pos="50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the completion or success of our construction project may depend on the completion of a third party construction project (e.g., a downstream crude oil refinery expansion or construction of a new petrochemical facility) that we do not control and that may be subject to numerous of its own potential risks, delays and complexities; and</w:t>
      </w:r>
    </w:p>
    <w:p>
      <w:pPr>
        <w:spacing w:after="0" w:line="128" w:lineRule="exact"/>
        <w:rPr>
          <w:rFonts w:ascii="Arial" w:cs="Arial" w:eastAsia="Arial" w:hAnsi="Arial"/>
          <w:sz w:val="29"/>
          <w:szCs w:val="29"/>
          <w:color w:val="auto"/>
          <w:vertAlign w:val="superscript"/>
        </w:rPr>
      </w:pPr>
    </w:p>
    <w:p>
      <w:pPr>
        <w:ind w:left="500" w:hanging="330"/>
        <w:spacing w:after="0"/>
        <w:tabs>
          <w:tab w:leader="none" w:pos="50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we may be unable to obtain rights-of-way to construct additional pipelines or the cost to do so may be uneconomical.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materialization of any of these risks could adversely affect our ability to achieve growth in the level of our cash flows or realize benefits from expansion opportunities or construction projects, which could impact the level of cash distributions we pay to partners.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u w:val="single" w:color="auto"/>
          <w:color w:val="auto"/>
        </w:rPr>
        <w:t>Several of our assets have been in service for many years and require significant expenditures to maintain them. As a result, our maintenance or repair costs may increase in the future.</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pipelines, terminals and storage assets are generally long-lived assets, and many of them have been in service for many years. The age and condition of our assets could result in increased maintenance or repair expenditures in the future. Any significant increase in these expenditures could adversely affect our results of operations, financial position or cash flows, as well as our ability to make cash distributions to our unitholders.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The inability to continue to access lands owned by third parties could adversely affect our operations and have a material adverse effect on our financial position, results of operations and cash flows.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ability to operate our pipeline systems on certain lands owned by third parties will depend on our maintaining existing rights-of-way and obtaining new rights-of-way on those lands. We are parties to rights-of-way agreements, permits and licenses authorizing land use with numerous parties, including private land owners, governmental entities, Native American tribes, rail carriers, public utilities and others. Our ability to secure extensions of existing agreements, permits and licenses is essential to our continuing business operations, and securing additional rights-of-way will be critical to our ability to pursue expansion projects. We cannot provide any assurance that we will be able to maintain access to all existing rights-of-way upon the expiration of the current grants, that all of the rights-of-way will be obtained in a timely fashion or that we will acquire new rights-of-way as needed.</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particular, various federal agencies within the U.S. Department of the Interior, particularly the Bureau of Indian Affairs, Bureau of Land Management, and the Office of Natural Resources Revenue, along with each Native American tribe, promulgate and enforce regulations pertaining to natural gas and oil operations on Native American tribal lands. These regulations and approval requirements relate to such matters as drilling and production requirements and environmental standards. In addition, each Native American tribe is a sovereign nation having the right to enforce laws and regulations and to grant approvals independent from federal, state and local statutes and regulations. These tribal laws and regulations include various taxes, fees, requirements to employ Native American tribal members and other conditions that apply to operators and contractors conducting operations on Native American tribal lands. One or more of these factors may increase our cost of doing business on Native American tribal lands and impact the viability of, or prevent or delay our ability to conduct our operations on such lands.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whether we have the power of eminent domain for our pipelines varies from state to state, depending upon the type of pipeline, the laws of the particular state and the ownership of the land to which we seek access. When we exercise eminent domain rights or negotiate private agreements, we must compensate landowners for the use of their property and, in eminent domain actions, such compensation may be determined by a court. The inability to exercise the power of eminent domain could negatively affect our business if we were to lose the right to use or occupy the property on which our pipelines are located.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 may face opposition to the operation of our pipelines and facilities from various groups.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face opposition to the operation of our pipelines and facilities from environmental groups, landowners, tribal groups, local groups and other advocates. Such opposition could take many forms, including organized protests, attempts to block or sabotage our operations, intervention in regulatory or administrative proceedings involving our assets, or lawsuits or other actions designed to prevent, disrupt or delay the operation of our assets and business. For example, repairing our pipelines often involves securing consent from individual landowners to access their property; one or more landowners may resist our efforts to make needed repairs, which could lead to an interruption in the operation of the affected pipeline or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reduce our cash available for paying distributions to our partners and, accordingly, adversely affect our financial condition and the market price of our securities.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Our growth strategy may adversely affect our results of operations if we do not successfully integrate and manage the businesses that we acquire or if we substantially increase our indebtedness and contingent liabilities to make acquisitions.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growth strategy includes making accretive acquisitions. From time to time, we evaluate and acquire additional assets and businesses that we believe complement our existing operations. We may be unable to successfully integrate and manage the businesses we acquire in the future. We may incur substantial expenses or encounter delays or other problems in connection with our growth strategy that could have a material adverse effect on our financial position, results of operations and cash flows. Moreover, acquisitions and business expansions involve numerous risks, such as:</w:t>
      </w:r>
    </w:p>
    <w:p>
      <w:pPr>
        <w:spacing w:after="0" w:line="95" w:lineRule="exact"/>
        <w:rPr>
          <w:sz w:val="20"/>
          <w:szCs w:val="20"/>
          <w:color w:val="auto"/>
        </w:rPr>
      </w:pPr>
    </w:p>
    <w:p>
      <w:pPr>
        <w:ind w:left="500" w:hanging="330"/>
        <w:spacing w:after="0"/>
        <w:tabs>
          <w:tab w:leader="none" w:pos="50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difficulties in the assimilation of the operations, technologies, services and products of the acquired assets or businesses;</w:t>
      </w:r>
    </w:p>
    <w:p>
      <w:pPr>
        <w:spacing w:after="0" w:line="139" w:lineRule="exact"/>
        <w:rPr>
          <w:rFonts w:ascii="Arial" w:cs="Arial" w:eastAsia="Arial" w:hAnsi="Arial"/>
          <w:sz w:val="29"/>
          <w:szCs w:val="29"/>
          <w:color w:val="auto"/>
          <w:vertAlign w:val="superscript"/>
        </w:rPr>
      </w:pPr>
    </w:p>
    <w:p>
      <w:pPr>
        <w:ind w:left="500" w:hanging="330"/>
        <w:spacing w:after="0" w:line="229" w:lineRule="auto"/>
        <w:tabs>
          <w:tab w:leader="none" w:pos="50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establishing the internal controls and procedures we are required to maintain under the Sarbanes-Oxley Act of 2002;</w:t>
      </w:r>
    </w:p>
    <w:p>
      <w:pPr>
        <w:spacing w:after="0" w:line="140" w:lineRule="exact"/>
        <w:rPr>
          <w:rFonts w:ascii="Arial" w:cs="Arial" w:eastAsia="Arial" w:hAnsi="Arial"/>
          <w:sz w:val="29"/>
          <w:szCs w:val="29"/>
          <w:color w:val="auto"/>
          <w:vertAlign w:val="superscript"/>
        </w:rPr>
      </w:pPr>
    </w:p>
    <w:p>
      <w:pPr>
        <w:ind w:left="500" w:hanging="330"/>
        <w:spacing w:after="0" w:line="229" w:lineRule="auto"/>
        <w:tabs>
          <w:tab w:leader="none" w:pos="50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managing relationships with new joint venture partners with whom we have not previously partnered;</w:t>
      </w:r>
    </w:p>
    <w:p>
      <w:pPr>
        <w:spacing w:after="0" w:line="140" w:lineRule="exact"/>
        <w:rPr>
          <w:rFonts w:ascii="Arial" w:cs="Arial" w:eastAsia="Arial" w:hAnsi="Arial"/>
          <w:sz w:val="29"/>
          <w:szCs w:val="29"/>
          <w:color w:val="auto"/>
          <w:vertAlign w:val="superscript"/>
        </w:rPr>
      </w:pPr>
    </w:p>
    <w:p>
      <w:pPr>
        <w:ind w:left="500" w:hanging="330"/>
        <w:spacing w:after="0" w:line="229" w:lineRule="auto"/>
        <w:tabs>
          <w:tab w:leader="none" w:pos="50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experiencing unforeseen operational interruptions or the loss of key employees, customers or suppliers;</w:t>
      </w:r>
    </w:p>
    <w:p>
      <w:pPr>
        <w:spacing w:after="0" w:line="229" w:lineRule="exact"/>
        <w:rPr>
          <w:rFonts w:ascii="Arial" w:cs="Arial" w:eastAsia="Arial" w:hAnsi="Arial"/>
          <w:sz w:val="29"/>
          <w:szCs w:val="29"/>
          <w:color w:val="auto"/>
          <w:vertAlign w:val="superscript"/>
        </w:rPr>
      </w:pPr>
    </w:p>
    <w:p>
      <w:pPr>
        <w:ind w:left="500" w:hanging="330"/>
        <w:spacing w:after="0" w:line="198" w:lineRule="auto"/>
        <w:tabs>
          <w:tab w:leader="none" w:pos="50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inefficiencies and complexities that can arise because of unfamiliarity with new assets and the businesses associated with them, including with their markets; and</w:t>
      </w:r>
    </w:p>
    <w:p>
      <w:pPr>
        <w:spacing w:after="0" w:line="229" w:lineRule="exact"/>
        <w:rPr>
          <w:rFonts w:ascii="Arial" w:cs="Arial" w:eastAsia="Arial" w:hAnsi="Arial"/>
          <w:sz w:val="29"/>
          <w:szCs w:val="29"/>
          <w:color w:val="auto"/>
          <w:vertAlign w:val="superscript"/>
        </w:rPr>
      </w:pPr>
    </w:p>
    <w:p>
      <w:pPr>
        <w:ind w:left="500" w:hanging="330"/>
        <w:spacing w:after="0" w:line="198" w:lineRule="auto"/>
        <w:tabs>
          <w:tab w:leader="none" w:pos="50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diversion of the attention of management and other personnel from day-to-day business to the development or acquisition of new businesses and other business opportunities.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consummated, any acquisition or investment would also likely result in the incurrence of indebtedness and contingent liabilities and an increase in interest expense and depreciation, amortization and accretion expenses. As a result, our capitalization and results of operations may change significantly following a material acquisition. A substantial increase in our indebtedness and contingent liabilities could have a material adverse effect on our financial position, results of operations and cash flows. In addition, any anticipated benefits of a material acquisition, such as expected cost savings or other synergies, may not be fully realized, if at all.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Acquisitions that appear to increase our operating cash flows may nevertheless reduce our operating cash flows on a per unit basis.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Even if we make acquisitions that we believe will increase our operating cash flows, these acquisitions may ultimately result in a reduction of operating cash flow on a per unit basis, such as if our assumptions regarding a newly acquired asset or business did not materialize or unforeseen risks occurred. As a result, an acquisition initially deemed accretive based on information available at the time could turn out not to be. Examples of risks that could cause an acquisition to ultimately not be accretive include our inability to achieve anticipated operating and financial projections or to integrate an acquired business successfully, the assumption of unknown liabilities for which we become liable, and the loss of key employees or key customers. If we consummate any future acquisitions, our capitalization and results of operations may change significantly, and our unitholders will not have the opportunity to evaluate the economic, financial and other relevant information that we will in making such decisions. As a result of the risks noted above, we may not realize the full benefits we expect from a material acquisition, which could have a material adverse effect on our financial position, results of operations and cash flows.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u w:val="single" w:color="auto"/>
          <w:color w:val="auto"/>
        </w:rPr>
        <w:t>A natural disaster, catastrophe, terrorist attack or other event could result in severe personal injury, property damage and environmental damage, which could curtail our operations and have a material adverse effect on our financial position, results of operations and cash flows.</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Some of our operations involve risks of personal injury, property damage and environmental damage, which could curtail our operations and otherwise materially adversely affect our cash flow. For example, natural gas facilities operate at high pressures, sometimes in excess of 1,100 pounds per square inch. In addition, our marine transportation business is subject to additional risks, including the possibility of marine accidents and spill events. From time to time, our octane enhancement facility may produce MTBE for export, which could expose us to additional risks from spill events. Virtually all of our operations are exposed to potential natural disasters, including hurricanes, tornadoes, storms, floods and/or earthquakes. The location of our assets and our customers’ assets in the U.S. Gulf Coast region makes them particularly vulnerable to hurricane or tropical storm risk. In addition, terrorists may target our physical facilities and computer hackers may attack our electronic systems.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one or more facilities or electronic systems that we own or that deliver products to us or that supply our facilities are damaged by severe weather or any other disaster, accident, catastrophe, terrorist attack or other event, our operations could be significantly interrupted. These interruptions could involve significant damage to people, property or the environment, and repairs could take from a week or less for a minor incident to six months or more for a major interruption. Additionally, some of the storage contracts that we are a party to obligate us to indemnify our customers for any damage or injury occurring during the period in which the customers’ product is in our possession. Any event that interrupts the revenues generated by our operations, or which causes us to make significant expenditures not covered by insurance, could reduce our cash available for paying distributions and, accordingly, adversely affect the market price of our common units.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EPCO maintains adequate insurance coverage on our behalf; however, insurance will not cover all types of interruptions that might occur, will not cover amounts up to applicable deductibles and will not cover all risks associated with the nature and extent of our operations. As a result of market conditions, premiums and deductibles for certain types of insurance (e.g., general liability policies) can increase substantially, and in some instances, such insurance may become unavailable or available only for reduced amounts of coverage.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future, circumstances may arise whereby EPCO may not be able to renew existing insurance policies on our behalf or procure other desirable insurance on commercially reasonable terms, if at all. If we were to incur a significant liability for which we were not fully insured, it could have a material adverse effect on our financial position, results of operations and cash flows. In addition, the proceeds of any such insurance may not be paid in a timely manner and may be insufficient if such an event were to occur.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A cyber-attack on our information technology (“IT”) systems could affect our business and assets, and have a material adverse effect on our financial position, results of operations and cash flows.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rely on our IT systems to conduct our business, as well as systems of third-party vendors. These systems include information used to operate our assets, as well as cloud-based services. These systems are subject to possible security breaches and cyber-attacks.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Cyber-attacks are becoming more sophisticated, and U.S. government warnings have indicated that infrastructure assets, including pipelines, may be specifically targeted by certain groups. These attacks include, without limitation, malicious software, ransomware, attempts to gain unauthorized access to data, and other electronic security breaches. These attacks may be perpetrated by state-sponsored groups, “hacktivists”, criminal organizations or private individuals (including employee malfeasance). </w:t>
      </w:r>
      <w:r>
        <w:rPr>
          <w:rFonts w:ascii="Arial" w:cs="Arial" w:eastAsia="Arial" w:hAnsi="Arial"/>
          <w:sz w:val="17"/>
          <w:szCs w:val="17"/>
          <w:color w:val="231F20"/>
        </w:rPr>
        <w:t>These cybersecurity risks include cyber-attacks on both us and third parties who provide material services to</w:t>
      </w:r>
      <w:r>
        <w:rPr>
          <w:rFonts w:ascii="Arial" w:cs="Arial" w:eastAsia="Arial" w:hAnsi="Arial"/>
          <w:sz w:val="17"/>
          <w:szCs w:val="17"/>
          <w:color w:val="auto"/>
        </w:rPr>
        <w:t xml:space="preserve"> </w:t>
      </w:r>
      <w:r>
        <w:rPr>
          <w:rFonts w:ascii="Arial" w:cs="Arial" w:eastAsia="Arial" w:hAnsi="Arial"/>
          <w:sz w:val="17"/>
          <w:szCs w:val="17"/>
          <w:color w:val="231F20"/>
        </w:rPr>
        <w:t xml:space="preserve">us. </w:t>
      </w:r>
      <w:r>
        <w:rPr>
          <w:rFonts w:ascii="Arial" w:cs="Arial" w:eastAsia="Arial" w:hAnsi="Arial"/>
          <w:sz w:val="17"/>
          <w:szCs w:val="17"/>
          <w:color w:val="000000"/>
        </w:rPr>
        <w:t>In addition to disrupting operations, cyber security breaches could also affect our ability to operate or control our facilities, render data or systems</w:t>
      </w:r>
      <w:r>
        <w:rPr>
          <w:rFonts w:ascii="Arial" w:cs="Arial" w:eastAsia="Arial" w:hAnsi="Arial"/>
          <w:sz w:val="17"/>
          <w:szCs w:val="17"/>
          <w:color w:val="231F20"/>
        </w:rPr>
        <w:t xml:space="preserve"> </w:t>
      </w:r>
      <w:r>
        <w:rPr>
          <w:rFonts w:ascii="Arial" w:cs="Arial" w:eastAsia="Arial" w:hAnsi="Arial"/>
          <w:sz w:val="17"/>
          <w:szCs w:val="17"/>
          <w:color w:val="000000"/>
        </w:rPr>
        <w:t>unusable, or result in the theft of sensitive, confidential or customer information. These events could also damage our reputation, and result in losses from remedial actions, loss of business or potential liability to third parties.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carry insurance specifically for cybersecurity events; however, certain of our insurance policies may allow for coverage of associated damages resulting from such events. If we were to incur a significant liability for which we were not fully insured, it could have a material adverse effect on our financial position, results of operations and cash flows. In addition, the proceeds of any such insurance may not be paid in a timely manner and may be insufficient if such an event were to occur.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231F20"/>
        </w:rPr>
        <w:t>Failure of our</w:t>
      </w:r>
      <w:r>
        <w:rPr>
          <w:rFonts w:ascii="Arial" w:cs="Arial" w:eastAsia="Arial" w:hAnsi="Arial"/>
          <w:sz w:val="18"/>
          <w:szCs w:val="18"/>
          <w:b w:val="1"/>
          <w:bCs w:val="1"/>
          <w:i w:val="1"/>
          <w:iCs w:val="1"/>
          <w:color w:val="231F20"/>
        </w:rPr>
        <w:t xml:space="preserve"> </w:t>
      </w:r>
      <w:r>
        <w:rPr>
          <w:rFonts w:ascii="Arial" w:cs="Arial" w:eastAsia="Arial" w:hAnsi="Arial"/>
          <w:sz w:val="18"/>
          <w:szCs w:val="18"/>
          <w:b w:val="1"/>
          <w:bCs w:val="1"/>
          <w:i w:val="1"/>
          <w:iCs w:val="1"/>
          <w:u w:val="single" w:color="auto"/>
          <w:color w:val="000000"/>
        </w:rPr>
        <w:t>critical</w:t>
      </w:r>
      <w:r>
        <w:rPr>
          <w:rFonts w:ascii="Arial" w:cs="Arial" w:eastAsia="Arial" w:hAnsi="Arial"/>
          <w:sz w:val="18"/>
          <w:szCs w:val="18"/>
          <w:b w:val="1"/>
          <w:bCs w:val="1"/>
          <w:i w:val="1"/>
          <w:iCs w:val="1"/>
          <w:color w:val="231F20"/>
        </w:rPr>
        <w:t xml:space="preserve"> IT systems could have an adverse impact on our business, financial condition, results of operations and cash flows, as well as our </w:t>
      </w:r>
      <w:r>
        <w:rPr>
          <w:rFonts w:ascii="Arial" w:cs="Arial" w:eastAsia="Arial" w:hAnsi="Arial"/>
          <w:sz w:val="18"/>
          <w:szCs w:val="18"/>
          <w:b w:val="1"/>
          <w:bCs w:val="1"/>
          <w:i w:val="1"/>
          <w:iCs w:val="1"/>
          <w:u w:val="single" w:color="auto"/>
          <w:color w:val="231F20"/>
        </w:rPr>
        <w:t>ability to pay cash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1045210</wp:posOffset>
            </wp:positionH>
            <wp:positionV relativeFrom="paragraph">
              <wp:posOffset>-182245</wp:posOffset>
            </wp:positionV>
            <wp:extent cx="62045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04585" cy="8890"/>
                    </a:xfrm>
                    <a:prstGeom prst="rect">
                      <a:avLst/>
                    </a:prstGeom>
                    <a:noFill/>
                  </pic:spPr>
                </pic:pic>
              </a:graphicData>
            </a:graphic>
          </wp:anchor>
        </w:drawing>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We rely on IT systems to operate our assets and manage our businesses. We depend on these systems to process, transmit and store electronic information, including financial records and personally identifiable information such as employee, customer, investor and payroll data, and to manage or support a variety of business processes, including our supply chain, pipeline and storage operations, gathering and processing operations, financial transactions, banking and numerous other processes and transactions. Some of these IT systems are proprietary and custom designed for our business, while others are based upon or reside on commercially available technologies.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Failures of these IT systems, whether due to power failures, a cybersecurity event or other reason, could result in a breach of critical operational or financial controls and lead to a disruption of our operations, commercial activities or financial processes. Such failures could adversely affect our results of operations, financial position or cash flow, as well as our ability to pay cash distributions in a timely manner. State and federal cybersecurity legislation could also impose new requirements, which could increase our cost of doing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Our business requires extensive credit risk management that may not be adequate to protect against customer nonpayment.</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incur credit risk to the extent customers do not fulfill their obligations to us in connection with our marketing of natural gas, NGLs, crude oil, petrochemicals and refined products and long-term contracts with minimum volume commitments or fixed demand charges. Risks of nonpayment and nonperformance by customers are a major consideration in our businesses, and our credit procedures and policies may not be adequate to sufficiently eliminate customer credit risk. Further, adverse economic conditions in our industry may increase the risk of nonpayment and nonperformance by customers, particularly customers that have sub-investment grade credit ratings or small-scale companies. We manage our exposure to credit risk through credit analysis, credit approvals, credit limits and monitoring procedures, and for certain transactions may utilize letters of credit, prepayments, net out agreements and guarantees. However, these procedures and policies do not fully eliminate customer credit risk.</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primary markets for our services are the Gulf Coast, Southwest, Rocky Mountains, Northeast and Midwest regions of the U.S. We have a concentration of trade receivable balances due from domestic and international major integrated oil and gas companies, independent oil and gas companies and other pipelines and wholesalers operating in these markets. These concentrations of market areas may affect our overall credit risk in that the customers may be similarly affected by changes in economic, regulatory or other factors.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of the Notes to Consolidated Financial Statements included under Part II, Item 8 of this annual report for information regarding our allowance for doubtful accounts.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 use of derivative financial instruments could result in material financial losses by us.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Historically, we have sought to limit a portion of the adverse effects resulting from changes in energy commodity prices and interest rates by using derivative instruments. Derivative instruments typically include futures, forward contracts, swaps, options and other instruments with similar characteristics. Substantially all of our derivatives are used for non-trading activities.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the extent that we hedge our commodity price and interest rate exposures, we will forego the benefits we would otherwise experience if commodity prices or interest rates were to change in our favor. In addition, hedging activities can result in losses that might be material to our financial condition, results of operations and cash flows. Such losses could occur under various circumstances, including those situations where a counterparty does not perform its obligations under a hedge arrangement, the hedge is not effective in mitigating the underlying risk, or our risk management policies and procedures are not followed. Adverse economic conditions (e.g., a significant decline in energy commodity prices that negatively impact the cash flows of oil and gas producers) increase the risk of nonpayment or performance by our hedging counterparties.</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Part II, Item 7A of this annual report and Note 14 of the Notes to Consolidated Financial Statements included under Part II, Item 8 of this annual report for a discussion of our derivative instruments and related hedging activities.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Our risk management policies cannot eliminate all commodity price risks. In addition, any noncompliance with our risk management policies could result in significant financial losses.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When engaged in marketing activities, it is our policy to maintain physical commodity positions that are substantially balanced with respect to price risks between purchases, on the one hand, and sales or future delivery obligations, on the other hand. Through these transactions, we seek to earn a margin for the commodity purchased by selling the commodity for physical delivery to third party users, such as producers, wholesalers, local distributors, independent refiners, marketing companies or major integrated oil and gas companies. These policies and practices cannot, however, eliminate all price risks. For example, any event that disrupts our anticipated physical supply could expose us to risk of loss resulting from price changes if we are required to obtain alternative supplies to cover our sales transactions. We are also exposed to basis risks when a commodity is purchased against one pricing index and sold against a different index. Moreover, we are exposed to some risks that are not hedged, including price risks on product we own, such as pipeline linefill, which must be maintained in order to facilitate transportation of the commodity in our pipelines. In addition, our marketing operations involve the risk of non-compliance with our risk management policies. We cannot assure you that our processes and procedures will detect and prevent all violations of our risk management policies, particularly if deception or other intentional misconduct is involved. If we were to incur a material loss related to commodity price risks, including non-compliance with our risk management policies, it could have a material adverse effect on our financial position, results of operations and cash flows.</w:t>
      </w:r>
    </w:p>
    <w:p>
      <w:pPr>
        <w:spacing w:after="0" w:line="20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u w:val="single" w:color="auto"/>
          <w:color w:val="auto"/>
        </w:rPr>
        <w:t>Our variable-rate debt, including those fixed-rate debt obligations that may be converted to variable-rate through the use of interest rate swaps, make us vulnerable to increases in interest rates, which could have a material adverse effect on our financial position, results of operation and cash flows.</w:t>
      </w:r>
    </w:p>
    <w:p>
      <w:pPr>
        <w:spacing w:after="0" w:line="15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December 31, 2019, we had $27.15 billion in principal amount of consolidated fixed-rate debt outstanding, including current maturities thereof. Due to the short term nature of commercial paper notes, we view the interest rates charged in connection with these instruments as variable.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Governors of the Federal Reserve System raised benchmark interest rates three times during 2017, four times during 2018, and again in early 2019 before lowering rates three times by the end of 2019. Should interest rates increase significantly, the amount of cash required to service our debt (including any future refinancing of our fixed-rate debt instruments) would increase. Additionally, from time to time, we may enter into interest rate swap arrangements, which could increase our exposure to variable interest rates. As a result, significant increases in interest rates could have a material adverse effect on our financial position, results of operations and cash flows.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increase in interest rates may also cause a corresponding decline in demand for equity securities in general, and in particular, for yield-based equity securities such as our common units. A reduction in demand for our common units may cause their trading price to decline.</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Amounts borrowed under our 364-Day and Multi-Year Revolving Credit Agreements may bear interest, at our election, based on </w:t>
      </w:r>
      <w:r>
        <w:rPr>
          <w:rFonts w:ascii="Arial" w:cs="Arial" w:eastAsia="Arial" w:hAnsi="Arial"/>
          <w:sz w:val="17"/>
          <w:szCs w:val="17"/>
          <w:color w:val="212529"/>
        </w:rPr>
        <w:t>a London Interbank Offered</w:t>
      </w:r>
      <w:r>
        <w:rPr>
          <w:rFonts w:ascii="Arial" w:cs="Arial" w:eastAsia="Arial" w:hAnsi="Arial"/>
          <w:sz w:val="17"/>
          <w:szCs w:val="17"/>
          <w:color w:val="auto"/>
        </w:rPr>
        <w:t xml:space="preserve"> </w:t>
      </w:r>
      <w:r>
        <w:rPr>
          <w:rFonts w:ascii="Arial" w:cs="Arial" w:eastAsia="Arial" w:hAnsi="Arial"/>
          <w:sz w:val="17"/>
          <w:szCs w:val="17"/>
          <w:color w:val="212529"/>
        </w:rPr>
        <w:t>Rate (“LIBOR”). In addition, our junior subordinated notes and interest rate swap agreements may also reflect LIBOR-based terms. In July 2017, the Financial Conduct Authority in the U.K. announced a desire to phase out LIBOR as a benchmark by the end of 2021. Financial industry working groups are developing replacement rates and methodologies to transition existing agreements that depend on LIBOR as a reference rate.</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12529"/>
        </w:rPr>
        <w:t>We currently do not expect the transition from LIBOR to have a material impact on us. However, if clear market standards and transition methodologies have not developed by the time LIBOR becomes unavailable, we may have difficulty reaching agreements on acceptable replacement rates. If we are unable to negotiate replacement rates on favorable terms, it could have an adverse effect on our results of operations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Our pipeline integrity program as well as compliance with pipeline safety laws and regulations may impose significant costs and liabilities on us.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were to incur material costs in connection with our pipeline integrity program or pipeline safety laws and regulations, those costs could have a material adverse effect on our financial condition, results of operations and cash flows.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DOT requires pipeline operators to develop integrity management programs to comprehensively evaluate their pipelines, and take measures to protect pipeline segments located in HCAs. The majority of the costs to comply with this integrity management rule are associated with pipeline integrity testing and any repairs found to be necessary as a result of such testing. Changes such as advances in pipeline inspection tools, identification of additional threats to a pipeline’s integrity and changes to the amount of pipe determined to be located in HCAs can have a significant impact on the costs to perform integrity testing and repairs. We will continue our pipeline integrity testing programs to assess and maintain the integrity of our pipelines. The results of these tests could cause us to incur significant and unanticipated capital and operating expenditures for repairs or upgrades deemed necessary to ensure the continued safe and reliable operation of our pipelines.</w:t>
      </w:r>
    </w:p>
    <w:p>
      <w:pPr>
        <w:spacing w:after="0" w:line="2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total, our pipeline integrity costs for the years ended December 31, 2019, 2018 and 2017 were $110.6 million, $122.0 million and $91.1 million, respectively. Of these annual totals, we charged $56.4 million, $71.8 million and $52.3 million to operating costs and expenses during the years ended December 31, 2019, 2018 and 2017, respectively. The remaining annual pipeline integrity costs were capitalized and treated as sustaining capital projects. We expect the cost of our pipeline integrity program, regardless of whether such costs are capitalized or expensed, to approximate $122 million for 2020.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regarding the pipeline safety regulations, the Pipeline Safety Act and the SAFE PIPES Act, see “Regulatory Matters – Environmental, Safety and Conservation – Pipeline Safety” included under Part I, Items 1 and 2 of this annual report.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Environmental, health and safety costs and liabilities, and changing environmental, health and safety regulation, could have a material adverse effect on our financial position, results of operations and cash flows.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are subject to various environmental, health and safety requirements and potential liabilities under extensive federal, state and local laws and regulations. Further, we cannot ensure that existing environmental, health and safety regulations will not be revised or that new regulations will not be adopted or become applicable to us. Governmental authorities have the power to enforce compliance with applicable regulations and permits and to subject violators to civil and criminal penalties, including substantial fines, injunctions or both. Certain environmental laws, including CERCLA and analogous state laws and regulations, may impose strict, joint and several liability for costs required to clean-up and restore sites where hazardous substances or hydrocarbons have been disposed or otherwise released. Moreover, third parties, including neighboring landowners, may also have the right to pursue legal actions to enforce compliance or to recover for personal injury and property damage allegedly caused by the release of hazardous substances, hydrocarbons or other waste products into the environment. Failure to comply with these requirements may expose us to fines, penalties and/or interruptions in our operations that could have a material adverse effect on our financial position, results of operations and cash flows.</w:t>
      </w:r>
    </w:p>
    <w:p>
      <w:pPr>
        <w:spacing w:after="0" w:line="20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future environmental, health and safety law developments, such as stricter laws, regulations, permits or enforcement policies, could significantly increase some costs of our operations. Areas of potential future environmental, health and safety law developments include the following items.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Greenhouse Gases/Climate Change</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Responding to reports regarding climate change matters, the U.S. Congress from time to time has considered legislation to reduce emissions of greenhouse gases. In addition, certain states, including states in which our facilities or operations are located, have, individually or in regional cooperation, taken or proposed measures to reduce emissions of greenhouse gases. Various policies and approaches, including establishing a cap on emissions, requiring efficiency measures, or providing incentives for pollution reduction, use of renewable energy sources, or use of replacement fuels with lower carbon content are under discussion and have and may continue to result in additional actions involving greenhouse gases.</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adoption and implementation of any federal, state or local regulations imposing reporting obligations on, or limiting emissions of greenhouse gases from, our equipment and operations could require us to incur significant costs to reduce emissions of greenhouse gases associated with our operations or could adversely affect demand for the crude oil, natural gas or other hydrocarbon products that we transport, store or otherwise handle in connection with our midstream services. The potential increase in our operating costs could include costs to operate and maintain our facilities, install new emission controls on our facilities, acquire allowances to authorize greenhouse gas emissions (whether emitted by our operations or associated with fuel that we supply into the markets), pay taxes related to greenhouse gas emissions, and administer and manage a greenhouse gas emissions program. We may not be able to recover such increased costs through customer prices or rates, which may limit our access to, or otherwise cause us to reduce our participation in, certain market activities. In addition, changes in regulatory policies that result in a reduction in the demand for hydrocarbon products that are deemed to contribute to greenhouse gases, or restrictions on their use, may reduce volumes available to us for processing, transportation, marketing and storage. These developments could have a material adverse effect on our financial position, results of operations and cash flows.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numerous countries around the world have adopted or are considering adopting laws or regulations to reduce greenhouse gas emissions. It is not possible to know how quickly renewable energy technologies may advance, but if significant additional legislation and regulation were enacted, the increased use of renewable energy could ultimately reduce future demand for hydrocarbons. These developments could have a material adverse effect on our financial position, results of operations and cash flows.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Hydraulic Fracturing</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Substantially all of our producer customers employ hydraulic fracturing techniques to stimulate natural gas and crude oil production from unconventional geological formations (including shale formations), which entails the injection of pressurized fracturing fluids (consisting of water, sand and certain chemicals) into a well bore. The U.S. federal government, and some states and localities, have adopted, and others are considering adopting, regulations or ordinances that could restrict hydraulic fracturing in certain circumstances, or that would impose higher taxes, fees or royalties on natural gas production. Increased regulation and attention given to the hydraulic fracturing process could lead to greater opposition to crude oil and natural gas drilling activities using hydraulic fracturing techniques, including increased litigation. Additional legislation or regulation could also lead to operational delays and/or increased operating costs in the production of crude oil and natural gas (including natural gas produced from shale plays like the Permian, Eagle Ford, Haynesville, Barnett, Marcellus and Utica Shales) incurred by our customers or could make it more difficult to perform hydraulic fracturing. If these legislative and regulatory initiatives cause a material decrease in the drilling of new wells and related servicing activities, it may affect the volume of hydrocarbon projects available to our midstream businesses and have a material adverse effect on our financial position, results of operations and cash flows.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“Regulatory Matters” under Part I, Items 1 and 2 of this annual report for more information and specific disclosures relating to environmental, health and safety laws and regulations, and costs and liabilities.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Federal, state or local regulatory measures could have a material adverse effect on our financial position, results of operations and cash flows.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FERC regulates our interstate liquids pipelines under the ICA. State regulatory agencies regulate our intrastate natural gas and NGL pipelines, intrastate storage facilities and gathering lines.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intrastate NGL and natural gas pipelines are subject to regulation in many states, including Colorado, Kansas, Louisiana, New Mexico, Texas and Wyoming. To the extent our intrastate natural gas pipelines engage in interstate transportation, they are also subject to regulation by the FERC pursuant to Section 311 of the NGPA. We also have natural gas underground storage facilities in Louisiana and Texas. Although state regulation is typically less comprehensive in scope than regulation by the FERC, our services are typically required to be provided on a nondiscriminatory basis and are also subject to challenge by protest and complaint.</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our natural gas gathering systems are generally exempt from FERC regulation under the NGA, our natural gas gathering operations could be adversely affected should they become subject to federal regulation of rates and services, or, if the states in which we operate adopt policies imposing more onerous regulation on gas gathering operations. Additional rules and legislation pertaining to these matters are considered and adopted from time to time at both state and federal levels. We cannot predict what effect, if any, such regulatory changes and legislation might have on our operations, but we could be required to incur additional capital expenditures.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general overview of federal, state and local regulation applicable to our assets, see “Regulatory Matters” included within Part I, Items 1 and 2 of this annual report. This regulatory oversight can affect certain aspects of our business and the market for our products and could have a material adverse effect on our financial position, results of operations and cash flows.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The rates of our regulated assets are subject to review and possible adjustment by federal and state regulators, which could adversely affect our revenues.</w:t>
      </w:r>
    </w:p>
    <w:p>
      <w:pPr>
        <w:spacing w:after="0" w:line="2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FERC, pursuant to the ICA (as amended), the Energy Policy Act and rules and orders promulgated thereunder, regulates the tariff rates and terms and conditions of service for our interstate common carrier liquids pipeline operations. To be lawful under the ICA, interstate tariff rates, terms and conditions of service must be just and reasonable and not unduly discriminatory, and must be on file with the FERC. In addition, pipelines may not confer any undue preference upon any shipper. Shippers may protest (and the FERC may investigate) the lawfulness of new or changed tariff rates. The FERC can suspend those tariff rates for up to seven months. It can also require refunds of amounts collected pursuant to rates that are ultimately found to be unlawful and prescribe new rates prospectively. The FERC and interested parties can also challenge tariff rates that have become final and effective. The FERC can also order new rates to take effect prospectively and order reparations for past rates that exceed the just and reasonable level up to two years prior to the date of a complaint. Due to the complexity of rate making, the lawfulness of any rate is never assured. A successful challenge of our rates could adversely affect our revenues.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FERC uses prescribed rate methodologies for approving regulated tariff rate changes for interstate liquids pipelines. The FERC’s indexing methodology currently allows a pipeline to increase its rates by a percentage linked to the PPI. For the five-year period ending June 30, 2021, the index is measured by the year-over-year change in the Bureau of Labor’s producer price index for finished goods, plus 1.23%. However, in any year in which the index is negative, a pipeline must file to lower its rates if its rates would be above the indexed rate ceiling. As an alternative to this indexing methodology, we may also choose to support our rates based on a cost-of-service methodology, or by obtaining advance approval to charge “market-based rates,” or by charging “settlement rates” agreed to by all affected shippers. These methodologies may limit our ability to set rates based on our actual costs or may delay the use of rates reflecting increased costs.</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October 2016, the FERC issued an Advanced Notice of Proposed Rulemaking (the “ANOPR”) that sought comments regarding potential modifications to its policies for evaluating changes in oil pipeline indexed rates and the associated reporting requirements. The FERC observed that some pipelines continue to obtain additional index rate increases despite reporting on Form No. 6 that their revenues exceed their costs. The FERC is considering whether to propose a new policy that would deny proposed index increases if a pipeline’s Form No. 6 reflects (i) revenues that exceed the total cost-of-service by 15% for the two preceding years or (ii) the proposed increase in the rate index exceeds the percentage change in the pipeline’s annual costs by 5%. The ANOPR remains pending. If adopted, changes in the FERC’s methodology for approving rates, or challenges to our application of that methodology, could adversely affect us. Adverse decisions by the FERC in approving our regulated rates could adversely affect our financial position, results of operations and cash flows.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intrastate liquids pipeline transportation services we provide are subject to various state laws and regulations that apply to the rates we charge and the terms and conditions of the services we offer. Although state regulation typically is less onerous than FERC regulation, the rates we charge and the provision of our services may be subject to challenge.</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u w:val="single" w:color="auto"/>
          <w:color w:val="auto"/>
        </w:rPr>
        <w:t>The adoption and implementation of new statutory and regulatory requirements for derivative transactions could have an adverse impact on our ability to hedge risks associated with our business and increase the working capital requirements to conduct these activities.</w:t>
      </w:r>
    </w:p>
    <w:p>
      <w:pPr>
        <w:spacing w:after="0" w:line="17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Dodd-Frank Wall Street Reform and Consumer Protection Act enacted in 2010 (the “Dodd-Frank Act”) provides for statutory and regulatory requirements for swaps and other derivative transactions, including financial and certain physical oil and gas hedging transactions. Under the Dodd-Frank Act, the CFTC has adopted regulations requiring registration of swap dealers and major swap participants, mandatory clearing of swaps, election of the end-user exception for any uncleared swaps by certain qualified companies, recordkeeping and reporting requirements, business conduct standards and position limits among other requirements. Several of these requirements, including position limits rules, allow the CFTC to impose controls that could have an adverse impact on our ability to hedge risks associated with our business and could increase our working capital requirements to conduct these activities.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Based on an assessment of final rules promulgated by the CFTC, we have determined that we are not a swap dealer, major swap participant or a financial entity, and therefore have determined that we currently qualify as an end-user. In addition, the vast majority of our derivative transactions are currently transacted through a Derivatives Clearing Organization, and we believe our use of the end-user exception will likely not be necessary on a routine basis. We will also seek to retain our status as an end-user by taking reasonable measures necessary to avoid becoming a swap dealer, major swap participant or financial entity, and other measures to preserve our ability to elect the end-user exception should it become necessary. However, derivative transactions that are not clearable, and transactions that are clearable but for which we choose to elect the end-user exception, are subject to recordkeeping and reporting requirements and potentially additional credit support arrangements including cash margin or collateral. Posting of additional cash margin or collateral could affect our liquidity and reduce our ability to use cash for capital investments or other company purposes.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September 2012, the U.S. District Court for the District of Columbia vacated and remanded the position limits rules adopted by the CFTC based on a necessity finding. In December 2013, the CFTC responded by proposing amended rules in an effort to better conform to the Dodd-Frank Act and in December 2016, the CFTC further refined and re-proposed rules on position limits. Under the re-proposed rules, the CFTC would place volumetric limitations on certain positions in 25 core physical commodity futures contracts and their economically equivalent futures, options and swaps. While we believe that the majority of our hedging transactions would meet one or more of the enumerated categories for Bona Fide Hedges, the rules could have an adverse impact on our ability to hedge certain risks associated with our business and could potentially affect our profitability. The comment period on the re-proposed rules closed on February 28, 2017, and the proposal remains pending.</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Over time, the Executive Branch, the U.S. Congress and the CFTC itself will express interest in amending some of the statutory and regulatory provisions impacting financial markets and institutions and in reevaluating some of the existing regulations and regulatory proposals. In addition, the make-up of the CFTC, and its Chairman, changes periodically, often year-to-year, since the term for one CFTC seat expires each year. Those personnel changes can also impact the regulatory agenda. It is not clear what, if any, changes in the law may gain sufficient support to be enacted or what, if any, changes in the existing regulations might move forward and be adopted, or how any such changes would impact our hedging activity.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Our standalone operating cash flow is derived primarily from cash distributions we receive from EPO</w:t>
      </w:r>
      <w:r>
        <w:rPr>
          <w:rFonts w:ascii="Arial" w:cs="Arial" w:eastAsia="Arial" w:hAnsi="Arial"/>
          <w:sz w:val="18"/>
          <w:szCs w:val="18"/>
          <w:b w:val="1"/>
          <w:bCs w:val="1"/>
          <w:u w:val="single" w:color="auto"/>
          <w:color w:val="auto"/>
        </w:rPr>
        <w: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 standalone basis, EPD is a holding company with no business operations and conducts all of its business through its wholly owned subsidiary, EPO. As a result, we depend upon the earnings and cash flows of EPO and its subsidiaries and unconsolidated affiliates, and the distribution of their cash flows to us in order to meet our obligations and to allow us to make cash distributions to our limited partners.</w:t>
      </w:r>
    </w:p>
    <w:p>
      <w:pPr>
        <w:spacing w:after="0" w:line="200" w:lineRule="exact"/>
        <w:rPr>
          <w:sz w:val="20"/>
          <w:szCs w:val="20"/>
          <w:color w:val="auto"/>
        </w:rPr>
      </w:pP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amount of cash EPO and its subsidiaries and unconsolidated affiliates can distribute to us depends primarily on cash flows generated from their operations. These operating cash flows fluctuate based on, among other things, the: (i) volume of hydrocarbon products transported on their gathering and transmission pipelines; (ii) throughput volumes in their processing and treating operations; (iii) fees charged and the margins realized for their various storage, terminaling, processing and transportation services; (iv) price of natural gas, crude oil, NGLs and other products; (v) relationships among natural gas, crude oil, NGL and other product prices, including differentials between regional markets; (vi) fluctuations in their working capital needs; (vii) level of their operating costs; (viii) prevailing economic conditions; and (ix) level of competition encountered by their businesses. In addition, the actual amount of cash EPO and its subsidiaries and unconsolidated affiliates will have available for distribution will depend on factors such as: (i) the level of sustaining capital expenditures incurred; (ii) their cash outlays for expansion (or growth) capital projects and acquisitions; and (iii) their debt service requirements and restrictions included in the provisions of existing and future indebtedness, organizational documents, applicable state business organization laws and other applicable laws and regulations. Due to these factors, we may not have sufficient available cash each quarter to continue paying distributions at our current levels.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Partnership Structure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 may issue additional securities without the approval of our common unitholders.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any time, we may issue an unlimited number of limited partner interests of any type (to parties other than our affiliates) without the approval of our unitholders. Our partnership agreement does not give our common unitholders the right to approve the issuance of equity securities, including equity securities ranking senior to our common units. The issuance of additional common units or other equity securities of equal or senior rank will have the following effects: (i) the ownership interest of a unitholder immediately prior to the issuance will decrease; (ii) the amount of cash available for distribution on each common unit may decrease; (iii) the ratio of taxable income to distributions may increase; (iv) the relative voting strength of each previously outstanding common unit may be diminished; and (v) the market price of our common units may decline.</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We may not have sufficient operating cash flows to pay cash distributions at the current level following establishment of cash reserves and payments of fees and expenses.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Because cash distributions on our common units are dependent on the amount of cash we generate, distributions may fluctuate based on our performance and capital needs. We cannot guarantee that we will continue to pay distributions at the current level each quarter. The actual amount of cash that is available to be distributed each quarter will depend upon numerous factors, some of which are beyond our control and the control of our general partner. These factors include, but are not limited to: (i) the volume of the products that we handle and the prices we receive for our services; (ii) the level of our operating costs;</w:t>
      </w:r>
    </w:p>
    <w:p>
      <w:pPr>
        <w:spacing w:after="0" w:line="2" w:lineRule="exact"/>
        <w:rPr>
          <w:sz w:val="20"/>
          <w:szCs w:val="20"/>
          <w:color w:val="auto"/>
        </w:rPr>
      </w:pPr>
    </w:p>
    <w:p>
      <w:pPr>
        <w:jc w:val="both"/>
        <w:ind w:firstLine="8"/>
        <w:spacing w:after="0" w:line="253" w:lineRule="auto"/>
        <w:tabs>
          <w:tab w:leader="none" w:pos="3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competition in our business; (iv) prevailing economic conditions, including the price of and demand for crude oil, natural gas, NGLs and other products we transport, store and market; (v) the level of capital investments we make; (vi) the amount and cost of capital we can raise compared to the amount of our capital investments and debt service requirements; (vii) restrictions contained in our debt agreements; (viii) fluctuations in our working capital needs; (ix) weather volatility; (x) cash outlays for acquisitions, if any; and (xi) the amount, if any, of cash reserves required by our general partner in its sole discretion.</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the amount of cash that we have available for distribution is not solely a function of profitability, which will be affected by non-cash items such as depreciation, amortization and provisions for asset impairments. Our cash flows are also impacted by borrowings under credit agreements and similar arrangements. As a result, we may be able to make cash distributions during periods when we record losses and may not be able to make cash distributions during periods when we record net income. An inability on our part to pay cash distributions to partners could have a material adverse effect on our financial position, results of operations and cash flows.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Our general partner and its affiliates have limited fiduciary responsibilities to, and conflicts of interest with respect to, our partnership, which may permit it to favor its own interests to your detriment.</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directors and officers of our general partner and its affiliates have duties to manage our general partner in a manner that is beneficial to its members. At the same time, our general partner has duties to manage our partnership in a manner that is beneficial to us. Therefore, our general partner’s duties to us may conflict with the duties of its officers and directors to its members. Such conflicts may include, among others, the following:</w:t>
      </w:r>
    </w:p>
    <w:p>
      <w:pPr>
        <w:spacing w:after="0" w:line="101" w:lineRule="exact"/>
        <w:rPr>
          <w:sz w:val="20"/>
          <w:szCs w:val="20"/>
          <w:color w:val="auto"/>
        </w:rPr>
      </w:pPr>
    </w:p>
    <w:p>
      <w:pPr>
        <w:ind w:left="500" w:hanging="330"/>
        <w:spacing w:after="0"/>
        <w:tabs>
          <w:tab w:leader="none" w:pos="500" w:val="left"/>
        </w:tabs>
        <w:numPr>
          <w:ilvl w:val="0"/>
          <w:numId w:val="39"/>
        </w:numPr>
        <w:rPr>
          <w:rFonts w:ascii="Arial" w:cs="Arial" w:eastAsia="Arial" w:hAnsi="Arial"/>
          <w:sz w:val="28"/>
          <w:szCs w:val="28"/>
          <w:color w:val="auto"/>
          <w:vertAlign w:val="superscript"/>
        </w:rPr>
      </w:pPr>
      <w:r>
        <w:rPr>
          <w:rFonts w:ascii="Arial" w:cs="Arial" w:eastAsia="Arial" w:hAnsi="Arial"/>
          <w:sz w:val="17"/>
          <w:szCs w:val="17"/>
          <w:color w:val="auto"/>
        </w:rPr>
        <w:t>neither our partnership agreement nor any other agreement requires our general partner or EPCO to pursue a business strategy that favors us;</w:t>
      </w:r>
    </w:p>
    <w:p>
      <w:pPr>
        <w:spacing w:after="0" w:line="228" w:lineRule="exact"/>
        <w:rPr>
          <w:rFonts w:ascii="Arial" w:cs="Arial" w:eastAsia="Arial" w:hAnsi="Arial"/>
          <w:sz w:val="28"/>
          <w:szCs w:val="28"/>
          <w:color w:val="auto"/>
          <w:vertAlign w:val="superscript"/>
        </w:rPr>
      </w:pPr>
    </w:p>
    <w:p>
      <w:pPr>
        <w:jc w:val="both"/>
        <w:ind w:left="500" w:hanging="330"/>
        <w:spacing w:after="0" w:line="221" w:lineRule="auto"/>
        <w:tabs>
          <w:tab w:leader="none" w:pos="500" w:val="left"/>
        </w:tabs>
        <w:numPr>
          <w:ilvl w:val="0"/>
          <w:numId w:val="39"/>
        </w:numPr>
        <w:rPr>
          <w:rFonts w:ascii="Arial" w:cs="Arial" w:eastAsia="Arial" w:hAnsi="Arial"/>
          <w:sz w:val="26"/>
          <w:szCs w:val="26"/>
          <w:color w:val="auto"/>
          <w:vertAlign w:val="superscript"/>
        </w:rPr>
      </w:pPr>
      <w:r>
        <w:rPr>
          <w:rFonts w:ascii="Arial" w:cs="Arial" w:eastAsia="Arial" w:hAnsi="Arial"/>
          <w:sz w:val="16"/>
          <w:szCs w:val="16"/>
          <w:color w:val="auto"/>
        </w:rPr>
        <w:t>decisions of our general partner regarding the amount and timing of asset purchases and sales, cash expenditures, borrowings, issuances of additional units, and the establishment of additional reserves in any quarter may affect the level of cash available to pay quarterly distributions to our unitholders;</w:t>
      </w:r>
    </w:p>
    <w:p>
      <w:pPr>
        <w:spacing w:after="0" w:line="127" w:lineRule="exact"/>
        <w:rPr>
          <w:rFonts w:ascii="Arial" w:cs="Arial" w:eastAsia="Arial" w:hAnsi="Arial"/>
          <w:sz w:val="26"/>
          <w:szCs w:val="26"/>
          <w:color w:val="auto"/>
          <w:vertAlign w:val="superscript"/>
        </w:rPr>
      </w:pPr>
    </w:p>
    <w:p>
      <w:pPr>
        <w:ind w:left="500" w:hanging="330"/>
        <w:spacing w:after="0"/>
        <w:tabs>
          <w:tab w:leader="none" w:pos="50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under our partnership agreement, our general partner determines which costs incurred by it and its affiliates are reimbursable by us;</w:t>
      </w:r>
    </w:p>
    <w:p>
      <w:pPr>
        <w:spacing w:after="0" w:line="228" w:lineRule="exact"/>
        <w:rPr>
          <w:rFonts w:ascii="Arial" w:cs="Arial" w:eastAsia="Arial" w:hAnsi="Arial"/>
          <w:sz w:val="29"/>
          <w:szCs w:val="29"/>
          <w:color w:val="auto"/>
          <w:vertAlign w:val="superscript"/>
        </w:rPr>
      </w:pPr>
    </w:p>
    <w:p>
      <w:pPr>
        <w:ind w:left="500" w:hanging="330"/>
        <w:spacing w:after="0" w:line="221" w:lineRule="auto"/>
        <w:tabs>
          <w:tab w:leader="none" w:pos="500" w:val="left"/>
        </w:tabs>
        <w:numPr>
          <w:ilvl w:val="0"/>
          <w:numId w:val="39"/>
        </w:numPr>
        <w:rPr>
          <w:rFonts w:ascii="Arial" w:cs="Arial" w:eastAsia="Arial" w:hAnsi="Arial"/>
          <w:sz w:val="26"/>
          <w:szCs w:val="26"/>
          <w:color w:val="auto"/>
          <w:vertAlign w:val="superscript"/>
        </w:rPr>
      </w:pPr>
      <w:r>
        <w:rPr>
          <w:rFonts w:ascii="Arial" w:cs="Arial" w:eastAsia="Arial" w:hAnsi="Arial"/>
          <w:sz w:val="16"/>
          <w:szCs w:val="16"/>
          <w:color w:val="auto"/>
        </w:rPr>
        <w:t>our general partner is allowed to resolve any conflicts of interest involving us and our general partner and its affiliates, and may take into account the interests of parties other than us, such as EPCO, in resolving conflicts of interest, which has the effect of limiting its fiduciary duty to our unitholders;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hanging="330"/>
        <w:spacing w:after="0" w:line="198" w:lineRule="auto"/>
        <w:tabs>
          <w:tab w:leader="none" w:pos="50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any resolution of a conflict of interest by our general partner not made in bad faith and that is fair and reasonable to us is binding on the partners and is not a breach of our partnership agreement;</w:t>
      </w:r>
    </w:p>
    <w:p>
      <w:pPr>
        <w:spacing w:after="0" w:line="126" w:lineRule="exact"/>
        <w:rPr>
          <w:rFonts w:ascii="Arial" w:cs="Arial" w:eastAsia="Arial" w:hAnsi="Arial"/>
          <w:sz w:val="29"/>
          <w:szCs w:val="29"/>
          <w:color w:val="auto"/>
          <w:vertAlign w:val="superscript"/>
        </w:rPr>
      </w:pPr>
    </w:p>
    <w:p>
      <w:pPr>
        <w:ind w:left="500" w:hanging="330"/>
        <w:spacing w:after="0"/>
        <w:tabs>
          <w:tab w:leader="none" w:pos="50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affiliates of our general partner may compete with us in certain circumstances;</w:t>
      </w:r>
    </w:p>
    <w:p>
      <w:pPr>
        <w:spacing w:after="0" w:line="228" w:lineRule="exact"/>
        <w:rPr>
          <w:rFonts w:ascii="Arial" w:cs="Arial" w:eastAsia="Arial" w:hAnsi="Arial"/>
          <w:sz w:val="29"/>
          <w:szCs w:val="29"/>
          <w:color w:val="auto"/>
          <w:vertAlign w:val="superscript"/>
        </w:rPr>
      </w:pPr>
    </w:p>
    <w:p>
      <w:pPr>
        <w:jc w:val="both"/>
        <w:ind w:left="500" w:hanging="330"/>
        <w:spacing w:after="0" w:line="223" w:lineRule="auto"/>
        <w:tabs>
          <w:tab w:leader="none" w:pos="500" w:val="left"/>
        </w:tabs>
        <w:numPr>
          <w:ilvl w:val="0"/>
          <w:numId w:val="40"/>
        </w:numPr>
        <w:rPr>
          <w:rFonts w:ascii="Arial" w:cs="Arial" w:eastAsia="Arial" w:hAnsi="Arial"/>
          <w:sz w:val="28"/>
          <w:szCs w:val="28"/>
          <w:color w:val="auto"/>
          <w:vertAlign w:val="superscript"/>
        </w:rPr>
      </w:pPr>
      <w:r>
        <w:rPr>
          <w:rFonts w:ascii="Arial" w:cs="Arial" w:eastAsia="Arial" w:hAnsi="Arial"/>
          <w:sz w:val="17"/>
          <w:szCs w:val="17"/>
          <w:color w:val="auto"/>
        </w:rPr>
        <w:t>our general partner has limited its liability and reduced its fiduciary duties and has also restricted the remedies available to our unitholders for actions that might, without the limitations, constitute breaches of fiduciary duty. As a result of purchasing our units, you are deemed to consent to some actions and conflicts of interest that might otherwise constitute a breach of fiduciary or other duties under applicable law;</w:t>
      </w:r>
    </w:p>
    <w:p>
      <w:pPr>
        <w:spacing w:after="0" w:line="125" w:lineRule="exact"/>
        <w:rPr>
          <w:rFonts w:ascii="Arial" w:cs="Arial" w:eastAsia="Arial" w:hAnsi="Arial"/>
          <w:sz w:val="28"/>
          <w:szCs w:val="28"/>
          <w:color w:val="auto"/>
          <w:vertAlign w:val="superscript"/>
        </w:rPr>
      </w:pPr>
    </w:p>
    <w:p>
      <w:pPr>
        <w:ind w:left="500" w:hanging="330"/>
        <w:spacing w:after="0"/>
        <w:tabs>
          <w:tab w:leader="none" w:pos="50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we do not have any employees and we rely solely on employees of EPCO and its affiliates;</w:t>
      </w:r>
    </w:p>
    <w:p>
      <w:pPr>
        <w:spacing w:after="0" w:line="139" w:lineRule="exact"/>
        <w:rPr>
          <w:rFonts w:ascii="Arial" w:cs="Arial" w:eastAsia="Arial" w:hAnsi="Arial"/>
          <w:sz w:val="29"/>
          <w:szCs w:val="29"/>
          <w:color w:val="auto"/>
          <w:vertAlign w:val="superscript"/>
        </w:rPr>
      </w:pPr>
    </w:p>
    <w:p>
      <w:pPr>
        <w:ind w:left="500" w:hanging="330"/>
        <w:spacing w:after="0" w:line="229" w:lineRule="auto"/>
        <w:tabs>
          <w:tab w:leader="none" w:pos="50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in some instances, our general partner may cause us to borrow funds in order to permit the payment of distributions;</w:t>
      </w:r>
    </w:p>
    <w:p>
      <w:pPr>
        <w:spacing w:after="0" w:line="229" w:lineRule="exact"/>
        <w:rPr>
          <w:rFonts w:ascii="Arial" w:cs="Arial" w:eastAsia="Arial" w:hAnsi="Arial"/>
          <w:sz w:val="29"/>
          <w:szCs w:val="29"/>
          <w:color w:val="auto"/>
          <w:vertAlign w:val="superscript"/>
        </w:rPr>
      </w:pPr>
    </w:p>
    <w:p>
      <w:pPr>
        <w:ind w:left="500" w:hanging="330"/>
        <w:spacing w:after="0" w:line="198" w:lineRule="auto"/>
        <w:tabs>
          <w:tab w:leader="none" w:pos="50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our general partner may cause us to pay it or its affiliates for any services rendered to us or entering into additional contractual arrangements with any of these entities on our behalf;</w:t>
      </w:r>
    </w:p>
    <w:p>
      <w:pPr>
        <w:spacing w:after="0" w:line="229" w:lineRule="exact"/>
        <w:rPr>
          <w:rFonts w:ascii="Arial" w:cs="Arial" w:eastAsia="Arial" w:hAnsi="Arial"/>
          <w:sz w:val="29"/>
          <w:szCs w:val="29"/>
          <w:color w:val="auto"/>
          <w:vertAlign w:val="superscript"/>
        </w:rPr>
      </w:pPr>
    </w:p>
    <w:p>
      <w:pPr>
        <w:ind w:left="500" w:hanging="330"/>
        <w:spacing w:after="0" w:line="198" w:lineRule="auto"/>
        <w:tabs>
          <w:tab w:leader="none" w:pos="50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our general partner intends to limit its liability regarding our contractual and other obligations and, in some circumstances, may be entitled to be indemnified by us;</w:t>
      </w:r>
    </w:p>
    <w:p>
      <w:pPr>
        <w:spacing w:after="0" w:line="126" w:lineRule="exact"/>
        <w:rPr>
          <w:rFonts w:ascii="Arial" w:cs="Arial" w:eastAsia="Arial" w:hAnsi="Arial"/>
          <w:sz w:val="29"/>
          <w:szCs w:val="29"/>
          <w:color w:val="auto"/>
          <w:vertAlign w:val="superscript"/>
        </w:rPr>
      </w:pPr>
    </w:p>
    <w:p>
      <w:pPr>
        <w:ind w:left="500" w:hanging="330"/>
        <w:spacing w:after="0"/>
        <w:tabs>
          <w:tab w:leader="none" w:pos="50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our general partner controls the enforcement of obligations owed to us by our general partner and its affiliates; and</w:t>
      </w:r>
    </w:p>
    <w:p>
      <w:pPr>
        <w:spacing w:after="0" w:line="139" w:lineRule="exact"/>
        <w:rPr>
          <w:rFonts w:ascii="Arial" w:cs="Arial" w:eastAsia="Arial" w:hAnsi="Arial"/>
          <w:sz w:val="29"/>
          <w:szCs w:val="29"/>
          <w:color w:val="auto"/>
          <w:vertAlign w:val="superscript"/>
        </w:rPr>
      </w:pPr>
    </w:p>
    <w:p>
      <w:pPr>
        <w:ind w:left="500" w:hanging="330"/>
        <w:spacing w:after="0" w:line="229" w:lineRule="auto"/>
        <w:tabs>
          <w:tab w:leader="none" w:pos="50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our general partner decides whether to retain separate counsel, accountants or others to perform services for us.</w:t>
      </w:r>
    </w:p>
    <w:p>
      <w:pPr>
        <w:spacing w:after="0" w:line="23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significant business relationships with entities controlled by EPCO and Dan Duncan LLC. For information regarding these relationships and related party transactions with EPCO and its affiliates, see Note 15 of the Notes to Consolidated Financial Statements included under Part II, Item 8 of this annual report. Additional information regarding our relationship with EPCO and its affiliates can also be found under Part III, Item 13 of this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The NYSE does not require a publicly traded limited partnership like us to comply with certain of its corporate governance requirements.</w:t>
      </w:r>
    </w:p>
    <w:p>
      <w:pPr>
        <w:spacing w:after="0" w:line="26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currently list our common units on the NYSE under the symbol “EPD.” Because we are a publicly traded limited partnership, the NYSE does not require us to have a majority of independent directors on our general partner’s Board or to establish a compensation committee or a nominating and corporate governance committee. Additionally, any future issuance of additional common units or other securities, including to affiliates, will not be subject to the NYSE’s shareholder approval rules that apply to a corporation. Accordingly, unitholders do not have the same protections afforded to certain corporations that are subject to all of the NYSE corporate governance requirements. See Part III, Item 10 of this annual report for additional information.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Unitholders have limited voting rights and are not entitled to elect our general partner or its directors. In addition, even if unitholders are dissatisfied, they cannot easily remove our general partner.</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Unlike the holders of common stock in a corporation, unitholders have only limited voting rights on matters affecting our business and, therefore, limited ability to influence management’s decisions regarding our business. Unitholders did not elect our general partner or its directors and will have no right to elect our general partner or its directors on an annual or other continuing basis. The owners of our general partner choose the directors of our general partner.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Furthermore, if unitholders are dissatisfied with the performance of our general partner, they currently have no practical ability to remove our general partner or its officers or directors. Our general partner may not be removed except upon the vote of the holders of at least 60% of our outstanding units voting together as a single class. Since affiliates of our general partner currently own approximately 32% of our outstanding common units, the removal of Enterprise GP as our general partner is highly unlikely without the consent of both our general partner and its affiliates. As a result of this provision, the trading price of our common units may be lower than other forms of equity ownership because of the absence of a takeover premium in the trading price.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Our partnership agreement restricts the voting rights of unitholders owning 20% or more of our common units.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Unitholders’ voting rights are further restricted by a provision in our partnership agreement stating that any units held by a person that owns 20% or more of any class of our common units then outstanding, other than our general partner and its affiliates, cannot be voted on any matter. In addition, our partnership agreement contains provisions limiting the ability of unitholders to call meetings or to acquire information about our operations, as well as other provisions limiting our unitholders’ ability to influence our management. As a result of this provision, the trading price of our common units may be lower than other forms of equity ownership because of the absence of a takeover premium in the trading price.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Our general partner has a limited call right that may require common unitholders to sell their common units at an undesirable time or price.</w:t>
      </w:r>
    </w:p>
    <w:p>
      <w:pPr>
        <w:spacing w:after="0" w:line="26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at any time our general partner and its affiliates own 85% or more of the common units then outstanding, our general partner will have the right, but not the obligation, which it may assign to any of its affiliates or to us, to acquire all, but not less than all, of the remaining common units held by unaffiliated persons at a price not less than the then current market price. As a result, common unitholders may be required to sell their common units at an undesirable time or price and may therefore not receive any return on their investment. Unitholders may also incur a tax liability upon the sale of their common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Our common unitholders may not have limited liability if a court finds that limited partner actions constitute control of our business.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Delaware law, common unitholders could be held liable for our obligations to the same extent as a general partner if a court determined that the right of limited partners to remove our general partner or to take other action under our partnership agreement constituted participation in the “control” of our business. Under Delaware law, our general partner generally has unlimited liability for our obligations, such as our debts and environmental liabilities, except for those of our contractual obligations that are expressly made without recourse to our general partner.</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limitations on the liability of holders of limited partner interests for the obligations of a limited partnership have not been clearly established in some of the states in which we do business. You could have unlimited liability for our obligations if a court or government agency determined that (i) we were conducting business in a state, but had not complied with that particular state’s partnership statute; or (ii) your right to act with other unitholders to remove or replace our general partner, to approve some amendments to our partnership agreement or to take other actions under our partnership agreement constituted “control” of our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Unitholders may have a liability to repay distributions.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certain circumstances, our unitholders may have to repay amounts wrongfully distributed to them. Under Section 17-607 of the Delaware Revised Uniform Limited Partnership Act, we may not make a distribution to our unitholders if the distribution would cause our liabilities to exceed the fair value of our assets. Liabilities to partners on account of their partnership interests and liabilities that are non-recourse to the partnership are not counted for purposes of determining whether a distribution is permitted. 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 A purchaser of common units who becomes a limited partner is liable for the obligations of the transferring limited partner to make contributions to the partnership that are known to such purchaser of common units at the time it became a limited partner, and for unknown obligations if the liabilities could be determined from our partnership agreement.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Our general partner’s interest in us and the control of our general partner may be transferred to a third party without unitholder consent.</w:t>
      </w:r>
    </w:p>
    <w:p>
      <w:pPr>
        <w:spacing w:after="0" w:line="2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general partner, in accordance with our partnership agreement, may transfer its general partner interest without the consent of unitholders. In addition, our general partner may transfer its general partner interest to a third party in a merger or consolidation or in a sale of all or substantially all of its assets without the consent of our unitholders. Furthermore, there is no restriction in our partnership agreement on the ability of the sole member of our general partner, currently Dan Duncan LLC, to transfer its equity interests in our general partner to a third party. The new equity owner of our general partner would then be in a position to replace the Board and officers of our general partner with their own choices and to influence the decisions taken by the Board and officers of our general partner.</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We do not have the same flexibility as other types of organizations to accumulate cash and issue equity to protect against illiquidity in the future.</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Unlike a corporation, our partnership agreement requires us to make quarterly distributions to our unitholders of all available cash, after taking into account reserves for commitments and contingencies, including capital and operating costs and debt service requirements. The value of our common units and other limited partner interests may decrease in correlation with any reduction in our cash distributions per unit. Accordingly, if we experience a liquidity problem in the future, we may not be able to issue more equity to recapitalize.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Common Unitholders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u w:val="single" w:color="auto"/>
          <w:color w:val="auto"/>
        </w:rPr>
        <w:t>Our tax treatment depends on our status as a partnership for federal income tax purposes, as well as our not being subject to a material amount of entity-level taxation by individual states. If the Internal Revenue Service were to treat us as a corporation for federal income tax purposes or if we were otherwise subject to a material amount of entity-level taxation, then cash available for distribution to our unitholders would be reduced.</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anticipated after-tax economic benefit of an investment in our common units depends largely on our being treated as a partnership for federal income tax purposes. Despite the fact that we are organized as a limited partnership under Delaware law, we will be treated as a corporation for federal income tax purposes unless we satisfy a “qualifying income” requirement. Based on our current operations, we believe we satisfy the qualifying income requirement. Failing to meet the qualifying income requirement or a change in current law could cause us to be treated as a corporation for federal income tax purposes or otherwise subject us to taxation as an entity. We have not requested, and do not plan to request, a ruling from the Internal Revenue Service (“IRS”) with respect to our classification as a partnership for federal income tax purposes.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we were treated as a corporation for federal income tax purposes, we would pay federal income tax on our taxable income at the corporate tax rate and we would also likely pay additional state and local income taxes at varying rates. Distributions to our unitholders would generally be taxed again as corporate dividends, and no income, gains, losses or deductions would flow through to our unitholders. Because a tax would be imposed upon us as a corporation, the cash available for distribution to our unitholders would be reduced. Thus, treatment of us as a corporation could result in a reduction in the anticipated cash-flow and after-tax return to our unitholders, which would cause a reduction in the value of our common units.</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the state level, several states have been evaluating ways to subject partnerships to entity-level taxation through the imposition of state income, franchise, capital, and other forms of business taxes, as well as subjecting nonresident partners to taxation through the imposition of withholding obligations and composite, combined, group, block, or similar filing obligations on nonresident partners receiving a distributive share of state “sourced” income. We currently own property or do business in a substantial number of states. Imposition on us of any of these taxes in jurisdictions in which we own assets or conduct business or an increase in the existing tax rates could substantially reduce the cash available for distribution to our unitholders.</w:t>
      </w:r>
    </w:p>
    <w:p>
      <w:pPr>
        <w:spacing w:after="0" w:line="17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From 2013 through 2017, several publicly traded partnerships merged into their corporate general partner sponsors. In 2018 and continuing into 2019, the combination of a number of additional factors, including the passage of the Tax Cuts and Jobs Act (the “Tax Act”) of 2017 (which lowered the federal corporate tax rate from 35% to 21% and generally provides for the expensing of certain capital investments and acquisitions), the FERC issuing its Revised Policy Statement on the Treatment of Income Taxes in March 2018, and, generally, continued lower demand and related liquidity for midstream energy companies (including those structured as publicly traded partnerships), led to additional publicly traded partnerships to either (i) merge into their corporate general partner sponsors, (ii) merge into their general partner structured as a partnership and then elect for the combined entity to be taxed as a corporation, or</w:t>
      </w:r>
    </w:p>
    <w:p>
      <w:pPr>
        <w:spacing w:after="0" w:line="5" w:lineRule="exact"/>
        <w:rPr>
          <w:sz w:val="20"/>
          <w:szCs w:val="20"/>
          <w:color w:val="auto"/>
        </w:rPr>
      </w:pPr>
    </w:p>
    <w:p>
      <w:pPr>
        <w:ind w:firstLine="8"/>
        <w:spacing w:after="0" w:line="261" w:lineRule="auto"/>
        <w:tabs>
          <w:tab w:leader="none" w:pos="317" w:val="left"/>
        </w:tabs>
        <w:numPr>
          <w:ilvl w:val="0"/>
          <w:numId w:val="41"/>
        </w:numPr>
        <w:rPr>
          <w:rFonts w:ascii="Arial" w:cs="Arial" w:eastAsia="Arial" w:hAnsi="Arial"/>
          <w:sz w:val="18"/>
          <w:szCs w:val="18"/>
          <w:color w:val="auto"/>
        </w:rPr>
      </w:pPr>
      <w:r>
        <w:rPr>
          <w:rFonts w:ascii="Arial" w:cs="Arial" w:eastAsia="Arial" w:hAnsi="Arial"/>
          <w:sz w:val="18"/>
          <w:szCs w:val="18"/>
          <w:color w:val="auto"/>
        </w:rPr>
        <w:t>voluntarily elect to be taxed as a corporation. These conversions have materially reduced the number of publicly traded partnerships and the total market capitalization and the depth of capital available for the publicly traded partnership sector.</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we currently believe that our classification as a partnership for federal income tax purposes continues to provide a net benefit for our unitholders, should we continue to see (i) additional publicly traded partnerships elect to be taxed as corporations, which could result in a further decrease in the total market capitalization of the publicly traded partnership sector, (ii) lower demand for equity capital in the publicly traded partnership sector, (iii) the absence of a historic premium in the market valuation of publicly traded partnerships compared to midstream energy companies taxed as corporations (or if we see any discount in the valuation of our partnership compared to such companies), or (iv) a combination thereof that results in a material difference in our cost of capital or limits our access to capital, the board of directors of our general partner may determine it is in our unitholders’ best interest to change our classification as a partnership for federal income tax purposes. Should the general partner recommend that we change our tax classification, such change would be subject to the approval of our common unitholders.</w:t>
      </w:r>
    </w:p>
    <w:p>
      <w:pPr>
        <w:spacing w:after="0" w:line="2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u w:val="single" w:color="auto"/>
          <w:color w:val="auto"/>
        </w:rPr>
        <w:t>The tax treatment of publicly traded partnerships or an investment in our common units could be subject to potential legislative, judicial or administrative changes and differing interpretations, possibly on a retroactive basis.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present federal income tax treatment of publicly traded partnerships, including us, or an investment in our common units, may be modified by administrative, legislative or judicial interpretation. For example, from time to time, members of Congress propose and consider substantive changes to the existing federal income tax laws that affect publicly traded partnerships or an investment in our common units.</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the Tax Act enacted in 2017, made significant changes to the federal income tax rules applicable to both individuals and entities, including changes to the effective tax rate on an individual or other non-corporate unitholder’s allocable share of certain income from a publicly traded partnership. The Tax Act is complex and the Treasury Department and IRS continue to release regulations relating to and interpretive guidance of the legislation contained in the Tax Act. Thus, unitholders should consult their tax advisor regarding the Tax Act and its effect on an investment in our common units.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changes to federal income tax laws and interpretations thereof (including administrative guidance relating to the Tax Act) may or may not be applied retroactively and could make it more difficult or impossible for us to be treated as a partnership for federal income tax purposes or otherwise adversely affect our business, financial condition or results of operations. Any such changes or interpretations thereof could adversely impact the value of an investment in our common units.</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u w:val="single" w:color="auto"/>
          <w:color w:val="auto"/>
        </w:rPr>
        <w:t>We prorate our items of income, gain, loss and deduction between transferors and transferees of our common units each month based upon the ownership of our common units on the first day of each month, instead of on the basis of the date a particular common unit is transferred.</w:t>
      </w:r>
    </w:p>
    <w:p>
      <w:pPr>
        <w:spacing w:after="0" w:line="15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generally prorate our items of income, gain, loss and deduction between transferors and transferees of our common units each month based upon the ownership of the units on the first day of each month, instead of on the basis of the date a particular unit is transferred. Treasury Regulations allow a similar monthly simplifying convention, but such regulations do not specifically authorize all aspects of our proration method. If the IRS were to successfully challenge our proration method, we may be required to change the allocation of items of income, gain, loss and deduction among our unitholders.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A successful IRS contest of the federal income tax positions we take may adversely impact the market for our common units and the cost of any IRS contest will reduce our cash available for distribution to unitholders.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IRS has made no determination as to our status as a partnership for U.S. federal income tax purposes. The IRS may adopt positions that differ from the positions we take, even positions taken with advice of counsel. It may be necessary to resort to administrative or court proceedings to sustain some or all of the positions we take and such positions may not ultimately be sustained. A court may not agree with some or all of the positions we take. As a result, any such contest with the IRS may materially and adversely impact the market for our common units and the price at which our common units trade. In addition, our costs of any contest with the IRS, principally legal, accounting and related fees, will be indirectly borne by our unitholders because the costs will reduce our cash available for distribution.</w:t>
      </w:r>
    </w:p>
    <w:p>
      <w:pPr>
        <w:spacing w:after="0" w:line="22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b w:val="1"/>
          <w:bCs w:val="1"/>
          <w:i w:val="1"/>
          <w:iCs w:val="1"/>
          <w:u w:val="single" w:color="auto"/>
          <w:color w:val="auto"/>
        </w:rPr>
        <w:t>If the IRS makes audit adjustments to our income tax returns for tax years beginning after December 31, 2017, it (and some states) may assess and collect any taxes (including any applicable penalties and interest) resulting from such audit adjustment directly from us, in which case we would pay the taxes directly to the IRS. If we bear such payment, our cash available for distribution to our unitholders might be substantially reduced.</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 directly from us. Our general partner would cause us to pay the taxes (including any applicable penalties and interest) directly to the IRS. As a result, our current unitholders may bear some or all of the tax liability resulting from such audit adjustment, even if such unitholders did not own common units in us during the tax year under audit. If, as a result of any such audit adjustment, we are required to make payments of taxes, penalties and interest, our cash available for distribution to our unitholders might be substantially reduced.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Our unitholders may be required to pay taxes on their share of our income even if they do not receive any cash distributions from us.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our unitholders will be treated as partners to whom we will allocate taxable income which could be different in amount from the cash that we distribute, our unitholders may be required to pay federal income taxes and, in some cases, state and local income taxes on their share of our taxable income, whether or not they receive any cash distributions from us. Our common unitholders may not receive cash distributions from us equal to their share of our taxable income or even equal to the actual tax liability resulting from their share of our taxable income.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Tax gains or losses on the disposition of our common units could be more or less than expected</w:t>
      </w:r>
      <w:r>
        <w:rPr>
          <w:rFonts w:ascii="Arial" w:cs="Arial" w:eastAsia="Arial" w:hAnsi="Arial"/>
          <w:sz w:val="18"/>
          <w:szCs w:val="18"/>
          <w:b w:val="1"/>
          <w:bCs w:val="1"/>
          <w:u w:val="single" w:color="auto"/>
          <w:color w:val="auto"/>
        </w:rPr>
        <w:t>.</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our unitholders sell their common units, they will recognize a gain or loss equal to the difference between the amount realized and their tax basis in those common units. Because distributions in excess of a unitholder’s allocable share of our net taxable income decrease the unitholder’s tax basis in the unitholder’s common units, the amount, if any, of such prior excess distributions with respect to the common units a unitholder sells will, in effect, become taxable income to the unitholder if the unitholder sells such common units at a price greater than the unitholder’s tax basis in those common units, even if the price received is less than the unitholder’s original cost. A substantial portion of the amount realized, whether or not representing gain, may be taxed as ordinary income due to potential recapture items such as depreciation. In addition, because the amount realized may include a unitholder’s share of our nonrecourse liabilities, a unitholder that sells common units may incur a tax liability in excess of the amount of the cash received from the sale.</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Tax-exempt entities and non-U.S. persons face unique tax issues from owning our common units that may result in adverse tax consequences to them.</w:t>
      </w:r>
    </w:p>
    <w:p>
      <w:pPr>
        <w:spacing w:after="0" w:line="2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Investments in our common units by tax-exempt entities, such as individual retirement accounts (“IRAs”) or other retirement plans, and non-U.S. persons raise issues unique to them. For example, virtually all of our income allocated to unitholders who are organizations exempt from federal income tax, including IRAs and other retirement plans, will be unrelated business taxable income and will be taxable to them. Distributions to non-U.S. persons will be reduced by withholding taxes at the highest applicable effective tax rate, and non-U.S. persons will be required to file U.S. federal income tax returns and pay tax on their share of our taxable income.</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Additionally, gain recognized by a non-U.S. person on the sale of common units occurring on or after November 27, 2017, will generally be treated as effectively connected income and subject to U.S. federal income tax. The transferee of such common units is generally required to withhold 10% of the amount realized by the transferor unless the transferor certifies that it is not a foreign person, and we are required to deduct and withhold from the transferee amounts that should have been withheld by the transferee but were not withheld. The IRS has issued proposed regulations that would treat the total cash purchase price for a common unit as the amount realized for purposes of this 10% withholding tax. This withholding tax obligation is currently suspended in the case of a disposition of certain publicly traded partnership interests, including our common units, until 60 days after the proposed regulations are finalized. A unitholder that is a tax-exempt entity or a non-U.S. person should consult a tax advisor before investing in our common units.</w:t>
      </w:r>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u w:val="single" w:color="auto"/>
          <w:color w:val="auto"/>
        </w:rPr>
        <w:t>We treat each purchaser of our common units as having the same tax benefits without regard to the common units purchased. The IRS may challenge this treatment, which could adversely affect the value of our common units.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we cannot match transferors and transferees of common units, we adopt depreciation and amortization positions that may not conform to all aspects of existing Treasury Regulations. A successful IRS challenge to those positions could adversely affect the amount of tax benefits available to a common unitholder. It also could affect the timing of these tax benefits or the amount of gain from a sale of common units and could have a negative impact on the value of our common units or result in audit adjustments to the unitholder’s tax returns.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Our common unitholders will likely be subject to state and local taxes and return filing requirements in states where they do not live as a result of an investment in our common units.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federal income taxes, our common unitholders will likely be subject to other taxes, such as state and local income taxes, unincorporated business taxes and estate, inheritance or intangible taxes imposed by the various jurisdictions in which we do business or own property now or in the future, even if the unitholder does not live in any of those jurisdictions. Our common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or conduct business in a substantial number of states, many of which impose an income tax on individuals, corporations and other entities. As we make acquisitions or expand our business, we may control assets or conduct business in additional states that impose a personal or corporate income tax. It is the responsibility of each unitholder to file its own federal, state and local tax returns, as applicable.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u w:val="single" w:color="auto"/>
          <w:color w:val="auto"/>
        </w:rPr>
        <w:t>A unitholder whose common units are the subject of a securities loan (e.g., a loan to a “short seller” to cover a short sale of common units) may be considered as having disposed of those common units. If so, the unitholder would no longer be treated for tax purposes as a partner with respect to those common units during the period of the loan and may recognize gain or loss from the disposition.</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Because there are no specific rules governing the U.S. federal income tax consequence of loaning a partnership interest, a unitholder whose common units are the subject of a securities loan may be considered to have disposed of the loaned units. In that case, the unitholder may no longer be treated for tax purposes as a partner with respect to those common units during the period of the loan and the unitholder may recognize gain or loss from such disposition. Moreover, during the period of the loan, any of our income, gain, loss or deduction with respect to those common units may not be reportable by the unitholder and any cash distributions received by the unitholder as to those common units could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lending their common units.</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u w:val="single" w:color="auto"/>
          <w:color w:val="auto"/>
        </w:rPr>
        <w:t>We have adopted certain valuation methodologies in determining a unitholder’s allocations of income, gain, loss and deduction. The IRS may challenge these methods or the resulting allocations and such a challenge could adversely affect the value of our common units.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determining the items of income, gain, loss and deduction allocable to our unitholders, we must routinely determine the fair market value of our respective assets. Although we may from time to time consult with professional appraisers regarding valuation matters, we make fair market value estimates using a methodology based on the market value of our common units as a means to measure the fair market value of our respective assets. The IRS may challenge these valuation methods and the resulting allocations of income, gain, loss and deduction.</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successful IRS challenge to these methods or allocations could adversely affect the amount, character, and timing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1B. UNRESOLVED SEC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part of our normal business activities, we may be named as defendants in legal proceedings. Although we are insured against various risks to the extent we believe it is prudent, there is no assurance that the nature and amount of such insurance will be adequate, in every case, to fully indemnify us against losses arising from legal proceedings. We will vigorously defend the partnership in litigation matters. Except as set forth below, we are not aware of any material pending legal proceedings as of the filing date of this annual report to which we are a party, other than routine litigation incidental to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Transfer Matter</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a proposed pipeline project, we and Energy Transfer Partners, L.P. (“ETP”) signed a non-binding letter of intent in April 2011 that disclaimed any partnership or joint venture related to such project absent executed definitive documents and board approvals of the respective companies. Definitive agreements were never executed and board approval was never obtained for the potential pipeline project. In August 2011, the proposed pipeline project was cancelled due to a lack of customer support.</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September 2011, ETP filed suit against us and a third party in connection with the cancelled project alleging, among other things, that we and ETP had formed a “partnership.” The case was tried in the District Court of Dallas County, Texas, 298th Judicial District. While we firmly believe, and argued during our defense, that no agreement was ever executed forming a legal joint venture or partnership between the parties, the jury found that the actions of the two companies, nevertheless, constituted a legal partnership. As a result, the jury found that ETP was wrongfully excluded from a subsequent pipeline project involving a third party, and awarded ETP $319.4 million in actual damages on March 4, 2014. On July 29, 2014, the trial court entered judgment against us in an aggregate amount of $535.8 million, which included (i) $319.4 million as the amount of actual damages awarded by the jury, (ii) an additional $150.0 million in disgorgement for the alleged benefit we received due to a breach of fiduciary duties by us against ETP and (iii) prejudgment interest in the amount of $66.4 million. The trial court also awarded post-judgment interest on such aggregate amount, to accrue at a rate of 5%, compounded annually.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filed our Brief of the Appellant in the Court of Appeals for the Fifth District of Dallas, Texas on March 30, 2015 and ETP filed its Brief of Appellees on June 29, 2015. We filed our Reply Brief of Appellant on September 18, 2015. Oral argument was conducted on April 20, 2016, and the case was then submitted to the Court of Appeals for its consideration. On July 18, 2017, a panel of the Dallas Court of Appeals issued a unanimous opinion reversing the trial court’s judgment as to all of ETP’s claims against us, rendering judgment that ETP take nothing on those claims, and affirming our counterclaim against ETP of $0.8 million, plus interest.</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31, 2017, ETP filed a motion for rehearing before the Dallas Court of Appeals, which was denied on September 13, 2017. On December 27, 2017, ETP filed its Petition for Review with the Supreme Court of Texas and we filed our Response to the Petition for Review on February 26, 2018. On June 8, 2018, the Supreme Court of Texas requested that the parties file briefs on the merits, and the parties filed their respective submittals. On June 28, 2019, the Supreme Court of Texas requested oral argument, which was held on October 8, 2019. On January 31, 2020, the Supreme Court of Texas issued a unanimous opinion affirming the judgment of the Dallas Court of Appeals.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did not record a provision for this matter at December 31, 2019 as management believed that payment of damages by us was not probable.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PDH Litigation</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July 2013, we executed a contract with Foster Wheeler USA Corporation (“Foster Wheeler”) pursuant to which Foster Wheeler was to serve as the general contractor responsible for the engineering, procurement, construction and installation of our PDH 1 facility. In November 2014, Foster Wheeler was acquired by an affiliate of AMEC plc to form Amec Foster Wheeler plc, and Foster Wheeler is now known as Amec Foster Wheeler USA Corporation (“AFW”). In December 2015, Enterprise and AFW entered into a transition services agreement under which AFW was partially terminated from the PDH 1 project. In December 2015, Enterprise engaged a second contractor, Optimized Process Designs LLC (“OPD”), to complete the construction and installation of PDH 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 2016, we terminated AFW for cause and filed a lawsuit in the 151st Judicial Civil District Court of Harris County, Texas against AFW and its parent company, Amec Foster Wheeler plc, asserting claims for breach of contract, breach of warranty, fraudulent inducement, string-along fraud, gross negligence, professional negligence, negligent misrepresentation and attorneys’ fees. We intend to diligently prosecute these claims and seek all direct, consequential, and exemplary damages to which we may be entitled.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occasion, we are assessed monetary penalties by governmental authorities related to administrative or judicial proceedings involving environmental matters.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2019, we received a Notice of Violation from the U.S. Environmental Protection Agency in connection with regulatory requirements applicable to facilities that we operate in Baton Rouge, Louisiana. The eventual resolution of this matter may result in monetary sanctions in excess of $0.1 million; however, we do not expect such expenditures to be material to our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MARKET FOR REGISTRANT’S COMMON EQUITY, RELATED UNITHOLDER MATTERS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ISSUER PURCHASES OF EQUITY SECURITIES</w:t>
      </w:r>
    </w:p>
    <w:p>
      <w:pPr>
        <w:spacing w:after="0" w:line="200" w:lineRule="exact"/>
        <w:rPr>
          <w:sz w:val="20"/>
          <w:szCs w:val="20"/>
          <w:color w:val="auto"/>
        </w:rPr>
      </w:pPr>
    </w:p>
    <w:p>
      <w:pPr>
        <w:spacing w:after="0" w:line="2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units are listed on the NYSE under the ticker symbol “EPD.” As of January 31, 2020, there were approximately 2,300 unitholders of record of our common units. For information regarding our quarterly cash distributions to partners, see Note 8 of the Notes to Consolidated Financial Statements included under Part II, Item 8 of this annual report.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Issuance of Unregistered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issuances of unregistered equity securities during the year ended December 31,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Units Authorized for Issuance Under Equity Compensation Plan</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See “Securities Authorized for Issuance Under Equity Compensation Plans” included under Part III, Item 12 of this annual report, which is incorporated by reference into this Item 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equity repurchase activity during the fourth quarter of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Dollar Amount</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of Units</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That May</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Of Units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Purchased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Under the 2019</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as Part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Buyback</w:t>
            </w:r>
          </w:p>
        </w:tc>
        <w:tc>
          <w:tcPr>
            <w:tcW w:w="0" w:type="dxa"/>
            <w:vAlign w:val="bottom"/>
          </w:tcPr>
          <w:p>
            <w:pPr>
              <w:spacing w:after="0"/>
              <w:rPr>
                <w:sz w:val="1"/>
                <w:szCs w:val="1"/>
                <w:color w:val="auto"/>
              </w:rPr>
            </w:pPr>
          </w:p>
        </w:tc>
      </w:tr>
      <w:tr>
        <w:trPr>
          <w:trHeight w:val="149"/>
        </w:trPr>
        <w:tc>
          <w:tcPr>
            <w:tcW w:w="5960" w:type="dxa"/>
            <w:vAlign w:val="bottom"/>
            <w:vMerge w:val="restart"/>
          </w:tcPr>
          <w:p>
            <w:pPr>
              <w:ind w:left="2780"/>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 Units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2019 Buyback</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178"/>
        </w:trPr>
        <w:tc>
          <w:tcPr>
            <w:tcW w:w="5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per Unit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Program</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 thousands)</w:t>
            </w:r>
          </w:p>
        </w:tc>
        <w:tc>
          <w:tcPr>
            <w:tcW w:w="0" w:type="dxa"/>
            <w:vAlign w:val="bottom"/>
          </w:tcPr>
          <w:p>
            <w:pPr>
              <w:spacing w:after="0"/>
              <w:rPr>
                <w:sz w:val="1"/>
                <w:szCs w:val="1"/>
                <w:color w:val="auto"/>
              </w:rPr>
            </w:pPr>
          </w:p>
        </w:tc>
      </w:tr>
      <w:tr>
        <w:trPr>
          <w:trHeight w:val="216"/>
        </w:trPr>
        <w:tc>
          <w:tcPr>
            <w:tcW w:w="59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2019 Buyback Program: (1)</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October 2019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1,923,165</w:t>
            </w:r>
          </w:p>
        </w:tc>
        <w:tc>
          <w:tcPr>
            <w:tcW w:w="0" w:type="dxa"/>
            <w:vAlign w:val="bottom"/>
          </w:tcPr>
          <w:p>
            <w:pPr>
              <w:spacing w:after="0"/>
              <w:rPr>
                <w:sz w:val="1"/>
                <w:szCs w:val="1"/>
                <w:color w:val="auto"/>
              </w:rPr>
            </w:pPr>
          </w:p>
        </w:tc>
      </w:tr>
      <w:tr>
        <w:trPr>
          <w:trHeight w:val="216"/>
        </w:trPr>
        <w:tc>
          <w:tcPr>
            <w:tcW w:w="5960" w:type="dxa"/>
            <w:vAlign w:val="bottom"/>
          </w:tcPr>
          <w:p>
            <w:pPr>
              <w:ind w:left="120"/>
              <w:spacing w:after="0"/>
              <w:rPr>
                <w:sz w:val="20"/>
                <w:szCs w:val="20"/>
                <w:color w:val="auto"/>
              </w:rPr>
            </w:pPr>
            <w:r>
              <w:rPr>
                <w:rFonts w:ascii="Arial" w:cs="Arial" w:eastAsia="Arial" w:hAnsi="Arial"/>
                <w:sz w:val="14"/>
                <w:szCs w:val="14"/>
                <w:color w:val="auto"/>
              </w:rPr>
              <w:t>November 2019</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1,923,165</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December 2019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1,923,165</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4"/>
                <w:szCs w:val="14"/>
                <w:color w:val="auto"/>
              </w:rPr>
              <w:t>Vesting of phantom unit awards: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October 2019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6"/>
        </w:trPr>
        <w:tc>
          <w:tcPr>
            <w:tcW w:w="5960" w:type="dxa"/>
            <w:vAlign w:val="bottom"/>
          </w:tcPr>
          <w:p>
            <w:pPr>
              <w:ind w:left="120"/>
              <w:spacing w:after="0"/>
              <w:rPr>
                <w:sz w:val="20"/>
                <w:szCs w:val="20"/>
                <w:color w:val="auto"/>
              </w:rPr>
            </w:pPr>
            <w:r>
              <w:rPr>
                <w:rFonts w:ascii="Arial" w:cs="Arial" w:eastAsia="Arial" w:hAnsi="Arial"/>
                <w:sz w:val="14"/>
                <w:szCs w:val="14"/>
                <w:color w:val="auto"/>
              </w:rPr>
              <w:t>November 2019 (2)</w:t>
            </w:r>
          </w:p>
        </w:tc>
        <w:tc>
          <w:tcPr>
            <w:tcW w:w="1400" w:type="dxa"/>
            <w:vAlign w:val="bottom"/>
            <w:gridSpan w:val="3"/>
          </w:tcPr>
          <w:p>
            <w:pPr>
              <w:jc w:val="right"/>
              <w:ind w:right="120"/>
              <w:spacing w:after="0"/>
              <w:rPr>
                <w:sz w:val="20"/>
                <w:szCs w:val="20"/>
                <w:color w:val="auto"/>
              </w:rPr>
            </w:pPr>
            <w:r>
              <w:rPr>
                <w:rFonts w:ascii="Arial" w:cs="Arial" w:eastAsia="Arial" w:hAnsi="Arial"/>
                <w:sz w:val="14"/>
                <w:szCs w:val="14"/>
                <w:color w:val="auto"/>
              </w:rPr>
              <w:t>25,970</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26.26</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December 2019 (3)</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1,811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26.25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460" w:hanging="452"/>
        <w:spacing w:after="0" w:line="230" w:lineRule="auto"/>
        <w:tabs>
          <w:tab w:leader="none" w:pos="4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 January 2019, we announced the 2019 Buyback Program, which authorized the repurchase of up to $2 billion of EPD’s common units. See “Significant Recent Developments” under Part II, Item 7 of this annual report for additional information. Units repurchased under this program during 2019 were cancelled immediately upon acquisition.</w:t>
      </w:r>
    </w:p>
    <w:p>
      <w:pPr>
        <w:ind w:left="460" w:hanging="452"/>
        <w:spacing w:after="0" w:line="221" w:lineRule="auto"/>
        <w:tabs>
          <w:tab w:leader="none" w:pos="4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Of the 76,988 phantom unit awards that vested in November 2019 and converted to common units, 25,970 units were sold back to us by employees to cover related withholding tax requirements. These repurchases are not part of any announced program. We cancelled these units immediately upon acquisition.</w:t>
      </w:r>
    </w:p>
    <w:p>
      <w:pPr>
        <w:ind w:left="460" w:hanging="452"/>
        <w:spacing w:after="0" w:line="237" w:lineRule="auto"/>
        <w:tabs>
          <w:tab w:leader="none" w:pos="4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Of the 7,395 phantom unit awards that vested in December 2019 and converted to common units, 1,811 units were sold back to us by employees to cover related withholding tax requirements. These repurchases are not part of any announced program. We cancelled these units immediately upon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SELECTED FINANCIAL DATA.</w:t>
      </w:r>
    </w:p>
    <w:p>
      <w:pPr>
        <w:spacing w:after="0" w:line="200" w:lineRule="exact"/>
        <w:rPr>
          <w:sz w:val="20"/>
          <w:szCs w:val="20"/>
          <w:color w:val="auto"/>
        </w:rPr>
      </w:pPr>
    </w:p>
    <w:p>
      <w:pPr>
        <w:spacing w:after="0" w:line="2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selected historical consolidated financial data of our partnership. This information has been derived from and should be read in conjunction with our audited financial statements included under Part II, Item 8 of this annual report. As presented in the table, amounts are in millions (except per unit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7"/>
          </w:tcPr>
          <w:p>
            <w:pPr>
              <w:jc w:val="right"/>
              <w:ind w:right="28"/>
              <w:spacing w:after="0"/>
              <w:rPr>
                <w:sz w:val="20"/>
                <w:szCs w:val="20"/>
                <w:color w:val="auto"/>
              </w:rPr>
            </w:pPr>
            <w:r>
              <w:rPr>
                <w:rFonts w:ascii="Arial" w:cs="Arial" w:eastAsia="Arial" w:hAnsi="Arial"/>
                <w:sz w:val="14"/>
                <w:szCs w:val="14"/>
                <w:b w:val="1"/>
                <w:bCs w:val="1"/>
                <w:color w:val="auto"/>
              </w:rPr>
              <w:t>For the Year Ended December 31,</w:t>
            </w: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3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4"/>
                <w:szCs w:val="14"/>
                <w:b w:val="1"/>
                <w:bCs w:val="1"/>
                <w:color w:val="auto"/>
              </w:rPr>
              <w:t>Statement of operations data:</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revenues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32,789.2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36,534.2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29,241.5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23,022.3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27,027.9</w:t>
            </w:r>
          </w:p>
        </w:tc>
      </w:tr>
      <w:tr>
        <w:trPr>
          <w:trHeight w:val="216"/>
        </w:trPr>
        <w:tc>
          <w:tcPr>
            <w:tcW w:w="3800" w:type="dxa"/>
            <w:vAlign w:val="bottom"/>
          </w:tcPr>
          <w:p>
            <w:pPr>
              <w:ind w:left="180"/>
              <w:spacing w:after="0"/>
              <w:rPr>
                <w:sz w:val="20"/>
                <w:szCs w:val="20"/>
                <w:color w:val="auto"/>
              </w:rPr>
            </w:pPr>
            <w:r>
              <w:rPr>
                <w:rFonts w:ascii="Arial" w:cs="Arial" w:eastAsia="Arial" w:hAnsi="Arial"/>
                <w:sz w:val="14"/>
                <w:szCs w:val="14"/>
                <w:color w:val="auto"/>
              </w:rPr>
              <w:t>Cost of sales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22,065.8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26,789.8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21,487.0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15,710.9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19,612.9</w:t>
            </w: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costs and expenses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5,207.7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4,815.8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4,251.6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4,092.7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4,248.4</w:t>
            </w:r>
          </w:p>
        </w:tc>
      </w:tr>
      <w:tr>
        <w:trPr>
          <w:trHeight w:val="216"/>
        </w:trPr>
        <w:tc>
          <w:tcPr>
            <w:tcW w:w="3800" w:type="dxa"/>
            <w:vAlign w:val="bottom"/>
          </w:tcPr>
          <w:p>
            <w:pPr>
              <w:ind w:left="180"/>
              <w:spacing w:after="0"/>
              <w:rPr>
                <w:sz w:val="20"/>
                <w:szCs w:val="20"/>
                <w:color w:val="auto"/>
              </w:rPr>
            </w:pPr>
            <w:r>
              <w:rPr>
                <w:rFonts w:ascii="Arial" w:cs="Arial" w:eastAsia="Arial" w:hAnsi="Arial"/>
                <w:sz w:val="14"/>
                <w:szCs w:val="14"/>
                <w:color w:val="auto"/>
              </w:rPr>
              <w:t>Operating income</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6,078.7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5,408.6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3,928.9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3,580.7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3,540.2</w:t>
            </w: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4,687.1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4,238.5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2,553.0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2,558.4</w:t>
            </w:r>
          </w:p>
        </w:tc>
      </w:tr>
      <w:tr>
        <w:trPr>
          <w:trHeight w:val="216"/>
        </w:trPr>
        <w:tc>
          <w:tcPr>
            <w:tcW w:w="3800" w:type="dxa"/>
            <w:vAlign w:val="bottom"/>
          </w:tcPr>
          <w:p>
            <w:pPr>
              <w:ind w:left="180"/>
              <w:spacing w:after="0"/>
              <w:rPr>
                <w:sz w:val="20"/>
                <w:szCs w:val="20"/>
                <w:color w:val="auto"/>
              </w:rPr>
            </w:pPr>
            <w:r>
              <w:rPr>
                <w:rFonts w:ascii="Arial" w:cs="Arial" w:eastAsia="Arial" w:hAnsi="Arial"/>
                <w:sz w:val="14"/>
                <w:szCs w:val="14"/>
                <w:color w:val="auto"/>
              </w:rPr>
              <w:t>Net income attributable to limited partners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4,591.3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4,172.4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2,799.3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2,513.1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2,521.2</w:t>
            </w: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Earnings per unit:</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ind w:left="340"/>
              <w:spacing w:after="0"/>
              <w:rPr>
                <w:sz w:val="20"/>
                <w:szCs w:val="20"/>
                <w:color w:val="auto"/>
              </w:rPr>
            </w:pPr>
            <w:r>
              <w:rPr>
                <w:rFonts w:ascii="Arial" w:cs="Arial" w:eastAsia="Arial" w:hAnsi="Arial"/>
                <w:sz w:val="14"/>
                <w:szCs w:val="14"/>
                <w:color w:val="auto"/>
              </w:rPr>
              <w:t>Basic ($/unit)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1.30</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1.28</w:t>
            </w:r>
          </w:p>
        </w:tc>
      </w:tr>
      <w:tr>
        <w:trPr>
          <w:trHeight w:val="216"/>
        </w:trPr>
        <w:tc>
          <w:tcPr>
            <w:tcW w:w="38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Diluted ($/unit)</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1.26</w:t>
            </w:r>
          </w:p>
        </w:tc>
      </w:tr>
      <w:tr>
        <w:trPr>
          <w:trHeight w:val="216"/>
        </w:trPr>
        <w:tc>
          <w:tcPr>
            <w:tcW w:w="3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distributions per unit with respect to year</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1.7650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1.7250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1.6825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1.6100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1.5300</w:t>
            </w: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w w:val="92"/>
              </w:rPr>
              <w:t>At December 31,</w:t>
            </w: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3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4"/>
                <w:szCs w:val="14"/>
                <w:b w:val="1"/>
                <w:bCs w:val="1"/>
                <w:color w:val="auto"/>
              </w:rPr>
              <w:t>Balance sheet data:</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Property, plant and equipment, net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41,603.4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38,737.6</w:t>
            </w:r>
          </w:p>
        </w:tc>
        <w:tc>
          <w:tcPr>
            <w:tcW w:w="3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35,620.4</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33,292.5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32,034.7</w:t>
            </w:r>
          </w:p>
        </w:tc>
      </w:tr>
      <w:tr>
        <w:trPr>
          <w:trHeight w:val="216"/>
        </w:trPr>
        <w:tc>
          <w:tcPr>
            <w:tcW w:w="372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61,733.2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56,969.8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54,418.1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52,194.0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48,802.2</w:t>
            </w: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Long-term debt, including current maturities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27,625.1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26,178.2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24,568.7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23,697.7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22,540.8</w:t>
            </w:r>
          </w:p>
        </w:tc>
      </w:tr>
      <w:tr>
        <w:trPr>
          <w:trHeight w:val="216"/>
        </w:trPr>
        <w:tc>
          <w:tcPr>
            <w:tcW w:w="3720" w:type="dxa"/>
            <w:vAlign w:val="bottom"/>
          </w:tcPr>
          <w:p>
            <w:pPr>
              <w:ind w:left="180"/>
              <w:spacing w:after="0"/>
              <w:rPr>
                <w:sz w:val="20"/>
                <w:szCs w:val="20"/>
                <w:color w:val="auto"/>
              </w:rPr>
            </w:pPr>
            <w:r>
              <w:rPr>
                <w:rFonts w:ascii="Arial" w:cs="Arial" w:eastAsia="Arial" w:hAnsi="Arial"/>
                <w:sz w:val="14"/>
                <w:szCs w:val="14"/>
                <w:color w:val="auto"/>
              </w:rPr>
              <w:t>Total liabilities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35,905.7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32,677.6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31,645.7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29,928.0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28,301.1</w:t>
            </w: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equity</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25,827.5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24,292.2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22,772.4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22,266.0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20,501.1</w:t>
            </w:r>
          </w:p>
        </w:tc>
      </w:tr>
      <w:tr>
        <w:trPr>
          <w:trHeight w:val="216"/>
        </w:trPr>
        <w:tc>
          <w:tcPr>
            <w:tcW w:w="3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Limited partner units outstanding (millions)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2,189.2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2,184.9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2,161.1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2,117.6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2,012.6</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Fluctuations in our consolidated revenues and cost of sales amounts are explained in large part by changes in energy commodity prices. Energy commodity prices fluctuate for a variety of reasons, including supply and demand imbalances and geopolitical tensions. For additional information regarding energy commodity prices, see “Selected Energy Commodity Price Data” included under Part II, Item 7 of this annual report. General information regarding our results of operations can also be found under Part II, Item 7 of this annual report.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property, plant and equipment amounts increased over the last five years primarily due to investments in growth capital projects. For information regarding our capital investment program, see “Capital Investments” included under Part II, Item 7 of this annual report.</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Debt increased over the last five years primarily due to the funding of a portion of our capital investments using borrowings under bank credit agreements and the issuance of short- and long-term notes. For information regarding our debt, see Note 7 of the Notes to Consolidated Financial Statements included under Part II, Item 8 of this annual report.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equity balances, along with the number of common units outstanding, increased in each of the years presented due to the issuance of units in connection with our at-the-market program, distribution reinvestment plan and employee unit purchase plan. Net proceeds generated from the sale of common units were used to fund a portion of our capital investments.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of our financial condition, results of operations and related information for the years ended December 31, 2019 and 2018, including applicable year-to-year comparisons, should be read in conjunction with our Consolidated Financial Statements and accompanying notes included under Part II, Item 8 of this annual report. Our financial statements have been prepared in accordance with generally accepted accounting principles (“GAAP”) in the United States (“U.S.”).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Discussion and analysis of matters pertaining to the year ended December 31, 2017 and year-to-year comparisons between the years ended December 31, 2018 and 2017 are not included in this Form 10-K, but can be found under Part II, Item 7 of our annual report on Form 10-K for the year ended December 31, 2018 that was filed on March 1, 2019.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References Used in this Management’s Discussion and Analysis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Unless the context requires otherwise, references to “we,” “us,” “our” or “Enterprise” are intended to mean the business and operations of Enterprise Products Partners L.P. and its consolidated subsidiaries. References to “EPD” mean Enterprise Products Partners L.P. on a standalone basis. References to “EPO” mean Enterprise Products Operating LLC, which is an indirect wholly owned subsidiary of EPD, and its consolidated subsidiaries, through which EPD conducts its business. Enterprise is managed by its general partner, Enterprise Products Holdings LLC (“Enterprise GP”), which is a wholly owned subsidiary of Dan Duncan LLC, a privately held Texas limited liability company.</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membership interests of Dan Duncan LLC are owned by a voting trust, the current trustees (“DD LLC Trustees”) of which are: (i) Randa Duncan Williams, who is also a director and Chairman of the Board of Directors (the “Board”) of Enterprise GP; (ii) Richard H. Bachmann, who is also a director and Vice Chairman of the Board of Enterprise GP; and (iii) Dr. Ralph S. Cunningham, who is also an advisory director of Enterprise GP. Ms. Duncan Williams and Mr. Bachmann also currently serve as managers of Dan Duncan LLC along with W. Randall Fowler, who is also a director and the Co-Chief Executive Officer and Chief Financial Officer of Enterprise GP.</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References to “EPCO” mean Enterprise Products Company, a privately held Texas corporation, and its privately held affiliates. A majority of the outstanding voting capital stock of EPCO is owned by a voting trust, the current trustees (“EPCO Trustees”) of which are: (i) Ms. Duncan Williams, who serves as Chairman of EPCO; (ii) Dr. Cunningham, who serves as Vice Chairman of EPCO; and (iii) Mr. Bachmann, who serves as the President and Chief Executive Officer of EPCO. Ms. Duncan Williams and Mr. Bachmann also currently serve as directors of EPCO along with Mr. Fowler, who is also the Executive Vice President and Chief Financial Officer of EPCO. EPCO, together with its privately held affiliates, owned approximately 32% of EPD’s limited partner common units at December 31, 2019.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As generally used in the energy industry and in this annual report, the acronyms below have the following meanings:</w:t>
      </w:r>
    </w:p>
    <w:p>
      <w:pPr>
        <w:spacing w:after="0" w:line="25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20" w:type="dxa"/>
            <w:vAlign w:val="bottom"/>
            <w:shd w:val="clear" w:color="auto" w:fill="CCEEFF"/>
          </w:tcPr>
          <w:p>
            <w:pPr>
              <w:spacing w:after="0"/>
              <w:rPr>
                <w:sz w:val="20"/>
                <w:szCs w:val="20"/>
                <w:color w:val="auto"/>
              </w:rPr>
            </w:pPr>
            <w:r>
              <w:rPr>
                <w:rFonts w:ascii="Arial" w:cs="Arial" w:eastAsia="Arial" w:hAnsi="Arial"/>
                <w:sz w:val="14"/>
                <w:szCs w:val="14"/>
                <w:color w:val="auto"/>
              </w:rPr>
              <w:t>/d</w:t>
            </w:r>
          </w:p>
        </w:tc>
        <w:tc>
          <w:tcPr>
            <w:tcW w:w="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040" w:type="dxa"/>
            <w:vAlign w:val="bottom"/>
            <w:shd w:val="clear" w:color="auto" w:fill="CCEEFF"/>
          </w:tcPr>
          <w:p>
            <w:pPr>
              <w:ind w:left="80"/>
              <w:spacing w:after="0"/>
              <w:rPr>
                <w:sz w:val="20"/>
                <w:szCs w:val="20"/>
                <w:color w:val="auto"/>
              </w:rPr>
            </w:pPr>
            <w:r>
              <w:rPr>
                <w:rFonts w:ascii="Arial" w:cs="Arial" w:eastAsia="Arial" w:hAnsi="Arial"/>
                <w:sz w:val="14"/>
                <w:szCs w:val="14"/>
                <w:color w:val="auto"/>
              </w:rPr>
              <w:t>per day</w:t>
            </w:r>
          </w:p>
        </w:tc>
        <w:tc>
          <w:tcPr>
            <w:tcW w:w="1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MMBbls</w:t>
            </w:r>
          </w:p>
        </w:tc>
        <w:tc>
          <w:tcPr>
            <w:tcW w:w="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million barrels</w:t>
            </w:r>
          </w:p>
        </w:tc>
      </w:tr>
      <w:tr>
        <w:trPr>
          <w:trHeight w:val="149"/>
        </w:trPr>
        <w:tc>
          <w:tcPr>
            <w:tcW w:w="520" w:type="dxa"/>
            <w:vAlign w:val="bottom"/>
          </w:tcPr>
          <w:p>
            <w:pPr>
              <w:spacing w:after="0" w:line="149" w:lineRule="exact"/>
              <w:rPr>
                <w:sz w:val="20"/>
                <w:szCs w:val="20"/>
                <w:color w:val="auto"/>
              </w:rPr>
            </w:pPr>
            <w:r>
              <w:rPr>
                <w:rFonts w:ascii="Arial" w:cs="Arial" w:eastAsia="Arial" w:hAnsi="Arial"/>
                <w:sz w:val="14"/>
                <w:szCs w:val="14"/>
                <w:color w:val="auto"/>
              </w:rPr>
              <w:t>BBtus</w:t>
            </w:r>
          </w:p>
        </w:tc>
        <w:tc>
          <w:tcPr>
            <w:tcW w:w="2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  billion British thermal units</w:t>
            </w:r>
          </w:p>
        </w:tc>
        <w:tc>
          <w:tcPr>
            <w:tcW w:w="1100" w:type="dxa"/>
            <w:vAlign w:val="bottom"/>
          </w:tcPr>
          <w:p>
            <w:pPr>
              <w:ind w:left="380"/>
              <w:spacing w:after="0" w:line="149" w:lineRule="exact"/>
              <w:rPr>
                <w:sz w:val="20"/>
                <w:szCs w:val="20"/>
                <w:color w:val="auto"/>
              </w:rPr>
            </w:pPr>
            <w:r>
              <w:rPr>
                <w:rFonts w:ascii="Arial" w:cs="Arial" w:eastAsia="Arial" w:hAnsi="Arial"/>
                <w:sz w:val="14"/>
                <w:szCs w:val="14"/>
                <w:color w:val="auto"/>
              </w:rPr>
              <w:t>MMBPD</w:t>
            </w:r>
          </w:p>
        </w:tc>
        <w:tc>
          <w:tcPr>
            <w:tcW w:w="29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  million barrels per day</w:t>
            </w:r>
          </w:p>
        </w:tc>
      </w:tr>
      <w:tr>
        <w:trPr>
          <w:trHeight w:val="149"/>
        </w:trPr>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Bcf</w:t>
            </w:r>
          </w:p>
        </w:tc>
        <w:tc>
          <w:tcPr>
            <w:tcW w:w="2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0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billion cubic feet</w:t>
            </w:r>
          </w:p>
        </w:tc>
        <w:tc>
          <w:tcPr>
            <w:tcW w:w="11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MMBtus</w:t>
            </w:r>
          </w:p>
        </w:tc>
        <w:tc>
          <w:tcPr>
            <w:tcW w:w="29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  million British thermal units</w:t>
            </w:r>
          </w:p>
        </w:tc>
      </w:tr>
      <w:tr>
        <w:trPr>
          <w:trHeight w:val="149"/>
        </w:trPr>
        <w:tc>
          <w:tcPr>
            <w:tcW w:w="520" w:type="dxa"/>
            <w:vAlign w:val="bottom"/>
          </w:tcPr>
          <w:p>
            <w:pPr>
              <w:spacing w:after="0" w:line="149" w:lineRule="exact"/>
              <w:rPr>
                <w:sz w:val="20"/>
                <w:szCs w:val="20"/>
                <w:color w:val="auto"/>
              </w:rPr>
            </w:pPr>
            <w:r>
              <w:rPr>
                <w:rFonts w:ascii="Arial" w:cs="Arial" w:eastAsia="Arial" w:hAnsi="Arial"/>
                <w:sz w:val="14"/>
                <w:szCs w:val="14"/>
                <w:color w:val="auto"/>
              </w:rPr>
              <w:t>BPD</w:t>
            </w:r>
          </w:p>
        </w:tc>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040" w:type="dxa"/>
            <w:vAlign w:val="bottom"/>
          </w:tcPr>
          <w:p>
            <w:pPr>
              <w:ind w:left="80"/>
              <w:spacing w:after="0" w:line="149" w:lineRule="exact"/>
              <w:rPr>
                <w:sz w:val="20"/>
                <w:szCs w:val="20"/>
                <w:color w:val="auto"/>
              </w:rPr>
            </w:pPr>
            <w:r>
              <w:rPr>
                <w:rFonts w:ascii="Arial" w:cs="Arial" w:eastAsia="Arial" w:hAnsi="Arial"/>
                <w:sz w:val="14"/>
                <w:szCs w:val="14"/>
                <w:color w:val="auto"/>
              </w:rPr>
              <w:t>barrels per day</w:t>
            </w:r>
          </w:p>
        </w:tc>
        <w:tc>
          <w:tcPr>
            <w:tcW w:w="1100" w:type="dxa"/>
            <w:vAlign w:val="bottom"/>
          </w:tcPr>
          <w:p>
            <w:pPr>
              <w:ind w:left="380"/>
              <w:spacing w:after="0" w:line="149" w:lineRule="exact"/>
              <w:rPr>
                <w:sz w:val="20"/>
                <w:szCs w:val="20"/>
                <w:color w:val="auto"/>
              </w:rPr>
            </w:pPr>
            <w:r>
              <w:rPr>
                <w:rFonts w:ascii="Arial" w:cs="Arial" w:eastAsia="Arial" w:hAnsi="Arial"/>
                <w:sz w:val="14"/>
                <w:szCs w:val="14"/>
                <w:color w:val="auto"/>
              </w:rPr>
              <w:t>MMcf</w:t>
            </w:r>
          </w:p>
        </w:tc>
        <w:tc>
          <w:tcPr>
            <w:tcW w:w="34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580" w:type="dxa"/>
            <w:vAlign w:val="bottom"/>
          </w:tcPr>
          <w:p>
            <w:pPr>
              <w:ind w:left="80"/>
              <w:spacing w:after="0" w:line="149" w:lineRule="exact"/>
              <w:rPr>
                <w:sz w:val="20"/>
                <w:szCs w:val="20"/>
                <w:color w:val="auto"/>
              </w:rPr>
            </w:pPr>
            <w:r>
              <w:rPr>
                <w:rFonts w:ascii="Arial" w:cs="Arial" w:eastAsia="Arial" w:hAnsi="Arial"/>
                <w:sz w:val="14"/>
                <w:szCs w:val="14"/>
                <w:color w:val="auto"/>
              </w:rPr>
              <w:t>million cubic feet</w:t>
            </w:r>
          </w:p>
        </w:tc>
      </w:tr>
      <w:tr>
        <w:trPr>
          <w:trHeight w:val="149"/>
        </w:trPr>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MBPD</w:t>
            </w:r>
          </w:p>
        </w:tc>
        <w:tc>
          <w:tcPr>
            <w:tcW w:w="2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  thousand barrels per day</w:t>
            </w:r>
          </w:p>
        </w:tc>
        <w:tc>
          <w:tcPr>
            <w:tcW w:w="11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TBtus</w:t>
            </w:r>
          </w:p>
        </w:tc>
        <w:tc>
          <w:tcPr>
            <w:tcW w:w="29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  trillion British thermal units</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annual report on Form 10-K for the year ended December 31, 2019 (our “annual report”) contains various forward-looking statements and information that are based on our beliefs and those of Enterprise GP, as well as assumptions made by us and information currently available to us. When used in this document, words such as “anticipate,” “project,” “expect,” “plan,” “seek,” “goal,” “estimate,” “forecast,” “intend,” “could,” “should,” “would,” “will,” “believe,” “may,” “potential” and similar expressions and statements regarding our plans and objectives for future operations are intended to identify forward-looking statements. Although we and Enterprise GP believe that our expectations reflected in such forward-looking statements are reasonable, neither we nor Enterprise GP can give any assurances that such expectations will prove to be correct. Forward-looking statements are subject to a variety of risks, uncertainties and assumptions as described in more detail under Part I, Item 1A of this annual report. If one or more of these risks or uncertainties materialize, or if underlying assumptions prove incorrect, our actual results may vary materially from those anticipated, estimated, projected or expected. You should not put undue reliance on any forward-looking statements. The forward-looking statements in this annual report speak only as of the date hereof. Except as required by federal and state securities laws, we undertake no obligation to publicly update or revise any forward-looking statements, whether as a result of new information, future events or any other reason.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a publicly traded Delaware limited partnership, the common units of which are listed on the New York Stock Exchange (“NYSE”) under the ticker symbol “EPD.” We were formed in April 1998 to own and operate certain natural gas liquids (“NGLs”) related businesses of EPCO and are a leading North American provider of midstream energy services to producers and consumers of natural gas, NGLs, crude oil, petrochemicals and refined products.</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integrated midstream energy asset network links producers of natural gas, NGLs and crude oil from some of the largest supply basins in the U.S., Canada and the Gulf of Mexico with domestic consumers and international markets. Our midstream energy operations currently include: natural gas gathering, treating, processing, transportation and storage; NGL transportation, fractionation, storage, and export and import terminals (including those used to export liquefied petroleum gases, or “LPG,” and ethane); crude oil gathering, transportation, storage, and export and import terminals; petrochemical and refined products transportation, storage, export and import terminals, and related services; and a marine transportation business that operates primarily on the U.S. inland and Intracoastal Waterway systems. Our assets currently include approximately 50,000 miles of pipelines; 260 MMBbls of storage capacity for NGLs, crude oil, petrochemicals and refined products; and 14 Bcf of natural gas storage capacity.</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safe operation of our assets is a top priority. We are committed to protecting the environment and the health and safety of the public and those working on our behalf by conducting our business activities in a safe and environmentally responsible manner. For additional information, see “Environmental, Safety and Conservation” within the Regulatory Matters section of Part I, Items 1 and 2 of this annual report.</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 substantially all of our business through EPO and are owned 100% by our limited partners from an economic perspective. Enterprise GP manages our partnership and owns a non-economic general partner interest in us. We, Enterprise GP, EPCO and Dan Duncan LLC are affiliates under the collective common control of the DD LLC Trustees and the EPCO Trustees. Like many publicly traded partnerships, we have no employees. All of our management, administrative and operating functions are performed by employees of EPCO pursuant to an administrative services agreement (the “ASA”) or by other service providers.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operations are reported under four business segments: (i) NGL Pipelines &amp; Services, (ii) Crude Oil Pipelines &amp; Services, (iii) Natural Gas Pipelines &amp; Services, and (iv) Petrochemical &amp; Refined Products Services. Our business segments are generally organized and managed according to the types of services rendered (or technologies employed) and products produced and/or sold.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Each of our business segments benefits from the supporting role of our related marketing activities. The main purpose of our marketing activities is to support the utilization and expansion of assets across our midstream energy asset network by increasing the volumes handled by such assets, which results in additional fee-based earnings for each business segment. In performing these support roles, our marketing activities also seek to participate in supply and demand opportunities as a supplemental source of gross operating margin, a non-generally accepted accounting principle (“non-GAAP”) financial measure, for the partnership. The financial results of our marketing efforts fluctuate due to changes in volumes handled and overall market conditions, which are influenced by current and forward market prices for the products bought and sold.</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and financial condition are subject to certain significant risks. Factors that can affect the demand for our products and services include domestic and international economic conditions, the market price and demand for energy, the cost to develop natural gas and crude oil reserves in the U.S., federal and state regulation, the cost and availability of capital to energy companies to invest in upstream exploration and production activities and the credit quality of our customers. For information regarding such risks, see Part I, Item 1A of this annual report.</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our business activities are subject to various federal, state and local laws and regulations governing a wide variety of topics, including commercial, operational, environmental and other matters. For a discussion of the principal effects of such laws and regulations on our business activities, see “Regulatory Matters” included under Part I, Items 1 and 2 of this annual report.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Provides Distribution and Buyback Guidance for 2020</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2020, management announced its plans to continue to recommend to the Board of Enterprise GP an increase of $0.0025 per unit per quarter to our cash distribution rate with respect to 2020. The anticipated rate of increase would result in distributions for 2020 (of $1.805 per unit) being 2.3% higher than those paid with respect to 2019 (of $1.765 per unit). The payment of any quarterly cash distribution is subject to Board approval and management’s evaluation of our financial condition, results of operations and cash flows in connection with such payments.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management announced its intention to use approximately 2.0% of net cash flow provided by operating activities, or cash flow from operations (“CFFO”), in 2020 to repurchase EPD common units under the Buyback Program approved in January 2019 (the “2019 Buyback Program”). For information regarding the 2019 Buyback Program, including repurchases of common units in 2019, see “Liquidity and Capital Resources – Common Unit Buyback Program” within this Part II, Item 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Begins Service at Mentone Natural Gas Processing Facility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we completed the first processing train at our Mentone cryogenic natural gas processing facility (“Mentone I”) and placed it into service. The Mentone facility, which is located in Loving County, Texas, has a current capacity to process 300 MMcf/d of natural gas and extract more than 40 MBPD of NGLs. Mentone and its related infrastructure further extends our presence in the Delaware Basin and provides producers access to our fully integrated midstream asset network, including our Texas Intrastate System and Shin Oak NGL Pipeline. We own and operate the Mentone facility and related infrastructure. With Mentone I in operation, we have the capability to process up to 1.6 Bcf/d of natural gas and extract up to 250 MBPD of NGL production from our processing facilities in the Delaware Basin.</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 related note, we completed and placed into service a third processing train (“Orla III”) at our cryogenic natural gas processing facility located near Orla, Texas in Reeves County in July 2019. The Orla facility is capable of processing up to 900 MMcf/d of natural gas and extracting up to 140 MBPD of NGLs. Like Mentone, the Orla facility and related infrastructure supports continued growth of NGL-rich natural gas production from the Delaware Basin. We own and operate the Orla facility.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Begins Service at Bulldog Natural Gas Processing Plant</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November 2019, we placed our Bulldog cryogenic natural gas processing plant, which is located near Carthage, Texas, into service. The Bulldog plant has the capability to process up to 200 MMcf/d of natural gas and extract up to 12 MBPD of NGLs. When combined with our legacy Panola cryogenic plant, Bulldog provides us with the capacity to process up to a total of 320 MMcf/d of natural gas and extract up to 18 MBPD of NGLs in the region. The new plant supports continued growth of natural gas production from the Cotton Valley and Haynesville formations in East Texas. In addition, the Bulldog plant complements our value chain as the mixed NGLs produced at the plant are transported on the Panola pipeline to Mont Belvieu for fractionation.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Begins Service at Isobutane Dehydrogenation Unit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2019, we completed construction and placed our isobutane dehydrogenation (“iBDH”) unit into service. The facility, which is located at our Mont Belvieu complex and supported by long-term, fee-based contracts, is capable of processing approximately 25 MBPD of butane into nearly 1 billion pounds per year of isobutylene. Production from the iBDH plant will enable us to optimize our methyl tertiary butyl ether (“MTBE”) and high purity isobutylene (“HPIB”) assets and meet growing market demand for isobutylene.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Steam crackers and refineries have historically been the major source of propane and butane olefins for downstream use; however, with the increased use of light-end feedstocks such as ethane, the need for “on purpose” olefins production has increased. Like our PDH facility, the iBDH plant will help meet market demand where traditional supplies have been reduced. The iBDH plant will increase our production of high purity and low purity isobutylene, both of which are used as feedstocks to manufacture lubricants, rubber products and fuel additives.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Begins Service at Ethylene Export Terminal</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December 2019, we placed our ethylene export terminal into limited service, with the first cargo of 25 million pounds of ethylene exported in January 2020. The terminal, which we operate, is located at our Morgan’s Point facility on the Houston Ship Channel and features two docks and the capacity to load 2.2 billion pounds of ethylene per year. A refrigerated storage tank for 66 million pounds of ethylene is being constructed on-site that will allow the terminal to load ethylene up to a rate of 2.2 million pounds per hour. Full commercial operations at the terminal are expected in the fourth quarter of 2020 once certain refrigeration assets are complete. We own a 50% member interest in Enterprise Navigator Ethylene Terminal LLC, which owns the export facility.</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ethylene system is being developed to serve as an open market storage and trading hub for the ethylene industry using storage capacity, connections to multiple ethylene pipelines, and high-volume export capabilities. In support of our ethylene business, we recently placed into service a high-capacity underground ethylene storage well at our Mont Belvieu complex having a storage capacity of 600 million pounds of ethylene. The storage well is connected to our Morgan’s Point ethylene export terminal by a 16-mile pipeline, which was placed into service in December 2019. An additional 8 miles of ethylene pipelines extending from Morgan’s Point to Bayport, Texas are under construction and expected to be completed and placed into service in the fourth quarter of 2020.</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2019, we announced plans to further expand our ethylene pipeline and logistics system by constructing the Baymark ethylene pipeline in South Texas, which is a leading growth area for new ethylene crackers and related facilities. The Baymark pipeline will originate in Bayport, Texas and extend approximately 90 miles to Markham, Texas. The Baymark pipeline is supported by long-term customer commitments and is expected to begin service in the fourth quarter of 2020. We will own a 70% interest in and operate the Baymark pipeline. Customers using the Baymark pipeline will have access to our high-capacity ethylene storage well in Mont Belvieu and our export terminal at Morgan’s Point.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Announces Final Investment Decision Regarding the Sea Port Oil Terminal</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July 2019, we announced the execution of long-term customer agreements with Chevron U.S.A. Inc. (“Chevron”) supporting the development of our Sea Port Oil Terminal (“SPOT”) in the Gulf of Mexico. As a result of the Chevron agreements, we announced our final investment decision with respect to SPOT, subject to obtaining the required approvals and licenses from the federal Maritime Administration, which is currently reviewing our SPOT application.</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SPOT project consists of onshore and offshore facilities, including a fixed platform located approximately 30 nautical miles off the Brazoria County, Texas coast in approximately 115 feet of water. SPOT is designed to load Very Large Crude Carriers (“VLCCs”) at rates of approximately 85,000 barrels per hour. We believe that SPOT’s design meets or exceeds federal requirements for such facilities and, unlike existing and other proposed offshore terminals, is designed with a vapor control system to minimize emissions.</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December 2019, we announced the execution of a letter of intent (“LOI”) with an affiliate of Enbridge Inc. (“Enbridge”) to jointly develop our SPOT in the Gulf of Mexico. Under terms of the LOI, we agreed to negotiate an equity participation right agreement with Enbridge whereby, subject to SPOT receiving a deepwater port license, an affiliate of Enbridge could acquire a noncontrolling member interest in SPOT Terminal Services LLC, which owns SPOT.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to Build Midland-to-ECHO 4 Pipeline</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October 2019, we announced long-term agreements supporting construction of the “Midland-to-ECHO 4” pipeline. The Midland-to-ECHO 4 pipeline will connect our Midland terminal in Midland, Texas with our ECHO terminal in Houston, Texas utilizing both new construction and segments of our existing crude oil pipelines in South Texas. The Midland-to-ECHO 4 pipeline is expected to enter service during the second quarter of 2021 and have an initial transportation capacity of 450 MBPD (expandable up to 540 MBPD). When placed into service, the Midland-to-ECHO 4 pipeline will allow our shippers with crude oil and condensate production in both the Permian Basin and the Eagle Ford Shale to maximize the value of their contracted pipeline capacity by allowing shippers to source barrels from the Permian Basin and/or the Eagle Ford Shale. This unmatched flexibility will allow shippers and producers to dynamically match their pipeline capacity to their allocation of capital and respective production profiles between the two basins. Their production will be delivered into our integrated storage, pipeline, distribution and marine terminal system that has access to both domestic and international markets.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Midland-to-ECHO 4 pipeline complements our Midland-to-ECHO 1 and 2 pipelines, which entered full service in the second quarter of 2018 and first quarter of 2019, respectively, as well as our Midland-to-ECHO 3 pipeline. The Midland-to-ECHO 3 pipeline, which is comprised of a 29% undivided interest in a 36-inch pipeline we are currently constructing from Midland, Texas to our ECHO terminal and further to a third-party terminal in Webster, Texas, is expected to provide 200 MBPD of transportation capacity when placed into service during the third quarter of 2020, increasing to approximately 450 MBPD during the fourth quarter of 2020. Together, these four projects (Midland-to-ECHO 1, 2, 3 and 4) comprise our Midland-to-ECHO System, which supports crude oil production growth from the Permian Basin (and Eagle Ford Shale, as applicable) by providing producers and other shippers with transportation solutions that are both cost-efficient and operationally flexible. The Midland-to-ECHO System is expected to include 6 MMBbls of storage at our Midland terminal and access to more than 45 MMBbls of storage and approximately 4 MMBPD of export capacity at partnership assets along the Texas Gulf Coast. The network connects to every refinery in the Houston, Texas City and Beaumont/Port Arthur area, which we believe represents approximately 8 MMBPD of refining capacity.</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2019, we completed the conversion of the Midland-to-Sealy segment of one of our two Seminole NGL pipelines from NGL service to crude oil service, thus creating the Midland-to-ECHO 2 pipeline. The pipeline originates at our Midland terminal and extends 444 miles to our Sealy terminal, with crude oil volumes arriving at Sealy transported to our ECHO terminal using the Rancho II pipeline. The Midland-to-ECHO 2 pipeline, which was placed into limited service in February 2019 and full service in April 2019, provides us with up to 225 MBPD of incremental crude oil transportation capacity. We retain the flexibility to convert this pipeline back to NGL service should future market conditions support the need for additional NGL transportation capacity out of the Permian Basin.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to Build Second Propane Dehydrogenation (“PDH”) Plant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2019, we announced the execution of long-term, fee-based contracts with affiliates of LyondellBasell Industries N.V. that support construction of our second PDH facility (referred to as “PDH 2”). The new plant is expected to have the capacity to consume up to 35 MBPD of propane and produce up to 1.65 billion pounds per year of PGP. PDH 2 will be located in Chambers County, Texas at our Mont Belvieu complex and is scheduled to begin service in the first quarter of 2023. Once PDH 2 is placed into service and integrated with PDH 1 and our other propylene production facilities, we will have the capability to produce 11 billion pounds of propylene per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to Expand and Extend Acadian Gas System</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September 2019, we announced plans to expand and extend our Acadian Gas System in order to deliver growing natural gas production from the Haynesville Shale to the liquefied natural gas (“LNG”) market in South Louisiana. The expansion project will include construction of an approximately 80-mile natural gas pipeline (the “Gillis Lateral”) extending from near Cheneyville, Louisiana to third-party pipeline interconnects near Gillis, Louisiana, including multiple pipelines serving regional LNG export facilities. In addition to construction of the Gillis Lateral, we plan to increase the transportation capacity of the Haynesville Extension from 1.8 Bcf/d to 2.1 Bcf/d by adding horsepower at our compressor station in Mansfield, Louisiana. The Mansfield project and construction of the Gillis Lateral are supported by long-term customer contracts and are expected to begin service in the third quarter of 2021. Once the expansion project is completed, we expect that our Acadian Gas System will be able to deliver up to 2.1 Bcf/d of Haynesville Shale production into the LNG market, South Louisiana industrial complex and other pipeline interconnects that serve attractive southeastern U.S. markets.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Shin Oak NGL Pipeline Commences Operations; Altus Acquires 33% Equity Interest in Shin Oak</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Shin Oak NGL Pipeline (“Shin Oak”) transports NGL production from the Permian Basin to our NGL fractionation and storage complex located at the Mont Belvieu hub. In February 2019, the 24-inch diameter mainline segment of Shin Oak from Orla, Texas to Mont Belvieu was placed into limited service with an initial transportation capacity of 250 MBPD. In June 2019, an additional pipeline segment, the 20-inch diameter Waha lateral, was placed into service and increased Shin Oak’s transportation capacity to 350 MBPD. We completed construction of the remaining components of Shin Oak in the fourth quarter of 2019, which increased its transportation capacity to 550 MBPD.</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2018, we granted Apache Midstream LLC (“Apache”) an option to acquire up to a 33% equity interest in our consolidated subsidiary that owns Shin Oak. In November 2018, Apache contributed this option to Altus Midstream Processing LP (“Altus”), which is a consolidated subsidiary of Apache. In July 2019, Altus exercised the option and acquired a 33% equity interest (effective July 31, 2019) in our subsidiary that owns Shin Oak. As a result, we received a $440.7 million cash payment from Altus, which is included in contributions from noncontrolling interests as presented on our Statement of Consolidated Cash Flows for the year ended December 31, 2019.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Projects at EHT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2019, we announced expansion projects at EHT that are expected to increase our loading capacity for crude oil and LPG at the terminal. With respect to crude oil, we are adding an eighth deep-water ship dock at EHT that is expected to increase our crude oil loading capacity by 840 MBPD, thereby increasing our overall nameplate crude oil loading capacity at EHT to 2.75 MMBPD, or nearly 83 MMBbls per month. The new dock is designed to accommodate a Suezmax vessel, which is the largest ship class that can navigate the Houston Ship Channel, and is scheduled to be placed into service during the fourth quarter of 2020.</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LPG, our current estimated maximum loading capacity at EHT is approximately 835 MBPD, with 175 MBPD of this loading capacity placed into service during the third quarter of 2019. The expansion project announced in July 2019 is currently expected to increase our LPG loading capacity at EHT by an additional 265 MBPD and be placed into service during the second half of 2021. When this latest expansion project is completed, EHT will have a new maximum LPG loading capacity of approximately 1.1 MMBPD, or 33 MMBbls per month.</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light of growing international demand for PGP, we also announced in July 2019 an expansion project at EHT that is currently expected to increase its export capability for semi- or fully-refrigerated PGP by 3,500 barrels per hour, or approximately 84 MBPD. Our current loading capacity at EHT for PGP is approximately 2,500 barrels per hour, or 60 MBPD, of semi-refrigerated product. With the addition of fully refrigerated volumes due to the expansion project, EHT will be able to co-load fully refrigerated PGP and LPG volumes onto the same vessel. This expansion project is expected to be placed into service during the second half of 2021.</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Outlook for 2020</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provide midstream energy services to producers and consumers of natural gas, NGLs, crude oil, petrochemicals and refined products. Our financial position, results of operations and cash flows are contingent on the supply of, and demand for the energy commodities we handle across our integrated midstream energy asset network. The following information presents our views on key midstream energy supply and demand fundamentals going into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Side Observations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upstream energy industry, led by the efforts of major oil companies, continues to shift resources to shale supply basins. Domestic shale resources continue to play a key role in both U.S. and global markets, further supporting that the U.S. is a major oil supplier on par with the Organization of Petroleum Exporting Countries (“OPEC”) and Russia. The U.S. became a net natural gas exporter on an annual basis in 2017, and it continued to export more natural gas than it imported in both 2018 and 2019. We believe that a significant portion of the expected growth in U.S. crude oil, natural gas and NGL production in 2020 will be destined for export markets.</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measured by New York Mercantile Exchange (“NYMEX”), WTI oil prices started 2019 at $45.41 per barrel but rapidly increased to $66.30 per barrel on April 23, 2019 as OPEC and Russia maintained their supply cuts and the U.S. imposed sanctions on Iran, which restricted crude oil exports from that country to a minimum. However, prices subsequently softened as a result of continued trade disputes between the U.S. and other countries, with China in particular. Counteracting these “trade headwinds” was the fact that crude oil production growth in the U.S. was slowing in response to producers cutting back on drilling activities in an effort to preserve cash and enhance their financial condition in a capital-constrained environment. Consequently, WTI prices fluctuated between $51 and $66 per barrel for the rest of 2019. The WTI oil price finished 2019 at $61.06 per barrel and averaged $57.03 per barrel for all of 2019 compared to an average of $64.77 per barrel for 2018. WTI prices in 2020 have ranged from a high of $63.27 per barrel to a low of $49.57 per barrel through February 10, 2020. The forward commodity markets for WTI (as reported by the NYMEX) currently indicate monthly pricing in the range of $51.17 to $52.11 per barrel for periods extending through February 2021.</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reported by the EIA, U.S. crude oil production, having finished 2018 at 12 MMBPD, spent the first seven months of 2019 between 11.7 MMBPD and 12.1 MMBPD. Nevertheless, U.S. crude oil production accelerated during the latter part of the year at a record high of 12.9 MMBPD in November 2019. In addition, as reported by the EIA, U.S. production of NGLs increased steadily throughout 2019 and averaged a record 4.8 MMBPD for the year. For 2018, U.S. production of NGLs averaged 4.4 MMBPD. The focus of U.S. exploration and production companies in 2019 was more on exercising capital discipline than increasing production. Rig counts (as reported by Baker Hughes) reflect this emphasis, declining 26% over the course of 2019 from 1,083 in December 2018 to 805 in December 2019. However, not all regions slowed equally. The Permian Basin rig count fell 17% while the Haynesville Shale rig count fell 6%, whereas the Cana Woodford rig count fell 64%. As rig counts declined and fewer wells were drilled in 2019, producers gradually began to work off their inventory of drilled but uncompleted wells (“DUCs”). As reported by the EIA, the DUC count declined to approximately 7,600 in November 2019 from 8,000 in December 2018. Of the current DUCs, approximately 3,600 are in the Permian Basin. DUCs represent a significant potential volume that will continue to be brought into production.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Near-term global economic growth has been adversely impacted by the emergence of the coronavirus, officially designated as Covid-19, in China, and then in several other countries and regions including the U.S., Japan and Europe. As a result of this public health concern, a significant amount of global commerce has been affected due to travel restrictions, quarantines, and similar measures. Analysts from S&amp;P recently estimated that the virus could lower China’s gross domestic product by approximately 1% in 2020, with a peak effect in the first quarter of 2020 before rebounding in the third quarter of 2020. Overall, economists estimate that headwinds from the virus could reduce global economic growth in 2020 by 0.2% to 0.3%, while in the U.S. first quarter of 2020 growth could be reduced by 0.2% to 0.4%. The impact of reduced hydrocarbon demand in Asia due to the virus has been felt in the price of crude oil. WTI prices have declined approximately 22% since the beginning of 2020 (as reported by the NYMEX), which we believe was largely attributable to perceived global economic weakness caused by responses to the virus. In response to the crisis, OPEC is considering production cuts to limit the potential oversupply of crude oil in global markets. We continue to monitor this situation and its potential impact on our operations.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 natural gas production increased from an average of 84 Bcf/d in 2018 to 91 Bcf/d in 2019 per the EIA. As a result, natural gas prices, as measured by the NYMEX at Henry Hub, averaged $2.53 per MMBtu in 2019 compared to an average of $3.07 per MMBtu in 2018. Henry Hub natural gas prices in 2020 have ranged from a high of $2.20 per MMBtu to a low of $1.77 per MMBtu through February 10, 2020. The decline in price is generally due to lower demand due to warmer winter weather and abundant natural gas supplies due to shale production. The forward commodity markets for Henry Hub natural gas (as reported by the NYMEX) currently indicate monthly pricing in the range of $1.85 to $2.61 per MMBtu for periods extending through March 2021, with longer term prices currently indicated at $2.20 to $3.20 per MMBtu. Assuming stable natural gas prices, we believe that U.S. natural gas production should be sufficient to meet both domestic and export demand.</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With the continued growth in shale production, the EIA reports that the U.S. is becoming a major exporter of natural gas, with LNG exports averaging 4.6 Bcf/d in 2019 and pipeline exports to Mexico averaging 5.1 Bcf/d in 2019. With the completion of several construction projects by the end of 2020, U.S. LNG liquefaction capacity (according to the Federal Energy Regulatory Commission (“FERC”)) is expected to exceed 9 Bcf/d, which we believe will make natural gas production and prices highly sensitive to fluctuations in LNG exports. In fact, some in the industry would argue that U.S. gas prices could become more dependent on international LNG markets in contrast to being traditionally dependent on domestic demand and weather.</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in a number of major domestic supply basins, including the Permian, Eagle Ford, Haynesville and Rockies. The following information represents our general outlook for each of these key basins:</w:t>
      </w:r>
    </w:p>
    <w:p>
      <w:pPr>
        <w:spacing w:after="0" w:line="197" w:lineRule="exact"/>
        <w:rPr>
          <w:sz w:val="20"/>
          <w:szCs w:val="20"/>
          <w:color w:val="auto"/>
        </w:rPr>
      </w:pPr>
    </w:p>
    <w:p>
      <w:pPr>
        <w:jc w:val="both"/>
        <w:ind w:left="500" w:hanging="330"/>
        <w:spacing w:after="0" w:line="229" w:lineRule="auto"/>
        <w:tabs>
          <w:tab w:leader="none" w:pos="50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The Permian Basin in West Texas and southeastern New Mexico has experienced the largest increase in production in the country. According to the December 2019 EIA Drilling Productivity Report (“2019 EIA Report”), production in the Permian Basin was 4.7 MMBPD of crude oil and 16.3 Bcf/d of natural gas in November 2019. The basin continues to have many advantages relative to other producing regions, including up to 10 or more stacked pay zones, light sweet crude oil and significant infrastructure. With 405 drilling rigs working in the Permian Basin as of December 2019 (as reported by Baker Hughes), and major oil companies such as Exxon and Chevron focused on developing their presence in the basin, we expect production to continue to grow.</w:t>
      </w:r>
    </w:p>
    <w:p>
      <w:pPr>
        <w:spacing w:after="0" w:line="233" w:lineRule="exact"/>
        <w:rPr>
          <w:rFonts w:ascii="Arial" w:cs="Arial" w:eastAsia="Arial" w:hAnsi="Arial"/>
          <w:sz w:val="29"/>
          <w:szCs w:val="29"/>
          <w:color w:val="auto"/>
          <w:vertAlign w:val="superscript"/>
        </w:rPr>
      </w:pPr>
    </w:p>
    <w:p>
      <w:pPr>
        <w:jc w:val="both"/>
        <w:ind w:left="500"/>
        <w:spacing w:after="0" w:line="293" w:lineRule="auto"/>
        <w:rPr>
          <w:rFonts w:ascii="Arial" w:cs="Arial" w:eastAsia="Arial" w:hAnsi="Arial"/>
          <w:sz w:val="29"/>
          <w:szCs w:val="29"/>
          <w:color w:val="auto"/>
          <w:vertAlign w:val="superscript"/>
        </w:rPr>
      </w:pPr>
      <w:r>
        <w:rPr>
          <w:rFonts w:ascii="Arial" w:cs="Arial" w:eastAsia="Arial" w:hAnsi="Arial"/>
          <w:sz w:val="16"/>
          <w:szCs w:val="16"/>
          <w:color w:val="auto"/>
        </w:rPr>
        <w:t>A prime example of our commitment to Permian Basin producers is our Midland-to-ECHO System. This network supports crude oil production growth from the basin by providing producers and other shippers with transportation solutions that are both cost efficient and operationally flexible. We placed our Midland-to-ECHO 1 and Midland-to-ECHO 2 pipelines into full commercial service during the second quarter of 2018 and second quarter of 2019, respectively. The Midland-to-ECHO 3 and Midland-to-ECHO 4 projects are expected to begin service during the third quarter of 2020 and first half of 2021, respectively. When fully complete, our Midland-to-ECHO System is expected to provide us with up to 1.8 MMBPD of crude oil transportation capacity to U.S. Gulf Coast and international markets, while assuring the quality and grade of the crude oil being shipped.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left="500"/>
        <w:spacing w:after="0" w:line="293" w:lineRule="auto"/>
        <w:rPr>
          <w:sz w:val="20"/>
          <w:szCs w:val="20"/>
          <w:color w:val="auto"/>
        </w:rPr>
      </w:pPr>
      <w:r>
        <w:rPr>
          <w:rFonts w:ascii="Arial" w:cs="Arial" w:eastAsia="Arial" w:hAnsi="Arial"/>
          <w:sz w:val="16"/>
          <w:szCs w:val="16"/>
          <w:color w:val="auto"/>
        </w:rPr>
        <w:t>An area of particular focus for us has been the development of midstream infrastructure serving producers in the Delaware Basin, which is part of the Permian Basin. Prior to the shale production boom, the Delaware Basin was a lightly drilled area due to a lack of conventional targets; however, with the introduction of horizontal drilling techniques and identification of stacked targets of tight rock and shales, drilling in the Delaware Basin has accelerated greatly over the past five years. These drilling targets have proven to produce not only crude oil but also condensate and NGLs, which present us with a significant number of opportunities to provide midstream services to producers. We are actively working with producers to identify those midstream infrastructure projects that best serve their needs and complement our integrated asset network.</w:t>
      </w:r>
    </w:p>
    <w:p>
      <w:pPr>
        <w:spacing w:after="0" w:line="192" w:lineRule="exact"/>
        <w:rPr>
          <w:sz w:val="20"/>
          <w:szCs w:val="20"/>
          <w:color w:val="auto"/>
        </w:rPr>
      </w:pPr>
    </w:p>
    <w:p>
      <w:pPr>
        <w:jc w:val="both"/>
        <w:ind w:left="500"/>
        <w:spacing w:after="0" w:line="291" w:lineRule="auto"/>
        <w:rPr>
          <w:sz w:val="20"/>
          <w:szCs w:val="20"/>
          <w:color w:val="auto"/>
        </w:rPr>
      </w:pPr>
      <w:r>
        <w:rPr>
          <w:rFonts w:ascii="Arial" w:cs="Arial" w:eastAsia="Arial" w:hAnsi="Arial"/>
          <w:sz w:val="16"/>
          <w:szCs w:val="16"/>
          <w:color w:val="auto"/>
        </w:rPr>
        <w:t>Two examples of our initiatives in the Delaware Basin are the Orla and Mentone natural gas processing facilities. At our Orla processing facility, we placed two processing trains (Orla I and II) into service in 2018, and a third processing train (Orla III) was placed into service in July 2019. With three trains, the Orla facility has 900 MMcf/d of total processing capacity and allows us to extract up to 140 MBPD of mixed NGLs. Our Mentone natural gas processing facility was announced in October 2018 and its first processing train (Mentone I) entered service in December 2019. Following the completion of Mentone I, we have the capability to process up to 1.6 Bcf/d of natural gas and extract up to 250 MBPD of NGLs from our processing facilities in the Delaware Basin. Given our investment in NGL pipeline infrastructure in the region (e.g., Shin Oak), we believe that we are well positioned to accommodate NGL production growth from these plants and third party natural gas processing facilities in the Permian Basin.</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Overall, we have a positive outlook regarding the Permian Basin and continue to evaluate projects that meet the midstream needs of producers.</w:t>
      </w:r>
    </w:p>
    <w:p>
      <w:pPr>
        <w:spacing w:after="0" w:line="264" w:lineRule="exact"/>
        <w:rPr>
          <w:sz w:val="20"/>
          <w:szCs w:val="20"/>
          <w:color w:val="auto"/>
        </w:rPr>
      </w:pPr>
    </w:p>
    <w:p>
      <w:pPr>
        <w:jc w:val="both"/>
        <w:ind w:left="500" w:hanging="330"/>
        <w:spacing w:after="0" w:line="220" w:lineRule="auto"/>
        <w:tabs>
          <w:tab w:leader="none" w:pos="500" w:val="left"/>
        </w:tabs>
        <w:numPr>
          <w:ilvl w:val="0"/>
          <w:numId w:val="44"/>
        </w:numPr>
        <w:rPr>
          <w:rFonts w:ascii="Arial" w:cs="Arial" w:eastAsia="Arial" w:hAnsi="Arial"/>
          <w:sz w:val="29"/>
          <w:szCs w:val="29"/>
          <w:color w:val="auto"/>
          <w:vertAlign w:val="superscript"/>
        </w:rPr>
      </w:pPr>
      <w:r>
        <w:rPr>
          <w:rFonts w:ascii="Arial" w:cs="Arial" w:eastAsia="Arial" w:hAnsi="Arial"/>
          <w:sz w:val="18"/>
          <w:szCs w:val="18"/>
          <w:color w:val="auto"/>
        </w:rPr>
        <w:t>In the Eagle Ford Shale (“Eagle Ford”), crude oil and natural gas production for 2019 was essentially the same as that for 2018. According to the 2019 EIA Report, production in the Eagle Ford was 1.4 MMBPD of crude oil and 6.9 Bcf/d of natural gas in November 2019. The number of drilling rigs working in the Eagle Ford (as reported by Baker Hughes) decreased from 80 at the beginning of 2019 to 67 in December 2019; however, it appears that the rig count has stabilized as we enter 2020.</w:t>
      </w:r>
    </w:p>
    <w:p>
      <w:pPr>
        <w:spacing w:after="0" w:line="232" w:lineRule="exact"/>
        <w:rPr>
          <w:rFonts w:ascii="Arial" w:cs="Arial" w:eastAsia="Arial" w:hAnsi="Arial"/>
          <w:sz w:val="29"/>
          <w:szCs w:val="29"/>
          <w:color w:val="auto"/>
          <w:vertAlign w:val="superscript"/>
        </w:rPr>
      </w:pPr>
    </w:p>
    <w:p>
      <w:pPr>
        <w:jc w:val="both"/>
        <w:ind w:left="500"/>
        <w:spacing w:after="0" w:line="257" w:lineRule="auto"/>
        <w:rPr>
          <w:rFonts w:ascii="Arial" w:cs="Arial" w:eastAsia="Arial" w:hAnsi="Arial"/>
          <w:sz w:val="29"/>
          <w:szCs w:val="29"/>
          <w:color w:val="auto"/>
          <w:vertAlign w:val="superscript"/>
        </w:rPr>
      </w:pPr>
      <w:r>
        <w:rPr>
          <w:rFonts w:ascii="Arial" w:cs="Arial" w:eastAsia="Arial" w:hAnsi="Arial"/>
          <w:sz w:val="18"/>
          <w:szCs w:val="18"/>
          <w:color w:val="auto"/>
        </w:rPr>
        <w:t>Production acreage in the Eagle Ford continued to change ownership during 2019, which contributed to increased drilling activity in the region by the new owners. ConocoPhillips, EOG and other producers continue to show strong interest in the Eagle Ford, which could result in higher volumes for our midstream network; however, until volumes for the basin exceed historical peak production, there will be excess capacity of midstream infrastructure available in the region. According to the EIA, the historical peak for Eagle Ford crude oil and natural gas production occurred in March 2015 and was 1.7 MMBPD and 7.4 Bcf/d, respectively.</w:t>
      </w:r>
    </w:p>
    <w:p>
      <w:pPr>
        <w:spacing w:after="0" w:line="215" w:lineRule="exact"/>
        <w:rPr>
          <w:rFonts w:ascii="Arial" w:cs="Arial" w:eastAsia="Arial" w:hAnsi="Arial"/>
          <w:sz w:val="29"/>
          <w:szCs w:val="29"/>
          <w:color w:val="auto"/>
          <w:vertAlign w:val="superscript"/>
        </w:rPr>
      </w:pPr>
    </w:p>
    <w:p>
      <w:pPr>
        <w:jc w:val="both"/>
        <w:ind w:left="500"/>
        <w:spacing w:after="0" w:line="264" w:lineRule="auto"/>
        <w:rPr>
          <w:rFonts w:ascii="Arial" w:cs="Arial" w:eastAsia="Arial" w:hAnsi="Arial"/>
          <w:sz w:val="29"/>
          <w:szCs w:val="29"/>
          <w:color w:val="auto"/>
          <w:vertAlign w:val="superscript"/>
        </w:rPr>
      </w:pPr>
      <w:r>
        <w:rPr>
          <w:rFonts w:ascii="Arial" w:cs="Arial" w:eastAsia="Arial" w:hAnsi="Arial"/>
          <w:sz w:val="18"/>
          <w:szCs w:val="18"/>
          <w:color w:val="auto"/>
        </w:rPr>
        <w:t>We believe that the Eagle Ford offers producers some of the best returns on capital of any region in the country due to its proximity to major consumption and export markets along the U.S. Gulf Coast. Furthermore, we believe that our integrated midstream network will provide us with operating leverage as production increases.</w:t>
      </w:r>
    </w:p>
    <w:p>
      <w:pPr>
        <w:spacing w:after="0" w:line="208" w:lineRule="exact"/>
        <w:rPr>
          <w:rFonts w:ascii="Arial" w:cs="Arial" w:eastAsia="Arial" w:hAnsi="Arial"/>
          <w:sz w:val="29"/>
          <w:szCs w:val="29"/>
          <w:color w:val="auto"/>
          <w:vertAlign w:val="superscript"/>
        </w:rPr>
      </w:pPr>
    </w:p>
    <w:p>
      <w:pPr>
        <w:jc w:val="both"/>
        <w:ind w:left="500" w:hanging="330"/>
        <w:spacing w:after="0" w:line="229" w:lineRule="auto"/>
        <w:tabs>
          <w:tab w:leader="none" w:pos="500" w:val="left"/>
        </w:tabs>
        <w:numPr>
          <w:ilvl w:val="0"/>
          <w:numId w:val="44"/>
        </w:numPr>
        <w:rPr>
          <w:rFonts w:ascii="Arial" w:cs="Arial" w:eastAsia="Arial" w:hAnsi="Arial"/>
          <w:sz w:val="29"/>
          <w:szCs w:val="29"/>
          <w:color w:val="auto"/>
          <w:vertAlign w:val="superscript"/>
        </w:rPr>
      </w:pPr>
      <w:r>
        <w:rPr>
          <w:rFonts w:ascii="Arial" w:cs="Arial" w:eastAsia="Arial" w:hAnsi="Arial"/>
          <w:sz w:val="18"/>
          <w:szCs w:val="18"/>
          <w:color w:val="auto"/>
        </w:rPr>
        <w:t>With respect to the Haynesville Shale (“Haynesville”), natural gas production is increasing due to higher rig counts and improved drilling efficiencies. As reported by Baker Hughes, the number of gas drilling rigs working in the Haynesville has increased from a low of 11 rigs in 2016 to an average of 52 rigs in 2019. Like the Eagle Ford, we saw several significant changes in the ownership of producing properties in 2019, which contributed to increased drilling activity in the region by the new owners. According to the 2019 EIA Report, natural gas production in the Haynesville reached record levels in 2019, with production increasing to approximately 12.3 Bcf/d in November 2019. Assuming supportive natural gas prices, we believe these trends will continue.</w:t>
      </w:r>
    </w:p>
    <w:p>
      <w:pPr>
        <w:spacing w:after="0" w:line="233" w:lineRule="exact"/>
        <w:rPr>
          <w:rFonts w:ascii="Arial" w:cs="Arial" w:eastAsia="Arial" w:hAnsi="Arial"/>
          <w:sz w:val="29"/>
          <w:szCs w:val="29"/>
          <w:color w:val="auto"/>
          <w:vertAlign w:val="superscript"/>
        </w:rPr>
      </w:pPr>
    </w:p>
    <w:p>
      <w:pPr>
        <w:jc w:val="both"/>
        <w:ind w:left="500"/>
        <w:spacing w:after="0" w:line="255" w:lineRule="auto"/>
        <w:rPr>
          <w:rFonts w:ascii="Arial" w:cs="Arial" w:eastAsia="Arial" w:hAnsi="Arial"/>
          <w:sz w:val="29"/>
          <w:szCs w:val="29"/>
          <w:color w:val="auto"/>
          <w:vertAlign w:val="superscript"/>
        </w:rPr>
      </w:pPr>
      <w:r>
        <w:rPr>
          <w:rFonts w:ascii="Arial" w:cs="Arial" w:eastAsia="Arial" w:hAnsi="Arial"/>
          <w:sz w:val="18"/>
          <w:szCs w:val="18"/>
          <w:color w:val="auto"/>
        </w:rPr>
        <w:t>In 2017, the U.S. Geological Survey estimated that the Haynesville and the associated Bossier Shale plays hold a combined 304 trillion cubic feet of technically recoverable shale gas resources, which is the second highest level in the U.S. after the Appalachia region. The Haynesville benefits from its close proximity to U.S. Gulf Coast markets where significant petrochemical plant projects and LNG export facilities are being constructed. According to the FERC, the LNG market in South Louisiana and Southeast Texas, including facilities under construction, is expected to reach an aggregate 15 Bcf/d of export capacity. In September 2019, we announced construction of the Gillis Lateral and Mansfield compressor station project, both of which will support continued production growth in the Haynesville.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left="500" w:hanging="330"/>
        <w:spacing w:after="0" w:line="232" w:lineRule="auto"/>
        <w:tabs>
          <w:tab w:leader="none" w:pos="500" w:val="left"/>
        </w:tabs>
        <w:numPr>
          <w:ilvl w:val="0"/>
          <w:numId w:val="45"/>
        </w:numPr>
        <w:rPr>
          <w:rFonts w:ascii="Arial" w:cs="Arial" w:eastAsia="Arial" w:hAnsi="Arial"/>
          <w:sz w:val="29"/>
          <w:szCs w:val="29"/>
          <w:color w:val="auto"/>
          <w:vertAlign w:val="superscript"/>
        </w:rPr>
      </w:pPr>
      <w:r>
        <w:rPr>
          <w:rFonts w:ascii="Arial" w:cs="Arial" w:eastAsia="Arial" w:hAnsi="Arial"/>
          <w:sz w:val="18"/>
          <w:szCs w:val="18"/>
          <w:color w:val="auto"/>
        </w:rPr>
        <w:t>In the Rocky Mountain region, rig counts (as reported by Baker Hughes) in the Piceance and San Juan basins and also in the Jonah field were essentially flat in 2019 when compared to 2018; however, the predominant producer in the Pinedale field suspended drilling in 2019 due to low commodity prices. As we move into 2020, we expect that Piceance, San Juan and Jonah producers will continue a modest level of conventional drilling with certain developments showing encouraging long-term trends. In the Piceance Basin, operators have drilled several horizontal wells in the Williams Fork formation and obtained permits for deeper wells in the Mancos Shale. In the San Juan Basin, operators continue to drill horizontal wells in both the crude oil and natural gas horizons of the Mancos Shale. In the Jonah field, producers saw positive results from recent horizontal well tests and plan to continue these efforts into 2020.</w:t>
      </w:r>
    </w:p>
    <w:p>
      <w:pPr>
        <w:spacing w:after="0" w:line="233"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Producers in the Rockies benefit from sufficient natural gas and NGL pipeline infrastructure, which helps the region compete with other North American regions where production takeaway capacity is constrained. We believe that our Rocky Mountain assets will continue to benefit regional producers by allowing them access to major downstream markets such as U.S. Gulf Coast and export destinations.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Side Observations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Global economic growth continues to drive demand for petroleum-based products. In February 2020, the International Energy Agency (“IEA”) reported that global demand for crude oil and NGLs grew by a combined 1.0 MMBPD in 2019 and expects demand to grow by approximately 0.8 MMBPD in 2020. Recent statements by the IEA and other sources suggest that the coronavirus will soften near-term global demand for hydrocarbons, particularly in Asia, in the first quarter of 2020, with a likely rebound in demand during the third quarter of 2020. In December 2019, the IEA forecast that overall long-term demand for crude oil and NGLs by the countries represented by the Organization for Economic Co-operation and Development (“OECD”) will decline by approximately 0.3 MMBPD between 2019 and 2024, while non-OECD demand would increase by 6 MMBPD over the same period. The IEA expects that petrochemicals will account for approximately 31% of the increase in long-term global demand for crude oil and NGLs over this period. As its reference case, the IEA’s long-term outlook for crude oil and NGL demand points to either a plateau after 2030, or to slow growth of approximately 0.2% from 2025 to 2040.</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along with a majority of forecasters, expect that long-term demand for liquid hydrocarbons such as crude oil and NGLs should not decline before the year 2040. Demand for liquid hydrocarbons is generally driven by the following sectors: airline and rail transportation, marine bunker fuel, motor fuels (gasoline and diesel) for cars, trucks and similar vehicles, industrial users, residential and commercial heating, and feedstocks in petrochemical and plastics manufacturing. Practically speaking, liquid hydrocarbons cannot be reasonably or economically replaced for each of these uses by other forms of energy in this forecast period given current technologies. Although the IEA and other forecasters project electric-powered vehicles modestly supplanting gasoline and diesel-powered vehicles in certain markets during this period, the decrease in motor fuel demand is outweighed by demand growth in other sectors for liquid hydrocarbons.</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continuously review third-party economic forecasts in connection with our long-term planning. In general, third party forecasts such as the IEA’s are subject to a variety of assumptions including: (i) current views of leading economic forecasters and demographers with respect to assumed economic and demographic trends; (ii) improvements in energy production, delivery and consumption technologies; (iii) current laws and regulations that affect the energy sector are unchanged throughout the 2020-2050 projection period; (iv) future commodity prices and (v) reduced costs for renewables. Changes to these and other assumptions by forecasters may yield higher or lower outlooks for hydrocarbon demand and supply over the long-term.</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North American “shale revolution” has transformed the U.S. into the global, low-cost supplier of NGLs. We expect this trend to continue into 2020 and beyond supported by, among other things: (i) the ability of U.S. shale producers to reduce development costs and improve the productivity of new and existing wells, (ii) regulatory changes in various international markets such as India and China favoring the use of clean-burning fuels and low-sulfur hydrocarbons such as those found in U.S. shale oil basins and (iii) higher demand in developing economics for liquid hydrocarbons in general. As a midstream energy company, we continue to foresee a variety of long-term, demand-side opportunities from these developments, including higher demand from the U.S. petrochemical industry and increased exports of hydrocarbons (e.g., ethane, LPG and crude oil) to growing international markets.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International demand for U.S. ethane is expected to remain robust in 2020, as ethane from domestic shale basins offers the global petrochemical industry a low-cost feedstock option plus supply diversification. Our Morgan’s Point Ethane Export Terminal, the largest of its kind in the world, enables us to meet this demand and has an aggregate loading rate (nameplate capacity) of approximately 10,000 barrels per hour of fully refrigerated ethane.</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With respect to the U.S. petrochemical industry, abundant supplies of shale-sourced ethane provides the U.S. with one of the cheapest feedstocks available for ethylene production. The American Chemistry Council estimates that over $200 billion is being invested in domestic petrochemical plants, with most of those investments tied directly to producing ethylene from cost-advantaged U.S. ethane. Of the new domestic facilities, seven world-scale ethylene plants are currently operational and we estimate that they have a combined ethylene production capacity of 17.7 billion pounds per year and an ethane consumption rate of approximately 490 MBPD. An additional four plants are being commissioned and expected to enter service in 2020, with an estimated aggregate ethylene production capacity of 7.2 billion pounds per year and an ethane consumption rate of approximately 205 MBPD. An additional four plants are expected to enter service in the early 2020s. We anticipate that these later plants will have a combined ethylene production capacity of 7.5 billion pounds per year and an ethane consumption rate of approximately 205 MBPD. We also anticipate demand growth for ethane as a feedstock resulting from modifications (e.g., debottlenecking, furnace modifications, etc.) made to other existing domestic facilities.</w:t>
      </w:r>
    </w:p>
    <w:p>
      <w:pPr>
        <w:spacing w:after="0" w:line="20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midstream assets are located in close proximity to virtually all domestic ethane-consuming petrochemical plants, as well as associated derivative plants that produce various polymer products from ethylene. As a result of the expected growth in U.S. ethylene production capacity, we completed and commissioned an ethylene export terminal located at Morgan’s Point on the Houston Ship Channel in December 2019. The project, which is underwritten by long-term customer commitments, is expected to be fully operational in the fourth quarter of 2020 once certain refrigeration assets are completed.</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 a limited extent, global demand for the end products produced by the petrochemical and plastics sector is currently under pressure mostly due to improper plastic disposal methods, particularly the accumulation of plastic garbage in the world’s oceans. This situation has resulted in calls for better collection, recycling and disposal of plastics and bans of certain single-use plastic items. Although higher recycling rates and bans of certain single-use items would effectively reduce the rate of growth in global demand for plastics, we do not believe that such actions will result in a significant long-term decline in the production of plastics (or in the use of liquid hydrocarbons as feedstocks in the production of such items).</w:t>
      </w:r>
    </w:p>
    <w:p>
      <w:pPr>
        <w:spacing w:after="0" w:line="20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With respect to long-term LPG demand, we believe that U.S. exports to Asia, particularly China and India, as well as markets in Northwest Europe and Latin America, will continue to be strong. According to EIA data available through November 2019, U.S. LPG exports increased 17% in 2019 to 1.4 MMBPD, with volumes headed to Asian markets accounting for approximately 51% of this amount. We estimate that LPG exports could reach 2.5 to 2.8 MMBPD by 2025. Our outlook for LPG exports to Asia is supported by several factors including long-term economic growth rates in Asian markets and favorable domestic policies in countries like India and Indonesia where governments are subsidizing their population’s switch from wood-based fuels to LPG for domestic use as a means of reducing pollution and protecting against deforestation. The competitiveness of U.S. Gulf Coast supplies of LPG are enhanced by the recent widening of the Panama Canal in 2016. Due to our expectation of continued growth in LPG exports, we completed an expansion project at EHT in 2019 that increased our LPG loading capacity at the terminal to approximately 835 MBPD. In July 2019, we announced an additional expansion project at EHT that would increase our LPG loading capacity by an additional 265 MBPD and be placed into service during the second half of 2021.</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Lastly, as U.S. crude oil production increased, these new domestic barrels continue to supplant more of the U.S.’s crude oil imports, while the remainder are exported to international markets in Central and South America, Asia and Western Europe where the lighter U.S. crudes are used as feedstock in their refining and petrochemical facilities. We expect U.S. refiners to continue to operate at high rates as a result of steady U.S. demand and growing exports of refined products. We believe that our marine terminals and related storage and pipeline infrastructure that handle crude oil, refined products and petrochemicals are strategically located to meet the concurrent needs of export and import customers. We have significant export capabilities, with expansion potential, on the Houston Ship Channel, Beaumont, Freeport and Texas City, Texas.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2019, we announced long-term agreements with Chevron that support the development of SPOT in the Gulf of Mexico. SPOT is designed to load VLCCs at rates of approximately 85,000 barrels per hour. Construction of SPOT remains subject to obtaining the required approvals and licenses from the federal Maritime Administration, which is currently reviewing our SPOT application. SPOT would provide customers with an integrated export solution that leverages our extensive supply, storage and distribution network along the Gulf Coast, with access to approximately 6 MMBbls of crude oil supply and more than 300 MMBbls of storage based on our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Energy Commodity Price Data</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selected average index prices for natural gas and selected NGL and petrochemical products for the periods indicated: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4"/>
              </w:rPr>
              <w:t>Polymer</w:t>
            </w:r>
          </w:p>
        </w:tc>
        <w:tc>
          <w:tcPr>
            <w:tcW w:w="9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6"/>
              </w:rPr>
              <w:t>Refinery</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Indicative Gas</w:t>
            </w:r>
          </w:p>
        </w:tc>
        <w:tc>
          <w:tcPr>
            <w:tcW w:w="0" w:type="dxa"/>
            <w:vAlign w:val="bottom"/>
          </w:tcPr>
          <w:p>
            <w:pPr>
              <w:spacing w:after="0"/>
              <w:rPr>
                <w:sz w:val="1"/>
                <w:szCs w:val="1"/>
                <w:color w:val="auto"/>
              </w:rPr>
            </w:pPr>
          </w:p>
        </w:tc>
      </w:tr>
      <w:tr>
        <w:trPr>
          <w:trHeight w:val="68"/>
        </w:trPr>
        <w:tc>
          <w:tcPr>
            <w:tcW w:w="2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Processing</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1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9"/>
              </w:rPr>
              <w:t>Natural</w:t>
            </w: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9"/>
              </w:rPr>
              <w:t>Normal</w:t>
            </w:r>
          </w:p>
        </w:tc>
        <w:tc>
          <w:tcPr>
            <w:tcW w:w="1020" w:type="dxa"/>
            <w:vAlign w:val="bottom"/>
          </w:tcPr>
          <w:p>
            <w:pPr>
              <w:spacing w:after="0"/>
              <w:rPr>
                <w:sz w:val="12"/>
                <w:szCs w:val="12"/>
                <w:color w:val="auto"/>
              </w:rPr>
            </w:pPr>
          </w:p>
        </w:tc>
        <w:tc>
          <w:tcPr>
            <w:tcW w:w="98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9"/>
              </w:rPr>
              <w:t>Natural</w:t>
            </w:r>
          </w:p>
        </w:tc>
        <w:tc>
          <w:tcPr>
            <w:tcW w:w="10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3"/>
              </w:rPr>
              <w:t>Grade</w:t>
            </w:r>
          </w:p>
        </w:tc>
        <w:tc>
          <w:tcPr>
            <w:tcW w:w="9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3"/>
              </w:rPr>
              <w:t>Grade</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Gross Spread</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1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2"/>
              </w:rPr>
              <w:t>Gas,</w:t>
            </w:r>
          </w:p>
        </w:tc>
        <w:tc>
          <w:tcPr>
            <w:tcW w:w="100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w w:val="94"/>
              </w:rPr>
              <w:t>Ethane,</w:t>
            </w:r>
          </w:p>
        </w:tc>
        <w:tc>
          <w:tcPr>
            <w:tcW w:w="102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w w:val="90"/>
              </w:rPr>
              <w:t>Propane,</w:t>
            </w:r>
          </w:p>
        </w:tc>
        <w:tc>
          <w:tcPr>
            <w:tcW w:w="98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3"/>
              </w:rPr>
              <w:t>Butane,</w:t>
            </w:r>
          </w:p>
        </w:tc>
        <w:tc>
          <w:tcPr>
            <w:tcW w:w="102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1"/>
              </w:rPr>
              <w:t>Isobutane,</w:t>
            </w:r>
          </w:p>
        </w:tc>
        <w:tc>
          <w:tcPr>
            <w:tcW w:w="9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1"/>
              </w:rPr>
              <w:t>Gasoline,</w:t>
            </w:r>
          </w:p>
        </w:tc>
        <w:tc>
          <w:tcPr>
            <w:tcW w:w="10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2"/>
              </w:rPr>
              <w:t>Propylene,</w:t>
            </w:r>
          </w:p>
        </w:tc>
        <w:tc>
          <w:tcPr>
            <w:tcW w:w="9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2"/>
              </w:rPr>
              <w:t>Propylene,</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$/gallon</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1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$/MMBtu</w:t>
            </w:r>
          </w:p>
        </w:tc>
        <w:tc>
          <w:tcPr>
            <w:tcW w:w="100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w w:val="90"/>
              </w:rPr>
              <w:t>$/gallon</w:t>
            </w:r>
          </w:p>
        </w:tc>
        <w:tc>
          <w:tcPr>
            <w:tcW w:w="102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w w:val="94"/>
              </w:rPr>
              <w:t>$/gallon</w:t>
            </w:r>
          </w:p>
        </w:tc>
        <w:tc>
          <w:tcPr>
            <w:tcW w:w="98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0"/>
              </w:rPr>
              <w:t>$/gallon</w:t>
            </w:r>
          </w:p>
        </w:tc>
        <w:tc>
          <w:tcPr>
            <w:tcW w:w="102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4"/>
              </w:rPr>
              <w:t>$/gallon</w:t>
            </w:r>
          </w:p>
        </w:tc>
        <w:tc>
          <w:tcPr>
            <w:tcW w:w="9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4"/>
              </w:rPr>
              <w:t>$/gallon</w:t>
            </w:r>
          </w:p>
        </w:tc>
        <w:tc>
          <w:tcPr>
            <w:tcW w:w="10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1"/>
              </w:rPr>
              <w:t>$/pound</w:t>
            </w:r>
          </w:p>
        </w:tc>
        <w:tc>
          <w:tcPr>
            <w:tcW w:w="9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1"/>
              </w:rPr>
              <w:t>$/pound</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240" w:type="dxa"/>
            <w:vAlign w:val="bottom"/>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960" w:type="dxa"/>
            <w:vAlign w:val="bottom"/>
            <w:tcBorders>
              <w:bottom w:val="single" w:sz="8" w:color="auto"/>
            </w:tcBorders>
            <w:vMerge w:val="continue"/>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5"/>
                <w:szCs w:val="15"/>
                <w:color w:val="auto"/>
              </w:rPr>
            </w:pPr>
          </w:p>
        </w:tc>
        <w:tc>
          <w:tcPr>
            <w:tcW w:w="1140" w:type="dxa"/>
            <w:vAlign w:val="bottom"/>
            <w:vMerge w:val="restart"/>
          </w:tcPr>
          <w:p>
            <w:pPr>
              <w:jc w:val="center"/>
              <w:ind w:right="68"/>
              <w:spacing w:after="0"/>
              <w:rPr>
                <w:sz w:val="20"/>
                <w:szCs w:val="20"/>
                <w:color w:val="auto"/>
              </w:rPr>
            </w:pPr>
            <w:r>
              <w:rPr>
                <w:rFonts w:ascii="Arial" w:cs="Arial" w:eastAsia="Arial" w:hAnsi="Arial"/>
                <w:sz w:val="14"/>
                <w:szCs w:val="14"/>
                <w:color w:val="auto"/>
                <w:w w:val="93"/>
              </w:rPr>
              <w:t>(1)</w:t>
            </w:r>
          </w:p>
        </w:tc>
        <w:tc>
          <w:tcPr>
            <w:tcW w:w="1000" w:type="dxa"/>
            <w:vAlign w:val="bottom"/>
            <w:vMerge w:val="restart"/>
          </w:tcPr>
          <w:p>
            <w:pPr>
              <w:jc w:val="center"/>
              <w:ind w:right="168"/>
              <w:spacing w:after="0"/>
              <w:rPr>
                <w:sz w:val="20"/>
                <w:szCs w:val="20"/>
                <w:color w:val="auto"/>
              </w:rPr>
            </w:pPr>
            <w:r>
              <w:rPr>
                <w:rFonts w:ascii="Arial" w:cs="Arial" w:eastAsia="Arial" w:hAnsi="Arial"/>
                <w:sz w:val="14"/>
                <w:szCs w:val="14"/>
                <w:color w:val="auto"/>
                <w:w w:val="93"/>
              </w:rPr>
              <w:t>(2)</w:t>
            </w:r>
          </w:p>
        </w:tc>
        <w:tc>
          <w:tcPr>
            <w:tcW w:w="1020" w:type="dxa"/>
            <w:vAlign w:val="bottom"/>
            <w:vMerge w:val="restart"/>
          </w:tcPr>
          <w:p>
            <w:pPr>
              <w:jc w:val="center"/>
              <w:ind w:right="168"/>
              <w:spacing w:after="0"/>
              <w:rPr>
                <w:sz w:val="20"/>
                <w:szCs w:val="20"/>
                <w:color w:val="auto"/>
              </w:rPr>
            </w:pPr>
            <w:r>
              <w:rPr>
                <w:rFonts w:ascii="Arial" w:cs="Arial" w:eastAsia="Arial" w:hAnsi="Arial"/>
                <w:sz w:val="14"/>
                <w:szCs w:val="14"/>
                <w:color w:val="auto"/>
              </w:rPr>
              <w:t>(2)</w:t>
            </w:r>
          </w:p>
        </w:tc>
        <w:tc>
          <w:tcPr>
            <w:tcW w:w="980" w:type="dxa"/>
            <w:vAlign w:val="bottom"/>
            <w:vMerge w:val="restart"/>
          </w:tcPr>
          <w:p>
            <w:pPr>
              <w:jc w:val="center"/>
              <w:ind w:right="148"/>
              <w:spacing w:after="0"/>
              <w:rPr>
                <w:sz w:val="20"/>
                <w:szCs w:val="20"/>
                <w:color w:val="auto"/>
              </w:rPr>
            </w:pPr>
            <w:r>
              <w:rPr>
                <w:rFonts w:ascii="Arial" w:cs="Arial" w:eastAsia="Arial" w:hAnsi="Arial"/>
                <w:sz w:val="14"/>
                <w:szCs w:val="14"/>
                <w:color w:val="auto"/>
                <w:w w:val="93"/>
              </w:rPr>
              <w:t>(2)</w:t>
            </w:r>
          </w:p>
        </w:tc>
        <w:tc>
          <w:tcPr>
            <w:tcW w:w="1020" w:type="dxa"/>
            <w:vAlign w:val="bottom"/>
            <w:vMerge w:val="restart"/>
          </w:tcPr>
          <w:p>
            <w:pPr>
              <w:jc w:val="center"/>
              <w:ind w:right="128"/>
              <w:spacing w:after="0"/>
              <w:rPr>
                <w:sz w:val="20"/>
                <w:szCs w:val="20"/>
                <w:color w:val="auto"/>
              </w:rPr>
            </w:pPr>
            <w:r>
              <w:rPr>
                <w:rFonts w:ascii="Arial" w:cs="Arial" w:eastAsia="Arial" w:hAnsi="Arial"/>
                <w:sz w:val="14"/>
                <w:szCs w:val="14"/>
                <w:color w:val="auto"/>
              </w:rPr>
              <w:t>(2)</w:t>
            </w:r>
          </w:p>
        </w:tc>
        <w:tc>
          <w:tcPr>
            <w:tcW w:w="980" w:type="dxa"/>
            <w:vAlign w:val="bottom"/>
            <w:vMerge w:val="restart"/>
          </w:tcPr>
          <w:p>
            <w:pPr>
              <w:jc w:val="center"/>
              <w:ind w:right="128"/>
              <w:spacing w:after="0"/>
              <w:rPr>
                <w:sz w:val="20"/>
                <w:szCs w:val="20"/>
                <w:color w:val="auto"/>
              </w:rPr>
            </w:pPr>
            <w:r>
              <w:rPr>
                <w:rFonts w:ascii="Arial" w:cs="Arial" w:eastAsia="Arial" w:hAnsi="Arial"/>
                <w:sz w:val="14"/>
                <w:szCs w:val="14"/>
                <w:color w:val="auto"/>
              </w:rPr>
              <w:t>(2)</w:t>
            </w:r>
          </w:p>
        </w:tc>
        <w:tc>
          <w:tcPr>
            <w:tcW w:w="1000" w:type="dxa"/>
            <w:vAlign w:val="bottom"/>
            <w:vMerge w:val="restart"/>
          </w:tcPr>
          <w:p>
            <w:pPr>
              <w:jc w:val="center"/>
              <w:ind w:right="108"/>
              <w:spacing w:after="0"/>
              <w:rPr>
                <w:sz w:val="20"/>
                <w:szCs w:val="20"/>
                <w:color w:val="auto"/>
              </w:rPr>
            </w:pPr>
            <w:r>
              <w:rPr>
                <w:rFonts w:ascii="Arial" w:cs="Arial" w:eastAsia="Arial" w:hAnsi="Arial"/>
                <w:sz w:val="14"/>
                <w:szCs w:val="14"/>
                <w:color w:val="auto"/>
              </w:rPr>
              <w:t>(3)</w:t>
            </w:r>
          </w:p>
        </w:tc>
        <w:tc>
          <w:tcPr>
            <w:tcW w:w="960" w:type="dxa"/>
            <w:vAlign w:val="bottom"/>
            <w:vMerge w:val="restart"/>
          </w:tcPr>
          <w:p>
            <w:pPr>
              <w:jc w:val="center"/>
              <w:ind w:right="88"/>
              <w:spacing w:after="0"/>
              <w:rPr>
                <w:sz w:val="20"/>
                <w:szCs w:val="20"/>
                <w:color w:val="auto"/>
              </w:rPr>
            </w:pPr>
            <w:r>
              <w:rPr>
                <w:rFonts w:ascii="Arial" w:cs="Arial" w:eastAsia="Arial" w:hAnsi="Arial"/>
                <w:sz w:val="14"/>
                <w:szCs w:val="14"/>
                <w:color w:val="auto"/>
                <w:w w:val="93"/>
              </w:rPr>
              <w:t>(3)</w:t>
            </w:r>
          </w:p>
        </w:tc>
        <w:tc>
          <w:tcPr>
            <w:tcW w:w="1080" w:type="dxa"/>
            <w:vAlign w:val="bottom"/>
          </w:tcPr>
          <w:p>
            <w:pPr>
              <w:jc w:val="center"/>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42"/>
        </w:trPr>
        <w:tc>
          <w:tcPr>
            <w:tcW w:w="22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240" w:type="dxa"/>
            <w:vAlign w:val="bottom"/>
          </w:tcPr>
          <w:p>
            <w:pPr>
              <w:spacing w:after="0"/>
              <w:rPr>
                <w:sz w:val="20"/>
                <w:szCs w:val="20"/>
                <w:color w:val="auto"/>
              </w:rPr>
            </w:pPr>
            <w:r>
              <w:rPr>
                <w:rFonts w:ascii="Arial" w:cs="Arial" w:eastAsia="Arial" w:hAnsi="Arial"/>
                <w:sz w:val="14"/>
                <w:szCs w:val="14"/>
                <w:b w:val="1"/>
                <w:bCs w:val="1"/>
                <w:color w:val="auto"/>
              </w:rPr>
              <w:t>2018 by quarter:</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1st Quarter</w:t>
            </w:r>
          </w:p>
        </w:tc>
        <w:tc>
          <w:tcPr>
            <w:tcW w:w="11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$3.01</w:t>
            </w:r>
          </w:p>
        </w:tc>
        <w:tc>
          <w:tcPr>
            <w:tcW w:w="10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$0.25</w:t>
            </w:r>
          </w:p>
        </w:tc>
        <w:tc>
          <w:tcPr>
            <w:tcW w:w="10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$0.85</w:t>
            </w:r>
          </w:p>
        </w:tc>
        <w:tc>
          <w:tcPr>
            <w:tcW w:w="9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$0.96</w:t>
            </w:r>
          </w:p>
        </w:tc>
        <w:tc>
          <w:tcPr>
            <w:tcW w:w="10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$1.00</w:t>
            </w:r>
          </w:p>
        </w:tc>
        <w:tc>
          <w:tcPr>
            <w:tcW w:w="9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$1.41</w:t>
            </w:r>
          </w:p>
        </w:tc>
        <w:tc>
          <w:tcPr>
            <w:tcW w:w="10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$0.53</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$0.33</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2nd Quarter</w:t>
            </w:r>
          </w:p>
        </w:tc>
        <w:tc>
          <w:tcPr>
            <w:tcW w:w="11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$2.80</w:t>
            </w: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$0.29</w:t>
            </w:r>
          </w:p>
        </w:tc>
        <w:tc>
          <w:tcPr>
            <w:tcW w:w="10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$0.87</w:t>
            </w:r>
          </w:p>
        </w:tc>
        <w:tc>
          <w:tcPr>
            <w:tcW w:w="9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$1.00</w:t>
            </w:r>
          </w:p>
        </w:tc>
        <w:tc>
          <w:tcPr>
            <w:tcW w:w="10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$1.20</w:t>
            </w:r>
          </w:p>
        </w:tc>
        <w:tc>
          <w:tcPr>
            <w:tcW w:w="9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$1.53</w:t>
            </w:r>
          </w:p>
        </w:tc>
        <w:tc>
          <w:tcPr>
            <w:tcW w:w="10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$0.52</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$0.37</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$0.47</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3rd Quarter</w:t>
            </w:r>
          </w:p>
        </w:tc>
        <w:tc>
          <w:tcPr>
            <w:tcW w:w="11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$2.91</w:t>
            </w:r>
          </w:p>
        </w:tc>
        <w:tc>
          <w:tcPr>
            <w:tcW w:w="10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$0.43</w:t>
            </w:r>
          </w:p>
        </w:tc>
        <w:tc>
          <w:tcPr>
            <w:tcW w:w="10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$0.99</w:t>
            </w:r>
          </w:p>
        </w:tc>
        <w:tc>
          <w:tcPr>
            <w:tcW w:w="9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$1.21</w:t>
            </w:r>
          </w:p>
        </w:tc>
        <w:tc>
          <w:tcPr>
            <w:tcW w:w="10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$1.25</w:t>
            </w:r>
          </w:p>
        </w:tc>
        <w:tc>
          <w:tcPr>
            <w:tcW w:w="9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$1.54</w:t>
            </w:r>
          </w:p>
        </w:tc>
        <w:tc>
          <w:tcPr>
            <w:tcW w:w="10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$0.60</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$0.58</w:t>
            </w:r>
          </w:p>
        </w:tc>
        <w:tc>
          <w:tcPr>
            <w:tcW w:w="0" w:type="dxa"/>
            <w:vAlign w:val="bottom"/>
          </w:tcPr>
          <w:p>
            <w:pPr>
              <w:spacing w:after="0"/>
              <w:rPr>
                <w:sz w:val="1"/>
                <w:szCs w:val="1"/>
                <w:color w:val="auto"/>
              </w:rPr>
            </w:pPr>
          </w:p>
        </w:tc>
      </w:tr>
      <w:tr>
        <w:trPr>
          <w:trHeight w:val="156"/>
        </w:trPr>
        <w:tc>
          <w:tcPr>
            <w:tcW w:w="22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4th Quarter</w:t>
            </w:r>
          </w:p>
        </w:tc>
        <w:tc>
          <w:tcPr>
            <w:tcW w:w="114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$3.65</w:t>
            </w:r>
          </w:p>
        </w:tc>
        <w:tc>
          <w:tcPr>
            <w:tcW w:w="10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$0.35</w:t>
            </w:r>
          </w:p>
        </w:tc>
        <w:tc>
          <w:tcPr>
            <w:tcW w:w="102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$0.79</w:t>
            </w:r>
          </w:p>
        </w:tc>
        <w:tc>
          <w:tcPr>
            <w:tcW w:w="98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$0.91</w:t>
            </w:r>
          </w:p>
        </w:tc>
        <w:tc>
          <w:tcPr>
            <w:tcW w:w="102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$0.94</w:t>
            </w:r>
          </w:p>
        </w:tc>
        <w:tc>
          <w:tcPr>
            <w:tcW w:w="98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$1.22</w:t>
            </w:r>
          </w:p>
        </w:tc>
        <w:tc>
          <w:tcPr>
            <w:tcW w:w="100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$0.51</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$0.35</w:t>
            </w: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174"/>
        </w:trPr>
        <w:tc>
          <w:tcPr>
            <w:tcW w:w="224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2018 Averages</w:t>
            </w:r>
          </w:p>
        </w:tc>
        <w:tc>
          <w:tcPr>
            <w:tcW w:w="1140" w:type="dxa"/>
            <w:vAlign w:val="bottom"/>
            <w:tcBorders>
              <w:bottom w:val="single" w:sz="8" w:color="auto"/>
            </w:tcBorders>
            <w:shd w:val="clear" w:color="auto" w:fill="CCEEFF"/>
          </w:tcPr>
          <w:p>
            <w:pPr>
              <w:jc w:val="right"/>
              <w:ind w:right="68"/>
              <w:spacing w:after="0" w:line="129" w:lineRule="exact"/>
              <w:rPr>
                <w:sz w:val="20"/>
                <w:szCs w:val="20"/>
                <w:color w:val="auto"/>
              </w:rPr>
            </w:pPr>
            <w:r>
              <w:rPr>
                <w:rFonts w:ascii="Arial" w:cs="Arial" w:eastAsia="Arial" w:hAnsi="Arial"/>
                <w:sz w:val="14"/>
                <w:szCs w:val="14"/>
                <w:color w:val="auto"/>
              </w:rPr>
              <w:t>$3.09</w:t>
            </w:r>
          </w:p>
        </w:tc>
        <w:tc>
          <w:tcPr>
            <w:tcW w:w="10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$0.33</w:t>
            </w:r>
          </w:p>
        </w:tc>
        <w:tc>
          <w:tcPr>
            <w:tcW w:w="102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$0.88</w:t>
            </w:r>
          </w:p>
        </w:tc>
        <w:tc>
          <w:tcPr>
            <w:tcW w:w="9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$1.02</w:t>
            </w:r>
          </w:p>
        </w:tc>
        <w:tc>
          <w:tcPr>
            <w:tcW w:w="102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$1.10</w:t>
            </w:r>
          </w:p>
        </w:tc>
        <w:tc>
          <w:tcPr>
            <w:tcW w:w="9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$1.43</w:t>
            </w:r>
          </w:p>
        </w:tc>
        <w:tc>
          <w:tcPr>
            <w:tcW w:w="100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$0.54</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$0.38</w:t>
            </w:r>
          </w:p>
        </w:tc>
        <w:tc>
          <w:tcPr>
            <w:tcW w:w="10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2019 by quarter:</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1st Quarter</w:t>
            </w:r>
          </w:p>
        </w:tc>
        <w:tc>
          <w:tcPr>
            <w:tcW w:w="11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$3.15</w:t>
            </w: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$0.30</w:t>
            </w:r>
          </w:p>
        </w:tc>
        <w:tc>
          <w:tcPr>
            <w:tcW w:w="10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$0.67</w:t>
            </w:r>
          </w:p>
        </w:tc>
        <w:tc>
          <w:tcPr>
            <w:tcW w:w="9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$0.82</w:t>
            </w:r>
          </w:p>
        </w:tc>
        <w:tc>
          <w:tcPr>
            <w:tcW w:w="10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$0.85</w:t>
            </w:r>
          </w:p>
        </w:tc>
        <w:tc>
          <w:tcPr>
            <w:tcW w:w="9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$1.16</w:t>
            </w:r>
          </w:p>
        </w:tc>
        <w:tc>
          <w:tcPr>
            <w:tcW w:w="10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$0.38</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$0.24</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2nd Quarter</w:t>
            </w:r>
          </w:p>
        </w:tc>
        <w:tc>
          <w:tcPr>
            <w:tcW w:w="11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$2.64</w:t>
            </w:r>
          </w:p>
        </w:tc>
        <w:tc>
          <w:tcPr>
            <w:tcW w:w="10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$0.21</w:t>
            </w:r>
          </w:p>
        </w:tc>
        <w:tc>
          <w:tcPr>
            <w:tcW w:w="10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$0.55</w:t>
            </w:r>
          </w:p>
        </w:tc>
        <w:tc>
          <w:tcPr>
            <w:tcW w:w="9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$0.63</w:t>
            </w:r>
          </w:p>
        </w:tc>
        <w:tc>
          <w:tcPr>
            <w:tcW w:w="10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$0.65</w:t>
            </w:r>
          </w:p>
        </w:tc>
        <w:tc>
          <w:tcPr>
            <w:tcW w:w="9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$1.21</w:t>
            </w:r>
          </w:p>
        </w:tc>
        <w:tc>
          <w:tcPr>
            <w:tcW w:w="10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$0.37</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$0.24</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3rd Quarter</w:t>
            </w:r>
          </w:p>
        </w:tc>
        <w:tc>
          <w:tcPr>
            <w:tcW w:w="11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$2.23</w:t>
            </w: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$0.17</w:t>
            </w:r>
          </w:p>
        </w:tc>
        <w:tc>
          <w:tcPr>
            <w:tcW w:w="10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$0.44</w:t>
            </w:r>
          </w:p>
        </w:tc>
        <w:tc>
          <w:tcPr>
            <w:tcW w:w="9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$0.51</w:t>
            </w:r>
          </w:p>
        </w:tc>
        <w:tc>
          <w:tcPr>
            <w:tcW w:w="10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$0.66</w:t>
            </w:r>
          </w:p>
        </w:tc>
        <w:tc>
          <w:tcPr>
            <w:tcW w:w="9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$1.06</w:t>
            </w:r>
          </w:p>
        </w:tc>
        <w:tc>
          <w:tcPr>
            <w:tcW w:w="10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$0.38</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$0.23</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169"/>
        </w:trPr>
        <w:tc>
          <w:tcPr>
            <w:tcW w:w="22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4th Quarter</w:t>
            </w:r>
          </w:p>
        </w:tc>
        <w:tc>
          <w:tcPr>
            <w:tcW w:w="11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$2.50</w:t>
            </w:r>
          </w:p>
        </w:tc>
        <w:tc>
          <w:tcPr>
            <w:tcW w:w="10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$0.19</w:t>
            </w:r>
          </w:p>
        </w:tc>
        <w:tc>
          <w:tcPr>
            <w:tcW w:w="10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$0.50</w:t>
            </w: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$0.68</w:t>
            </w:r>
          </w:p>
        </w:tc>
        <w:tc>
          <w:tcPr>
            <w:tcW w:w="10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$0.82</w:t>
            </w: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$1.20</w:t>
            </w:r>
          </w:p>
        </w:tc>
        <w:tc>
          <w:tcPr>
            <w:tcW w:w="10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$0.35</w:t>
            </w: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$0.21</w:t>
            </w: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36"/>
        </w:trPr>
        <w:tc>
          <w:tcPr>
            <w:tcW w:w="2240" w:type="dxa"/>
            <w:vAlign w:val="bottom"/>
          </w:tcPr>
          <w:p>
            <w:pPr>
              <w:spacing w:after="0" w:line="122" w:lineRule="exact"/>
              <w:rPr>
                <w:sz w:val="20"/>
                <w:szCs w:val="20"/>
                <w:color w:val="auto"/>
              </w:rPr>
            </w:pPr>
            <w:r>
              <w:rPr>
                <w:rFonts w:ascii="Arial" w:cs="Arial" w:eastAsia="Arial" w:hAnsi="Arial"/>
                <w:sz w:val="14"/>
                <w:szCs w:val="14"/>
                <w:b w:val="1"/>
                <w:bCs w:val="1"/>
                <w:color w:val="auto"/>
              </w:rPr>
              <w:t>2019 Averages</w:t>
            </w:r>
          </w:p>
        </w:tc>
        <w:tc>
          <w:tcPr>
            <w:tcW w:w="1140" w:type="dxa"/>
            <w:vAlign w:val="bottom"/>
            <w:tcBorders>
              <w:bottom w:val="single" w:sz="8" w:color="auto"/>
            </w:tcBorders>
          </w:tcPr>
          <w:p>
            <w:pPr>
              <w:jc w:val="right"/>
              <w:ind w:right="68"/>
              <w:spacing w:after="0" w:line="129" w:lineRule="exact"/>
              <w:rPr>
                <w:sz w:val="20"/>
                <w:szCs w:val="20"/>
                <w:color w:val="auto"/>
              </w:rPr>
            </w:pPr>
            <w:r>
              <w:rPr>
                <w:rFonts w:ascii="Arial" w:cs="Arial" w:eastAsia="Arial" w:hAnsi="Arial"/>
                <w:sz w:val="14"/>
                <w:szCs w:val="14"/>
                <w:color w:val="auto"/>
              </w:rPr>
              <w:t>$2.63</w:t>
            </w:r>
          </w:p>
        </w:tc>
        <w:tc>
          <w:tcPr>
            <w:tcW w:w="100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rPr>
              <w:t>$0.22</w:t>
            </w:r>
          </w:p>
        </w:tc>
        <w:tc>
          <w:tcPr>
            <w:tcW w:w="102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rPr>
              <w:t>$0.54</w:t>
            </w:r>
          </w:p>
        </w:tc>
        <w:tc>
          <w:tcPr>
            <w:tcW w:w="98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rPr>
              <w:t>$0.66</w:t>
            </w:r>
          </w:p>
        </w:tc>
        <w:tc>
          <w:tcPr>
            <w:tcW w:w="102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rPr>
              <w:t>$0.75</w:t>
            </w:r>
          </w:p>
        </w:tc>
        <w:tc>
          <w:tcPr>
            <w:tcW w:w="98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rPr>
              <w:t>$1.16</w:t>
            </w:r>
          </w:p>
        </w:tc>
        <w:tc>
          <w:tcPr>
            <w:tcW w:w="100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rPr>
              <w:t>$0.37</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$0.23</w:t>
            </w:r>
          </w:p>
        </w:tc>
        <w:tc>
          <w:tcPr>
            <w:tcW w:w="10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420" w:hanging="412"/>
        <w:spacing w:after="0"/>
        <w:tabs>
          <w:tab w:leader="none" w:pos="4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Natural gas prices are based on Henry-Hub Inside FERC commercial index prices as reported by Platts, which is a division of McGraw Hill Financial, Inc.</w:t>
      </w:r>
    </w:p>
    <w:p>
      <w:pPr>
        <w:ind w:left="420" w:hanging="412"/>
        <w:spacing w:after="0"/>
        <w:tabs>
          <w:tab w:leader="none" w:pos="4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NGL prices for ethane, propane, normal butane, isobutane and natural gasoline are based on Mont Belvieu Non-TET commercial index prices as reported by Oil Price Information Service.</w:t>
      </w:r>
    </w:p>
    <w:p>
      <w:pPr>
        <w:ind w:left="420" w:hanging="412"/>
        <w:spacing w:after="0" w:line="221" w:lineRule="auto"/>
        <w:tabs>
          <w:tab w:leader="none" w:pos="4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Polymer grade propylene prices represent average contract pricing for such product as reported by IHS Chemical, a division of IHS Inc. (“IHS Chemical”). Refinery grade propylene prices represent weighted-average spot prices for such product as reported by IHS Chemical.</w:t>
      </w:r>
    </w:p>
    <w:p>
      <w:pPr>
        <w:jc w:val="both"/>
        <w:ind w:left="420" w:hanging="412"/>
        <w:spacing w:after="0" w:line="226" w:lineRule="auto"/>
        <w:tabs>
          <w:tab w:leader="none" w:pos="4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“Indicative Gas Processing Gross Spread” represents a generic estimate of the gross economic benefit from extracting NGLs from natural gas production based on certain pricing assumptions. Specifically, it is the amount by which the assumed economic value of a composite gallon of NGLs at Mont Belvieu, Texas exceeds the value of the equivalent amount of energy in natural gas at Henry Hub, Louisiana (as presented in the table above). The indicative spread does not consider the operating costs incurred by a natural gas processing facility to extract the NGLs nor the transportation and fractionation costs to deliver the NGLs to market. In addition, the actual gas processing spread earned at each plant is determined by regional pricing and extraction dynamics. As presented in the table above, the indicative spread assumes that a gallon of NGLs is comprised of 47% ethane, 28% propane, 9% normal butane, 6% isobutane and 10% natural gasoline. The value of an equivalent amount of energy in natural gas to one gallon of NGLs is assumed to be 8.4% of the price of a MMBtu of natural gas at Henry Hub.</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average index prices for crude oil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180" w:type="dxa"/>
            <w:vAlign w:val="bottom"/>
          </w:tcPr>
          <w:p>
            <w:pPr>
              <w:jc w:val="center"/>
              <w:ind w:left="368"/>
              <w:spacing w:after="0"/>
              <w:rPr>
                <w:sz w:val="20"/>
                <w:szCs w:val="20"/>
                <w:color w:val="auto"/>
              </w:rPr>
            </w:pPr>
            <w:r>
              <w:rPr>
                <w:rFonts w:ascii="Arial" w:cs="Arial" w:eastAsia="Arial" w:hAnsi="Arial"/>
                <w:sz w:val="14"/>
                <w:szCs w:val="14"/>
                <w:b w:val="1"/>
                <w:bCs w:val="1"/>
                <w:color w:val="auto"/>
              </w:rPr>
              <w:t>WTI</w:t>
            </w:r>
          </w:p>
        </w:tc>
        <w:tc>
          <w:tcPr>
            <w:tcW w:w="1620" w:type="dxa"/>
            <w:vAlign w:val="bottom"/>
          </w:tcPr>
          <w:p>
            <w:pPr>
              <w:jc w:val="center"/>
              <w:ind w:left="828"/>
              <w:spacing w:after="0"/>
              <w:rPr>
                <w:sz w:val="20"/>
                <w:szCs w:val="20"/>
                <w:color w:val="auto"/>
              </w:rPr>
            </w:pPr>
            <w:r>
              <w:rPr>
                <w:rFonts w:ascii="Arial" w:cs="Arial" w:eastAsia="Arial" w:hAnsi="Arial"/>
                <w:sz w:val="14"/>
                <w:szCs w:val="14"/>
                <w:b w:val="1"/>
                <w:bCs w:val="1"/>
                <w:color w:val="auto"/>
                <w:w w:val="98"/>
              </w:rPr>
              <w:t>Midland</w:t>
            </w:r>
          </w:p>
        </w:tc>
        <w:tc>
          <w:tcPr>
            <w:tcW w:w="1600" w:type="dxa"/>
            <w:vAlign w:val="bottom"/>
          </w:tcPr>
          <w:p>
            <w:pPr>
              <w:jc w:val="center"/>
              <w:ind w:left="808"/>
              <w:spacing w:after="0"/>
              <w:rPr>
                <w:sz w:val="20"/>
                <w:szCs w:val="20"/>
                <w:color w:val="auto"/>
              </w:rPr>
            </w:pPr>
            <w:r>
              <w:rPr>
                <w:rFonts w:ascii="Arial" w:cs="Arial" w:eastAsia="Arial" w:hAnsi="Arial"/>
                <w:sz w:val="14"/>
                <w:szCs w:val="14"/>
                <w:b w:val="1"/>
                <w:bCs w:val="1"/>
                <w:color w:val="auto"/>
                <w:w w:val="91"/>
              </w:rPr>
              <w:t>Houston</w:t>
            </w:r>
          </w:p>
        </w:tc>
        <w:tc>
          <w:tcPr>
            <w:tcW w:w="700" w:type="dxa"/>
            <w:vAlign w:val="bottom"/>
          </w:tcPr>
          <w:p>
            <w:pPr>
              <w:spacing w:after="0"/>
              <w:rPr>
                <w:sz w:val="16"/>
                <w:szCs w:val="16"/>
                <w:color w:val="auto"/>
              </w:rPr>
            </w:pPr>
          </w:p>
        </w:tc>
        <w:tc>
          <w:tcPr>
            <w:tcW w:w="1360" w:type="dxa"/>
            <w:vAlign w:val="bottom"/>
          </w:tcPr>
          <w:p>
            <w:pPr>
              <w:jc w:val="center"/>
              <w:ind w:right="168"/>
              <w:spacing w:after="0"/>
              <w:rPr>
                <w:sz w:val="20"/>
                <w:szCs w:val="20"/>
                <w:color w:val="auto"/>
              </w:rPr>
            </w:pPr>
            <w:r>
              <w:rPr>
                <w:rFonts w:ascii="Arial" w:cs="Arial" w:eastAsia="Arial" w:hAnsi="Arial"/>
                <w:sz w:val="14"/>
                <w:szCs w:val="14"/>
                <w:b w:val="1"/>
                <w:bCs w:val="1"/>
                <w:color w:val="auto"/>
              </w:rPr>
              <w:t>LLS</w:t>
            </w:r>
          </w:p>
        </w:tc>
      </w:tr>
      <w:tr>
        <w:trPr>
          <w:trHeight w:val="216"/>
        </w:trPr>
        <w:tc>
          <w:tcPr>
            <w:tcW w:w="4960" w:type="dxa"/>
            <w:vAlign w:val="bottom"/>
          </w:tcPr>
          <w:p>
            <w:pPr>
              <w:spacing w:after="0"/>
              <w:rPr>
                <w:sz w:val="18"/>
                <w:szCs w:val="18"/>
                <w:color w:val="auto"/>
              </w:rPr>
            </w:pPr>
          </w:p>
        </w:tc>
        <w:tc>
          <w:tcPr>
            <w:tcW w:w="1180" w:type="dxa"/>
            <w:vAlign w:val="bottom"/>
          </w:tcPr>
          <w:p>
            <w:pPr>
              <w:jc w:val="center"/>
              <w:ind w:left="368"/>
              <w:spacing w:after="0"/>
              <w:rPr>
                <w:sz w:val="20"/>
                <w:szCs w:val="20"/>
                <w:color w:val="auto"/>
              </w:rPr>
            </w:pPr>
            <w:r>
              <w:rPr>
                <w:rFonts w:ascii="Arial" w:cs="Arial" w:eastAsia="Arial" w:hAnsi="Arial"/>
                <w:sz w:val="14"/>
                <w:szCs w:val="14"/>
                <w:b w:val="1"/>
                <w:bCs w:val="1"/>
                <w:color w:val="auto"/>
                <w:w w:val="98"/>
              </w:rPr>
              <w:t>Crude Oil,</w:t>
            </w:r>
          </w:p>
        </w:tc>
        <w:tc>
          <w:tcPr>
            <w:tcW w:w="1620" w:type="dxa"/>
            <w:vAlign w:val="bottom"/>
          </w:tcPr>
          <w:p>
            <w:pPr>
              <w:jc w:val="center"/>
              <w:ind w:left="808"/>
              <w:spacing w:after="0"/>
              <w:rPr>
                <w:sz w:val="20"/>
                <w:szCs w:val="20"/>
                <w:color w:val="auto"/>
              </w:rPr>
            </w:pPr>
            <w:r>
              <w:rPr>
                <w:rFonts w:ascii="Arial" w:cs="Arial" w:eastAsia="Arial" w:hAnsi="Arial"/>
                <w:sz w:val="14"/>
                <w:szCs w:val="14"/>
                <w:b w:val="1"/>
                <w:bCs w:val="1"/>
                <w:color w:val="auto"/>
                <w:w w:val="98"/>
              </w:rPr>
              <w:t>Crude Oil,</w:t>
            </w:r>
          </w:p>
        </w:tc>
        <w:tc>
          <w:tcPr>
            <w:tcW w:w="1600" w:type="dxa"/>
            <w:vAlign w:val="bottom"/>
          </w:tcPr>
          <w:p>
            <w:pPr>
              <w:jc w:val="center"/>
              <w:ind w:left="828"/>
              <w:spacing w:after="0"/>
              <w:rPr>
                <w:sz w:val="20"/>
                <w:szCs w:val="20"/>
                <w:color w:val="auto"/>
              </w:rPr>
            </w:pPr>
            <w:r>
              <w:rPr>
                <w:rFonts w:ascii="Arial" w:cs="Arial" w:eastAsia="Arial" w:hAnsi="Arial"/>
                <w:sz w:val="14"/>
                <w:szCs w:val="14"/>
                <w:b w:val="1"/>
                <w:bCs w:val="1"/>
                <w:color w:val="auto"/>
                <w:w w:val="98"/>
              </w:rPr>
              <w:t>Crude Oil</w:t>
            </w:r>
          </w:p>
        </w:tc>
        <w:tc>
          <w:tcPr>
            <w:tcW w:w="700" w:type="dxa"/>
            <w:vAlign w:val="bottom"/>
          </w:tcPr>
          <w:p>
            <w:pPr>
              <w:spacing w:after="0"/>
              <w:rPr>
                <w:sz w:val="18"/>
                <w:szCs w:val="18"/>
                <w:color w:val="auto"/>
              </w:rPr>
            </w:pPr>
          </w:p>
        </w:tc>
        <w:tc>
          <w:tcPr>
            <w:tcW w:w="1360" w:type="dxa"/>
            <w:vAlign w:val="bottom"/>
          </w:tcPr>
          <w:p>
            <w:pPr>
              <w:jc w:val="center"/>
              <w:ind w:right="188"/>
              <w:spacing w:after="0"/>
              <w:rPr>
                <w:sz w:val="20"/>
                <w:szCs w:val="20"/>
                <w:color w:val="auto"/>
              </w:rPr>
            </w:pPr>
            <w:r>
              <w:rPr>
                <w:rFonts w:ascii="Arial" w:cs="Arial" w:eastAsia="Arial" w:hAnsi="Arial"/>
                <w:sz w:val="14"/>
                <w:szCs w:val="14"/>
                <w:b w:val="1"/>
                <w:bCs w:val="1"/>
                <w:color w:val="auto"/>
                <w:w w:val="98"/>
              </w:rPr>
              <w:t>Crude Oil,</w:t>
            </w:r>
          </w:p>
        </w:tc>
      </w:tr>
      <w:tr>
        <w:trPr>
          <w:trHeight w:val="195"/>
        </w:trPr>
        <w:tc>
          <w:tcPr>
            <w:tcW w:w="4960" w:type="dxa"/>
            <w:vAlign w:val="bottom"/>
          </w:tcPr>
          <w:p>
            <w:pPr>
              <w:spacing w:after="0"/>
              <w:rPr>
                <w:sz w:val="16"/>
                <w:szCs w:val="16"/>
                <w:color w:val="auto"/>
              </w:rPr>
            </w:pPr>
          </w:p>
        </w:tc>
        <w:tc>
          <w:tcPr>
            <w:tcW w:w="118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8"/>
              </w:rPr>
              <w:t>$/barrel</w:t>
            </w:r>
          </w:p>
        </w:tc>
        <w:tc>
          <w:tcPr>
            <w:tcW w:w="1620" w:type="dxa"/>
            <w:vAlign w:val="bottom"/>
            <w:tcBorders>
              <w:bottom w:val="single" w:sz="8" w:color="auto"/>
            </w:tcBorders>
          </w:tcPr>
          <w:p>
            <w:pPr>
              <w:jc w:val="center"/>
              <w:ind w:left="808"/>
              <w:spacing w:after="0"/>
              <w:rPr>
                <w:sz w:val="20"/>
                <w:szCs w:val="20"/>
                <w:color w:val="auto"/>
              </w:rPr>
            </w:pPr>
            <w:r>
              <w:rPr>
                <w:rFonts w:ascii="Arial" w:cs="Arial" w:eastAsia="Arial" w:hAnsi="Arial"/>
                <w:sz w:val="14"/>
                <w:szCs w:val="14"/>
                <w:b w:val="1"/>
                <w:bCs w:val="1"/>
                <w:color w:val="auto"/>
                <w:w w:val="98"/>
              </w:rPr>
              <w:t>$/barrel</w:t>
            </w:r>
          </w:p>
        </w:tc>
        <w:tc>
          <w:tcPr>
            <w:tcW w:w="1600" w:type="dxa"/>
            <w:vAlign w:val="bottom"/>
            <w:tcBorders>
              <w:bottom w:val="single" w:sz="8" w:color="auto"/>
            </w:tcBorders>
          </w:tcPr>
          <w:p>
            <w:pPr>
              <w:jc w:val="center"/>
              <w:ind w:left="828"/>
              <w:spacing w:after="0"/>
              <w:rPr>
                <w:sz w:val="20"/>
                <w:szCs w:val="20"/>
                <w:color w:val="auto"/>
              </w:rPr>
            </w:pPr>
            <w:r>
              <w:rPr>
                <w:rFonts w:ascii="Arial" w:cs="Arial" w:eastAsia="Arial" w:hAnsi="Arial"/>
                <w:sz w:val="14"/>
                <w:szCs w:val="14"/>
                <w:b w:val="1"/>
                <w:bCs w:val="1"/>
                <w:color w:val="auto"/>
                <w:w w:val="98"/>
              </w:rPr>
              <w:t>$/barrel</w:t>
            </w:r>
          </w:p>
        </w:tc>
        <w:tc>
          <w:tcPr>
            <w:tcW w:w="7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4"/>
              </w:rPr>
              <w:t>$/barrel</w:t>
            </w:r>
          </w:p>
        </w:tc>
      </w:tr>
      <w:tr>
        <w:trPr>
          <w:trHeight w:val="218"/>
        </w:trPr>
        <w:tc>
          <w:tcPr>
            <w:tcW w:w="6140" w:type="dxa"/>
            <w:vAlign w:val="bottom"/>
            <w:gridSpan w:val="2"/>
          </w:tcPr>
          <w:p>
            <w:pPr>
              <w:jc w:val="center"/>
              <w:ind w:left="5348"/>
              <w:spacing w:after="0"/>
              <w:rPr>
                <w:sz w:val="20"/>
                <w:szCs w:val="20"/>
                <w:color w:val="auto"/>
              </w:rPr>
            </w:pPr>
            <w:r>
              <w:rPr>
                <w:rFonts w:ascii="Arial" w:cs="Arial" w:eastAsia="Arial" w:hAnsi="Arial"/>
                <w:sz w:val="14"/>
                <w:szCs w:val="14"/>
                <w:color w:val="auto"/>
                <w:w w:val="93"/>
              </w:rPr>
              <w:t>(1)</w:t>
            </w:r>
          </w:p>
        </w:tc>
        <w:tc>
          <w:tcPr>
            <w:tcW w:w="1620" w:type="dxa"/>
            <w:vAlign w:val="bottom"/>
          </w:tcPr>
          <w:p>
            <w:pPr>
              <w:jc w:val="center"/>
              <w:ind w:left="828"/>
              <w:spacing w:after="0"/>
              <w:rPr>
                <w:sz w:val="20"/>
                <w:szCs w:val="20"/>
                <w:color w:val="auto"/>
              </w:rPr>
            </w:pPr>
            <w:r>
              <w:rPr>
                <w:rFonts w:ascii="Arial" w:cs="Arial" w:eastAsia="Arial" w:hAnsi="Arial"/>
                <w:sz w:val="14"/>
                <w:szCs w:val="14"/>
                <w:color w:val="auto"/>
                <w:w w:val="93"/>
              </w:rPr>
              <w:t>(2)</w:t>
            </w:r>
          </w:p>
        </w:tc>
        <w:tc>
          <w:tcPr>
            <w:tcW w:w="1600" w:type="dxa"/>
            <w:vAlign w:val="bottom"/>
          </w:tcPr>
          <w:p>
            <w:pPr>
              <w:jc w:val="center"/>
              <w:ind w:left="828"/>
              <w:spacing w:after="0"/>
              <w:rPr>
                <w:sz w:val="20"/>
                <w:szCs w:val="20"/>
                <w:color w:val="auto"/>
              </w:rPr>
            </w:pPr>
            <w:r>
              <w:rPr>
                <w:rFonts w:ascii="Arial" w:cs="Arial" w:eastAsia="Arial" w:hAnsi="Arial"/>
                <w:sz w:val="14"/>
                <w:szCs w:val="14"/>
                <w:color w:val="auto"/>
              </w:rPr>
              <w:t>(2)</w:t>
            </w:r>
          </w:p>
        </w:tc>
        <w:tc>
          <w:tcPr>
            <w:tcW w:w="700" w:type="dxa"/>
            <w:vAlign w:val="bottom"/>
          </w:tcPr>
          <w:p>
            <w:pPr>
              <w:spacing w:after="0"/>
              <w:rPr>
                <w:sz w:val="18"/>
                <w:szCs w:val="18"/>
                <w:color w:val="auto"/>
              </w:rPr>
            </w:pPr>
          </w:p>
        </w:tc>
        <w:tc>
          <w:tcPr>
            <w:tcW w:w="1360" w:type="dxa"/>
            <w:vAlign w:val="bottom"/>
          </w:tcPr>
          <w:p>
            <w:pPr>
              <w:jc w:val="center"/>
              <w:ind w:right="168"/>
              <w:spacing w:after="0"/>
              <w:rPr>
                <w:sz w:val="20"/>
                <w:szCs w:val="20"/>
                <w:color w:val="auto"/>
              </w:rPr>
            </w:pPr>
            <w:r>
              <w:rPr>
                <w:rFonts w:ascii="Arial" w:cs="Arial" w:eastAsia="Arial" w:hAnsi="Arial"/>
                <w:sz w:val="14"/>
                <w:szCs w:val="14"/>
                <w:color w:val="auto"/>
                <w:w w:val="93"/>
              </w:rPr>
              <w:t>(3)</w:t>
            </w:r>
          </w:p>
        </w:tc>
      </w:tr>
      <w:tr>
        <w:trPr>
          <w:trHeight w:val="201"/>
        </w:trPr>
        <w:tc>
          <w:tcPr>
            <w:tcW w:w="6140" w:type="dxa"/>
            <w:vAlign w:val="bottom"/>
            <w:gridSpan w:val="2"/>
          </w:tcPr>
          <w:p>
            <w:pPr>
              <w:spacing w:after="0"/>
              <w:rPr>
                <w:sz w:val="20"/>
                <w:szCs w:val="20"/>
                <w:color w:val="auto"/>
              </w:rPr>
            </w:pPr>
            <w:r>
              <w:rPr>
                <w:rFonts w:ascii="Arial" w:cs="Arial" w:eastAsia="Arial" w:hAnsi="Arial"/>
                <w:sz w:val="14"/>
                <w:szCs w:val="14"/>
                <w:b w:val="1"/>
                <w:bCs w:val="1"/>
                <w:color w:val="auto"/>
              </w:rPr>
              <w:t>2018 by quarter:</w:t>
            </w:r>
          </w:p>
        </w:tc>
        <w:tc>
          <w:tcPr>
            <w:tcW w:w="16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49"/>
        </w:trPr>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1st Quarter</w:t>
            </w:r>
          </w:p>
        </w:tc>
        <w:tc>
          <w:tcPr>
            <w:tcW w:w="1620" w:type="dxa"/>
            <w:vAlign w:val="bottom"/>
            <w:shd w:val="clear" w:color="auto" w:fill="CCEEFF"/>
          </w:tcPr>
          <w:p>
            <w:pPr>
              <w:jc w:val="right"/>
              <w:ind w:right="1108"/>
              <w:spacing w:after="0" w:line="149" w:lineRule="exact"/>
              <w:rPr>
                <w:sz w:val="20"/>
                <w:szCs w:val="20"/>
                <w:color w:val="auto"/>
              </w:rPr>
            </w:pPr>
            <w:r>
              <w:rPr>
                <w:rFonts w:ascii="Arial" w:cs="Arial" w:eastAsia="Arial" w:hAnsi="Arial"/>
                <w:sz w:val="14"/>
                <w:szCs w:val="14"/>
                <w:color w:val="auto"/>
                <w:w w:val="97"/>
              </w:rPr>
              <w:t>$62.87</w:t>
            </w:r>
          </w:p>
        </w:tc>
        <w:tc>
          <w:tcPr>
            <w:tcW w:w="1600" w:type="dxa"/>
            <w:vAlign w:val="bottom"/>
            <w:shd w:val="clear" w:color="auto" w:fill="CCEEFF"/>
          </w:tcPr>
          <w:p>
            <w:pPr>
              <w:jc w:val="right"/>
              <w:ind w:right="1088"/>
              <w:spacing w:after="0" w:line="149" w:lineRule="exact"/>
              <w:rPr>
                <w:sz w:val="20"/>
                <w:szCs w:val="20"/>
                <w:color w:val="auto"/>
              </w:rPr>
            </w:pPr>
            <w:r>
              <w:rPr>
                <w:rFonts w:ascii="Arial" w:cs="Arial" w:eastAsia="Arial" w:hAnsi="Arial"/>
                <w:sz w:val="14"/>
                <w:szCs w:val="14"/>
                <w:color w:val="auto"/>
                <w:w w:val="97"/>
              </w:rPr>
              <w:t>$62.51</w:t>
            </w:r>
          </w:p>
        </w:tc>
        <w:tc>
          <w:tcPr>
            <w:tcW w:w="7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$65.47</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$65.79</w:t>
            </w:r>
          </w:p>
        </w:tc>
      </w:tr>
      <w:tr>
        <w:trPr>
          <w:trHeight w:val="149"/>
        </w:trPr>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2nd Quarter</w:t>
            </w:r>
          </w:p>
        </w:tc>
        <w:tc>
          <w:tcPr>
            <w:tcW w:w="1620" w:type="dxa"/>
            <w:vAlign w:val="bottom"/>
          </w:tcPr>
          <w:p>
            <w:pPr>
              <w:jc w:val="right"/>
              <w:ind w:right="1108"/>
              <w:spacing w:after="0" w:line="149" w:lineRule="exact"/>
              <w:rPr>
                <w:sz w:val="20"/>
                <w:szCs w:val="20"/>
                <w:color w:val="auto"/>
              </w:rPr>
            </w:pPr>
            <w:r>
              <w:rPr>
                <w:rFonts w:ascii="Arial" w:cs="Arial" w:eastAsia="Arial" w:hAnsi="Arial"/>
                <w:sz w:val="14"/>
                <w:szCs w:val="14"/>
                <w:color w:val="auto"/>
                <w:w w:val="97"/>
              </w:rPr>
              <w:t>$67.88</w:t>
            </w:r>
          </w:p>
        </w:tc>
        <w:tc>
          <w:tcPr>
            <w:tcW w:w="1600" w:type="dxa"/>
            <w:vAlign w:val="bottom"/>
          </w:tcPr>
          <w:p>
            <w:pPr>
              <w:jc w:val="right"/>
              <w:ind w:right="1088"/>
              <w:spacing w:after="0" w:line="149" w:lineRule="exact"/>
              <w:rPr>
                <w:sz w:val="20"/>
                <w:szCs w:val="20"/>
                <w:color w:val="auto"/>
              </w:rPr>
            </w:pPr>
            <w:r>
              <w:rPr>
                <w:rFonts w:ascii="Arial" w:cs="Arial" w:eastAsia="Arial" w:hAnsi="Arial"/>
                <w:sz w:val="14"/>
                <w:szCs w:val="14"/>
                <w:color w:val="auto"/>
                <w:w w:val="97"/>
              </w:rPr>
              <w:t>$59.93</w:t>
            </w:r>
          </w:p>
        </w:tc>
        <w:tc>
          <w:tcPr>
            <w:tcW w:w="7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$72.38</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$72.97</w:t>
            </w:r>
          </w:p>
        </w:tc>
      </w:tr>
      <w:tr>
        <w:trPr>
          <w:trHeight w:val="149"/>
        </w:trPr>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3rd Quarter</w:t>
            </w:r>
          </w:p>
        </w:tc>
        <w:tc>
          <w:tcPr>
            <w:tcW w:w="1620" w:type="dxa"/>
            <w:vAlign w:val="bottom"/>
            <w:shd w:val="clear" w:color="auto" w:fill="CCEEFF"/>
          </w:tcPr>
          <w:p>
            <w:pPr>
              <w:jc w:val="right"/>
              <w:ind w:right="1108"/>
              <w:spacing w:after="0" w:line="149" w:lineRule="exact"/>
              <w:rPr>
                <w:sz w:val="20"/>
                <w:szCs w:val="20"/>
                <w:color w:val="auto"/>
              </w:rPr>
            </w:pPr>
            <w:r>
              <w:rPr>
                <w:rFonts w:ascii="Arial" w:cs="Arial" w:eastAsia="Arial" w:hAnsi="Arial"/>
                <w:sz w:val="14"/>
                <w:szCs w:val="14"/>
                <w:color w:val="auto"/>
                <w:w w:val="97"/>
              </w:rPr>
              <w:t>$69.50</w:t>
            </w:r>
          </w:p>
        </w:tc>
        <w:tc>
          <w:tcPr>
            <w:tcW w:w="1600" w:type="dxa"/>
            <w:vAlign w:val="bottom"/>
            <w:shd w:val="clear" w:color="auto" w:fill="CCEEFF"/>
          </w:tcPr>
          <w:p>
            <w:pPr>
              <w:jc w:val="right"/>
              <w:ind w:right="1088"/>
              <w:spacing w:after="0" w:line="149" w:lineRule="exact"/>
              <w:rPr>
                <w:sz w:val="20"/>
                <w:szCs w:val="20"/>
                <w:color w:val="auto"/>
              </w:rPr>
            </w:pPr>
            <w:r>
              <w:rPr>
                <w:rFonts w:ascii="Arial" w:cs="Arial" w:eastAsia="Arial" w:hAnsi="Arial"/>
                <w:sz w:val="14"/>
                <w:szCs w:val="14"/>
                <w:color w:val="auto"/>
                <w:w w:val="97"/>
              </w:rPr>
              <w:t>$55.28</w:t>
            </w:r>
          </w:p>
        </w:tc>
        <w:tc>
          <w:tcPr>
            <w:tcW w:w="7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$73.67</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$74.28</w:t>
            </w:r>
          </w:p>
        </w:tc>
      </w:tr>
      <w:tr>
        <w:trPr>
          <w:trHeight w:val="156"/>
        </w:trPr>
        <w:tc>
          <w:tcPr>
            <w:tcW w:w="49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4th Quarter</w:t>
            </w:r>
          </w:p>
        </w:tc>
        <w:tc>
          <w:tcPr>
            <w:tcW w:w="11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1108"/>
              <w:spacing w:after="0" w:line="149" w:lineRule="exact"/>
              <w:rPr>
                <w:sz w:val="20"/>
                <w:szCs w:val="20"/>
                <w:color w:val="auto"/>
              </w:rPr>
            </w:pPr>
            <w:r>
              <w:rPr>
                <w:rFonts w:ascii="Arial" w:cs="Arial" w:eastAsia="Arial" w:hAnsi="Arial"/>
                <w:sz w:val="14"/>
                <w:szCs w:val="14"/>
                <w:color w:val="auto"/>
                <w:w w:val="97"/>
              </w:rPr>
              <w:t>$58.81</w:t>
            </w:r>
          </w:p>
        </w:tc>
        <w:tc>
          <w:tcPr>
            <w:tcW w:w="1600" w:type="dxa"/>
            <w:vAlign w:val="bottom"/>
            <w:tcBorders>
              <w:bottom w:val="single" w:sz="8" w:color="auto"/>
            </w:tcBorders>
          </w:tcPr>
          <w:p>
            <w:pPr>
              <w:jc w:val="right"/>
              <w:ind w:right="1088"/>
              <w:spacing w:after="0" w:line="149" w:lineRule="exact"/>
              <w:rPr>
                <w:sz w:val="20"/>
                <w:szCs w:val="20"/>
                <w:color w:val="auto"/>
              </w:rPr>
            </w:pPr>
            <w:r>
              <w:rPr>
                <w:rFonts w:ascii="Arial" w:cs="Arial" w:eastAsia="Arial" w:hAnsi="Arial"/>
                <w:sz w:val="14"/>
                <w:szCs w:val="14"/>
                <w:color w:val="auto"/>
                <w:w w:val="97"/>
              </w:rPr>
              <w:t>$53.64</w:t>
            </w:r>
          </w:p>
        </w:tc>
        <w:tc>
          <w:tcPr>
            <w:tcW w:w="700" w:type="dxa"/>
            <w:vAlign w:val="bottom"/>
            <w:tcBorders>
              <w:bottom w:val="single" w:sz="8" w:color="auto"/>
            </w:tcBorders>
          </w:tcPr>
          <w:p>
            <w:pPr>
              <w:jc w:val="right"/>
              <w:ind w:right="168"/>
              <w:spacing w:after="0" w:line="149" w:lineRule="exact"/>
              <w:rPr>
                <w:sz w:val="20"/>
                <w:szCs w:val="20"/>
                <w:color w:val="auto"/>
              </w:rPr>
            </w:pPr>
            <w:r>
              <w:rPr>
                <w:rFonts w:ascii="Arial" w:cs="Arial" w:eastAsia="Arial" w:hAnsi="Arial"/>
                <w:sz w:val="14"/>
                <w:szCs w:val="14"/>
                <w:color w:val="auto"/>
              </w:rPr>
              <w:t>$66.34</w:t>
            </w:r>
          </w:p>
        </w:tc>
        <w:tc>
          <w:tcPr>
            <w:tcW w:w="1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$66.20</w:t>
            </w:r>
          </w:p>
        </w:tc>
      </w:tr>
      <w:tr>
        <w:trPr>
          <w:trHeight w:val="169"/>
        </w:trPr>
        <w:tc>
          <w:tcPr>
            <w:tcW w:w="61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2018 Averages</w:t>
            </w:r>
          </w:p>
        </w:tc>
        <w:tc>
          <w:tcPr>
            <w:tcW w:w="1620" w:type="dxa"/>
            <w:vAlign w:val="bottom"/>
            <w:shd w:val="clear" w:color="auto" w:fill="CCEEFF"/>
          </w:tcPr>
          <w:p>
            <w:pPr>
              <w:jc w:val="right"/>
              <w:ind w:right="1108"/>
              <w:spacing w:after="0" w:line="129" w:lineRule="exact"/>
              <w:rPr>
                <w:sz w:val="20"/>
                <w:szCs w:val="20"/>
                <w:color w:val="auto"/>
              </w:rPr>
            </w:pPr>
            <w:r>
              <w:rPr>
                <w:rFonts w:ascii="Arial" w:cs="Arial" w:eastAsia="Arial" w:hAnsi="Arial"/>
                <w:sz w:val="14"/>
                <w:szCs w:val="14"/>
                <w:color w:val="auto"/>
                <w:w w:val="97"/>
              </w:rPr>
              <w:t>$64.77</w:t>
            </w:r>
          </w:p>
        </w:tc>
        <w:tc>
          <w:tcPr>
            <w:tcW w:w="1600" w:type="dxa"/>
            <w:vAlign w:val="bottom"/>
            <w:shd w:val="clear" w:color="auto" w:fill="CCEEFF"/>
          </w:tcPr>
          <w:p>
            <w:pPr>
              <w:jc w:val="right"/>
              <w:ind w:right="1088"/>
              <w:spacing w:after="0" w:line="129" w:lineRule="exact"/>
              <w:rPr>
                <w:sz w:val="20"/>
                <w:szCs w:val="20"/>
                <w:color w:val="auto"/>
              </w:rPr>
            </w:pPr>
            <w:r>
              <w:rPr>
                <w:rFonts w:ascii="Arial" w:cs="Arial" w:eastAsia="Arial" w:hAnsi="Arial"/>
                <w:sz w:val="14"/>
                <w:szCs w:val="14"/>
                <w:color w:val="auto"/>
                <w:w w:val="97"/>
              </w:rPr>
              <w:t>$57.84</w:t>
            </w:r>
          </w:p>
        </w:tc>
        <w:tc>
          <w:tcPr>
            <w:tcW w:w="700" w:type="dxa"/>
            <w:vAlign w:val="bottom"/>
            <w:shd w:val="clear" w:color="auto" w:fill="CCEEFF"/>
          </w:tcPr>
          <w:p>
            <w:pPr>
              <w:jc w:val="right"/>
              <w:ind w:right="168"/>
              <w:spacing w:after="0" w:line="129" w:lineRule="exact"/>
              <w:rPr>
                <w:sz w:val="20"/>
                <w:szCs w:val="20"/>
                <w:color w:val="auto"/>
              </w:rPr>
            </w:pPr>
            <w:r>
              <w:rPr>
                <w:rFonts w:ascii="Arial" w:cs="Arial" w:eastAsia="Arial" w:hAnsi="Arial"/>
                <w:sz w:val="14"/>
                <w:szCs w:val="14"/>
                <w:color w:val="auto"/>
              </w:rPr>
              <w:t>$69.47</w:t>
            </w:r>
          </w:p>
        </w:tc>
        <w:tc>
          <w:tcPr>
            <w:tcW w:w="13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$69.81</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4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2019 by quarter:</w:t>
            </w:r>
          </w:p>
        </w:tc>
        <w:tc>
          <w:tcPr>
            <w:tcW w:w="16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49"/>
        </w:trPr>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1st Quarter</w:t>
            </w:r>
          </w:p>
        </w:tc>
        <w:tc>
          <w:tcPr>
            <w:tcW w:w="1620" w:type="dxa"/>
            <w:vAlign w:val="bottom"/>
          </w:tcPr>
          <w:p>
            <w:pPr>
              <w:jc w:val="right"/>
              <w:ind w:right="1108"/>
              <w:spacing w:after="0" w:line="149" w:lineRule="exact"/>
              <w:rPr>
                <w:sz w:val="20"/>
                <w:szCs w:val="20"/>
                <w:color w:val="auto"/>
              </w:rPr>
            </w:pPr>
            <w:r>
              <w:rPr>
                <w:rFonts w:ascii="Arial" w:cs="Arial" w:eastAsia="Arial" w:hAnsi="Arial"/>
                <w:sz w:val="14"/>
                <w:szCs w:val="14"/>
                <w:color w:val="auto"/>
                <w:w w:val="97"/>
              </w:rPr>
              <w:t>$54.90</w:t>
            </w:r>
          </w:p>
        </w:tc>
        <w:tc>
          <w:tcPr>
            <w:tcW w:w="1600" w:type="dxa"/>
            <w:vAlign w:val="bottom"/>
          </w:tcPr>
          <w:p>
            <w:pPr>
              <w:jc w:val="right"/>
              <w:ind w:right="1088"/>
              <w:spacing w:after="0" w:line="149" w:lineRule="exact"/>
              <w:rPr>
                <w:sz w:val="20"/>
                <w:szCs w:val="20"/>
                <w:color w:val="auto"/>
              </w:rPr>
            </w:pPr>
            <w:r>
              <w:rPr>
                <w:rFonts w:ascii="Arial" w:cs="Arial" w:eastAsia="Arial" w:hAnsi="Arial"/>
                <w:sz w:val="14"/>
                <w:szCs w:val="14"/>
                <w:color w:val="auto"/>
                <w:w w:val="97"/>
              </w:rPr>
              <w:t>$53.70</w:t>
            </w:r>
          </w:p>
        </w:tc>
        <w:tc>
          <w:tcPr>
            <w:tcW w:w="7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$61.19</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$62.35</w:t>
            </w:r>
          </w:p>
        </w:tc>
      </w:tr>
      <w:tr>
        <w:trPr>
          <w:trHeight w:val="149"/>
        </w:trPr>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2nd Quarter</w:t>
            </w:r>
          </w:p>
        </w:tc>
        <w:tc>
          <w:tcPr>
            <w:tcW w:w="1620" w:type="dxa"/>
            <w:vAlign w:val="bottom"/>
            <w:shd w:val="clear" w:color="auto" w:fill="CCEEFF"/>
          </w:tcPr>
          <w:p>
            <w:pPr>
              <w:jc w:val="right"/>
              <w:ind w:right="1108"/>
              <w:spacing w:after="0" w:line="149" w:lineRule="exact"/>
              <w:rPr>
                <w:sz w:val="20"/>
                <w:szCs w:val="20"/>
                <w:color w:val="auto"/>
              </w:rPr>
            </w:pPr>
            <w:r>
              <w:rPr>
                <w:rFonts w:ascii="Arial" w:cs="Arial" w:eastAsia="Arial" w:hAnsi="Arial"/>
                <w:sz w:val="14"/>
                <w:szCs w:val="14"/>
                <w:color w:val="auto"/>
                <w:w w:val="97"/>
              </w:rPr>
              <w:t>$59.81</w:t>
            </w:r>
          </w:p>
        </w:tc>
        <w:tc>
          <w:tcPr>
            <w:tcW w:w="1600" w:type="dxa"/>
            <w:vAlign w:val="bottom"/>
            <w:shd w:val="clear" w:color="auto" w:fill="CCEEFF"/>
          </w:tcPr>
          <w:p>
            <w:pPr>
              <w:jc w:val="right"/>
              <w:ind w:right="1088"/>
              <w:spacing w:after="0" w:line="149" w:lineRule="exact"/>
              <w:rPr>
                <w:sz w:val="20"/>
                <w:szCs w:val="20"/>
                <w:color w:val="auto"/>
              </w:rPr>
            </w:pPr>
            <w:r>
              <w:rPr>
                <w:rFonts w:ascii="Arial" w:cs="Arial" w:eastAsia="Arial" w:hAnsi="Arial"/>
                <w:sz w:val="14"/>
                <w:szCs w:val="14"/>
                <w:color w:val="auto"/>
                <w:w w:val="97"/>
              </w:rPr>
              <w:t>$57.62</w:t>
            </w:r>
          </w:p>
        </w:tc>
        <w:tc>
          <w:tcPr>
            <w:tcW w:w="7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$66.47</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$67.07</w:t>
            </w:r>
          </w:p>
        </w:tc>
      </w:tr>
      <w:tr>
        <w:trPr>
          <w:trHeight w:val="149"/>
        </w:trPr>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3rd Quarter</w:t>
            </w:r>
          </w:p>
        </w:tc>
        <w:tc>
          <w:tcPr>
            <w:tcW w:w="1620" w:type="dxa"/>
            <w:vAlign w:val="bottom"/>
          </w:tcPr>
          <w:p>
            <w:pPr>
              <w:jc w:val="right"/>
              <w:ind w:right="1108"/>
              <w:spacing w:after="0" w:line="149" w:lineRule="exact"/>
              <w:rPr>
                <w:sz w:val="20"/>
                <w:szCs w:val="20"/>
                <w:color w:val="auto"/>
              </w:rPr>
            </w:pPr>
            <w:r>
              <w:rPr>
                <w:rFonts w:ascii="Arial" w:cs="Arial" w:eastAsia="Arial" w:hAnsi="Arial"/>
                <w:sz w:val="14"/>
                <w:szCs w:val="14"/>
                <w:color w:val="auto"/>
                <w:w w:val="97"/>
              </w:rPr>
              <w:t>$56.45</w:t>
            </w:r>
          </w:p>
        </w:tc>
        <w:tc>
          <w:tcPr>
            <w:tcW w:w="1600" w:type="dxa"/>
            <w:vAlign w:val="bottom"/>
          </w:tcPr>
          <w:p>
            <w:pPr>
              <w:jc w:val="right"/>
              <w:ind w:right="1088"/>
              <w:spacing w:after="0" w:line="149" w:lineRule="exact"/>
              <w:rPr>
                <w:sz w:val="20"/>
                <w:szCs w:val="20"/>
                <w:color w:val="auto"/>
              </w:rPr>
            </w:pPr>
            <w:r>
              <w:rPr>
                <w:rFonts w:ascii="Arial" w:cs="Arial" w:eastAsia="Arial" w:hAnsi="Arial"/>
                <w:sz w:val="14"/>
                <w:szCs w:val="14"/>
                <w:color w:val="auto"/>
                <w:w w:val="97"/>
              </w:rPr>
              <w:t>$56.12</w:t>
            </w:r>
          </w:p>
        </w:tc>
        <w:tc>
          <w:tcPr>
            <w:tcW w:w="7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$59.75</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$60.64</w:t>
            </w:r>
          </w:p>
        </w:tc>
      </w:tr>
      <w:tr>
        <w:trPr>
          <w:trHeight w:val="156"/>
        </w:trPr>
        <w:tc>
          <w:tcPr>
            <w:tcW w:w="49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4th Quarter</w:t>
            </w:r>
          </w:p>
        </w:tc>
        <w:tc>
          <w:tcPr>
            <w:tcW w:w="118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ind w:right="1108"/>
              <w:spacing w:after="0" w:line="149" w:lineRule="exact"/>
              <w:rPr>
                <w:sz w:val="20"/>
                <w:szCs w:val="20"/>
                <w:color w:val="auto"/>
              </w:rPr>
            </w:pPr>
            <w:r>
              <w:rPr>
                <w:rFonts w:ascii="Arial" w:cs="Arial" w:eastAsia="Arial" w:hAnsi="Arial"/>
                <w:sz w:val="14"/>
                <w:szCs w:val="14"/>
                <w:color w:val="auto"/>
                <w:w w:val="97"/>
              </w:rPr>
              <w:t>$56.96</w:t>
            </w:r>
          </w:p>
        </w:tc>
        <w:tc>
          <w:tcPr>
            <w:tcW w:w="1600" w:type="dxa"/>
            <w:vAlign w:val="bottom"/>
            <w:tcBorders>
              <w:bottom w:val="single" w:sz="8" w:color="auto"/>
            </w:tcBorders>
            <w:shd w:val="clear" w:color="auto" w:fill="CCEEFF"/>
          </w:tcPr>
          <w:p>
            <w:pPr>
              <w:jc w:val="right"/>
              <w:ind w:right="1088"/>
              <w:spacing w:after="0" w:line="149" w:lineRule="exact"/>
              <w:rPr>
                <w:sz w:val="20"/>
                <w:szCs w:val="20"/>
                <w:color w:val="auto"/>
              </w:rPr>
            </w:pPr>
            <w:r>
              <w:rPr>
                <w:rFonts w:ascii="Arial" w:cs="Arial" w:eastAsia="Arial" w:hAnsi="Arial"/>
                <w:sz w:val="14"/>
                <w:szCs w:val="14"/>
                <w:color w:val="auto"/>
                <w:w w:val="97"/>
              </w:rPr>
              <w:t>$57.80</w:t>
            </w:r>
          </w:p>
        </w:tc>
        <w:tc>
          <w:tcPr>
            <w:tcW w:w="700" w:type="dxa"/>
            <w:vAlign w:val="bottom"/>
            <w:tcBorders>
              <w:bottom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$60.04</w:t>
            </w:r>
          </w:p>
        </w:tc>
        <w:tc>
          <w:tcPr>
            <w:tcW w:w="1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$60.76</w:t>
            </w:r>
          </w:p>
        </w:tc>
      </w:tr>
      <w:tr>
        <w:trPr>
          <w:trHeight w:val="149"/>
        </w:trPr>
        <w:tc>
          <w:tcPr>
            <w:tcW w:w="61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2019 Averages</w:t>
            </w:r>
          </w:p>
        </w:tc>
        <w:tc>
          <w:tcPr>
            <w:tcW w:w="1620" w:type="dxa"/>
            <w:vAlign w:val="bottom"/>
          </w:tcPr>
          <w:p>
            <w:pPr>
              <w:jc w:val="right"/>
              <w:ind w:right="1108"/>
              <w:spacing w:after="0" w:line="129" w:lineRule="exact"/>
              <w:rPr>
                <w:sz w:val="20"/>
                <w:szCs w:val="20"/>
                <w:color w:val="auto"/>
              </w:rPr>
            </w:pPr>
            <w:r>
              <w:rPr>
                <w:rFonts w:ascii="Arial" w:cs="Arial" w:eastAsia="Arial" w:hAnsi="Arial"/>
                <w:sz w:val="14"/>
                <w:szCs w:val="14"/>
                <w:color w:val="auto"/>
                <w:w w:val="97"/>
              </w:rPr>
              <w:t>$57.03</w:t>
            </w:r>
          </w:p>
        </w:tc>
        <w:tc>
          <w:tcPr>
            <w:tcW w:w="1600" w:type="dxa"/>
            <w:vAlign w:val="bottom"/>
          </w:tcPr>
          <w:p>
            <w:pPr>
              <w:jc w:val="right"/>
              <w:ind w:right="1088"/>
              <w:spacing w:after="0" w:line="129" w:lineRule="exact"/>
              <w:rPr>
                <w:sz w:val="20"/>
                <w:szCs w:val="20"/>
                <w:color w:val="auto"/>
              </w:rPr>
            </w:pPr>
            <w:r>
              <w:rPr>
                <w:rFonts w:ascii="Arial" w:cs="Arial" w:eastAsia="Arial" w:hAnsi="Arial"/>
                <w:sz w:val="14"/>
                <w:szCs w:val="14"/>
                <w:color w:val="auto"/>
                <w:w w:val="97"/>
              </w:rPr>
              <w:t>$56.31</w:t>
            </w:r>
          </w:p>
        </w:tc>
        <w:tc>
          <w:tcPr>
            <w:tcW w:w="700" w:type="dxa"/>
            <w:vAlign w:val="bottom"/>
          </w:tcPr>
          <w:p>
            <w:pPr>
              <w:jc w:val="right"/>
              <w:ind w:right="168"/>
              <w:spacing w:after="0" w:line="129" w:lineRule="exact"/>
              <w:rPr>
                <w:sz w:val="20"/>
                <w:szCs w:val="20"/>
                <w:color w:val="auto"/>
              </w:rPr>
            </w:pPr>
            <w:r>
              <w:rPr>
                <w:rFonts w:ascii="Arial" w:cs="Arial" w:eastAsia="Arial" w:hAnsi="Arial"/>
                <w:sz w:val="14"/>
                <w:szCs w:val="14"/>
                <w:color w:val="auto"/>
              </w:rPr>
              <w:t>$61.86</w:t>
            </w:r>
          </w:p>
        </w:tc>
        <w:tc>
          <w:tcPr>
            <w:tcW w:w="1360" w:type="dxa"/>
            <w:vAlign w:val="bottom"/>
          </w:tcPr>
          <w:p>
            <w:pPr>
              <w:jc w:val="right"/>
              <w:spacing w:after="0" w:line="129" w:lineRule="exact"/>
              <w:rPr>
                <w:sz w:val="20"/>
                <w:szCs w:val="20"/>
                <w:color w:val="auto"/>
              </w:rPr>
            </w:pPr>
            <w:r>
              <w:rPr>
                <w:rFonts w:ascii="Arial" w:cs="Arial" w:eastAsia="Arial" w:hAnsi="Arial"/>
                <w:sz w:val="14"/>
                <w:szCs w:val="14"/>
                <w:color w:val="auto"/>
              </w:rPr>
              <w:t>$62.71</w:t>
            </w:r>
          </w:p>
        </w:tc>
      </w:tr>
      <w:tr>
        <w:trPr>
          <w:trHeight w:val="21"/>
        </w:trPr>
        <w:tc>
          <w:tcPr>
            <w:tcW w:w="49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WTI prices are based on commercial index prices at Cushing, Oklahoma as measured by the NYMEX.</w:t>
      </w:r>
    </w:p>
    <w:p>
      <w:pPr>
        <w:ind w:left="460" w:hanging="452"/>
        <w:spacing w:after="0" w:line="221" w:lineRule="auto"/>
        <w:tabs>
          <w:tab w:leader="none" w:pos="4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Midland and Houston crude oil prices are based on commercial index prices as reported by Argus.</w:t>
      </w:r>
    </w:p>
    <w:p>
      <w:pPr>
        <w:ind w:left="460" w:hanging="452"/>
        <w:spacing w:after="0"/>
        <w:tabs>
          <w:tab w:leader="none" w:pos="4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Light Louisiana Sweet (“LLS”) prices are based on commercial index prices as reported by Platts.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Fluctuations in our consolidated revenues and cost of sales amounts are explained in large part by changes in energy commodity prices, which fluctuate for a variety of reasons including supply and demand imbalances and geopolitical tensions. The weighted-average indicative market price for NGLs was $0.47 per gallon in 2019 compared to $0.70 per gallon in 2018.</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decrease in our consolidated marketing revenues due to lower energy commodity sales prices may not result in a decrease in gross operating margin or cash available for distribution, since our consolidated cost of sales amounts would also decrease due to comparable decreases in the purchase prices of the underlying energy commodities. The same type of correlation would be true in the case of higher energy commodity sales prices and purchase costs.</w:t>
      </w:r>
    </w:p>
    <w:p>
      <w:pPr>
        <w:spacing w:after="0" w:line="17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attempt to mitigate commodity price exposure through our hedging activities and the use of fee-based arrangements. See Note 14 of the Notes to Consolidated Financial Statements included under Part II, Item 8 of this annual report for information regarding our commodity hedging activities.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Highlights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key components of our consolidated results of operations for the years indicated (dollars in millions):</w:t>
      </w:r>
    </w:p>
    <w:p>
      <w:pPr>
        <w:spacing w:after="0" w:line="24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For the Year Ended</w:t>
      </w:r>
    </w:p>
    <w:p>
      <w:pPr>
        <w:spacing w:after="0" w:line="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-3175</wp:posOffset>
            </wp:positionV>
            <wp:extent cx="158623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32,789.2</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36,534.2</w:t>
            </w:r>
          </w:p>
        </w:tc>
      </w:tr>
      <w:tr>
        <w:trPr>
          <w:trHeight w:val="216"/>
        </w:trPr>
        <w:tc>
          <w:tcPr>
            <w:tcW w:w="8820" w:type="dxa"/>
            <w:vAlign w:val="bottom"/>
          </w:tcPr>
          <w:p>
            <w:pPr>
              <w:spacing w:after="0"/>
              <w:rPr>
                <w:sz w:val="20"/>
                <w:szCs w:val="20"/>
                <w:color w:val="auto"/>
              </w:rPr>
            </w:pPr>
            <w:r>
              <w:rPr>
                <w:rFonts w:ascii="Arial" w:cs="Arial" w:eastAsia="Arial" w:hAnsi="Arial"/>
                <w:sz w:val="14"/>
                <w:szCs w:val="14"/>
                <w:color w:val="auto"/>
              </w:rPr>
              <w:t>Costs and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costs and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4"/>
                <w:szCs w:val="14"/>
                <w:color w:val="auto"/>
              </w:rPr>
              <w:t>Cost of sales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22,065.8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26,789.8</w:t>
            </w: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operating costs and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2,898.7</w:t>
            </w:r>
          </w:p>
        </w:tc>
      </w:tr>
      <w:tr>
        <w:trPr>
          <w:trHeight w:val="216"/>
        </w:trPr>
        <w:tc>
          <w:tcPr>
            <w:tcW w:w="8820" w:type="dxa"/>
            <w:vAlign w:val="bottom"/>
          </w:tcPr>
          <w:p>
            <w:pPr>
              <w:ind w:left="340"/>
              <w:spacing w:after="0"/>
              <w:rPr>
                <w:sz w:val="20"/>
                <w:szCs w:val="20"/>
                <w:color w:val="auto"/>
              </w:rPr>
            </w:pPr>
            <w:r>
              <w:rPr>
                <w:rFonts w:ascii="Arial" w:cs="Arial" w:eastAsia="Arial" w:hAnsi="Arial"/>
                <w:sz w:val="14"/>
                <w:szCs w:val="14"/>
                <w:color w:val="auto"/>
              </w:rPr>
              <w:t>Depreciation, amortization and accretion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1,848.3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1,687.0</w:t>
            </w: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gains attributable to asset sales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(28.7)</w:t>
            </w:r>
          </w:p>
        </w:tc>
      </w:tr>
      <w:tr>
        <w:trPr>
          <w:trHeight w:val="223"/>
        </w:trPr>
        <w:tc>
          <w:tcPr>
            <w:tcW w:w="8820" w:type="dxa"/>
            <w:vAlign w:val="bottom"/>
          </w:tcPr>
          <w:p>
            <w:pPr>
              <w:ind w:left="340"/>
              <w:spacing w:after="0"/>
              <w:rPr>
                <w:sz w:val="20"/>
                <w:szCs w:val="20"/>
                <w:color w:val="auto"/>
              </w:rPr>
            </w:pPr>
            <w:r>
              <w:rPr>
                <w:rFonts w:ascii="Arial" w:cs="Arial" w:eastAsia="Arial" w:hAnsi="Arial"/>
                <w:sz w:val="14"/>
                <w:szCs w:val="14"/>
                <w:color w:val="auto"/>
              </w:rPr>
              <w:t>Asset impairment and related charges</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132.7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50.5</w:t>
            </w:r>
          </w:p>
        </w:tc>
      </w:tr>
      <w:tr>
        <w:trPr>
          <w:trHeight w:val="223"/>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operating costs and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27,061.8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31,397.3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820" w:type="dxa"/>
            <w:vAlign w:val="bottom"/>
          </w:tcPr>
          <w:p>
            <w:pPr>
              <w:ind w:left="180"/>
              <w:spacing w:after="0"/>
              <w:rPr>
                <w:sz w:val="20"/>
                <w:szCs w:val="20"/>
                <w:color w:val="auto"/>
              </w:rPr>
            </w:pPr>
            <w:r>
              <w:rPr>
                <w:rFonts w:ascii="Arial" w:cs="Arial" w:eastAsia="Arial" w:hAnsi="Arial"/>
                <w:sz w:val="14"/>
                <w:szCs w:val="14"/>
                <w:color w:val="auto"/>
              </w:rPr>
              <w:t>General and administrative costs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208.3</w:t>
            </w:r>
          </w:p>
        </w:tc>
        <w:tc>
          <w:tcPr>
            <w:tcW w:w="100" w:type="dxa"/>
            <w:vAlign w:val="bottom"/>
          </w:tcPr>
          <w:p>
            <w:pPr>
              <w:spacing w:after="0"/>
              <w:rPr>
                <w:sz w:val="19"/>
                <w:szCs w:val="19"/>
                <w:color w:val="auto"/>
              </w:rPr>
            </w:pPr>
          </w:p>
        </w:tc>
      </w:tr>
      <w:tr>
        <w:trPr>
          <w:trHeight w:val="223"/>
        </w:trPr>
        <w:tc>
          <w:tcPr>
            <w:tcW w:w="8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27,273.5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31,605.6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4"/>
                <w:szCs w:val="14"/>
                <w:color w:val="auto"/>
              </w:rPr>
              <w:t>Equity in income of unconsolidated affiliates</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563.0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480.0</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5,408.6</w:t>
            </w: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(1,243.0)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(1,096.7)</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Change in fair value of Liquidity Option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(56.1)</w:t>
            </w:r>
          </w:p>
        </w:tc>
      </w:tr>
      <w:tr>
        <w:trPr>
          <w:trHeight w:val="216"/>
        </w:trPr>
        <w:tc>
          <w:tcPr>
            <w:tcW w:w="8820" w:type="dxa"/>
            <w:vAlign w:val="bottom"/>
          </w:tcPr>
          <w:p>
            <w:pPr>
              <w:spacing w:after="0"/>
              <w:rPr>
                <w:sz w:val="20"/>
                <w:szCs w:val="20"/>
                <w:color w:val="auto"/>
              </w:rPr>
            </w:pPr>
            <w:r>
              <w:rPr>
                <w:rFonts w:ascii="Arial" w:cs="Arial" w:eastAsia="Arial" w:hAnsi="Arial"/>
                <w:sz w:val="14"/>
                <w:szCs w:val="14"/>
                <w:color w:val="auto"/>
              </w:rPr>
              <w:t>Other, net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43.0</w:t>
            </w:r>
          </w:p>
        </w:tc>
      </w:tr>
      <w:tr>
        <w:trPr>
          <w:trHeight w:val="223"/>
        </w:trPr>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(60.3)</w:t>
            </w:r>
          </w:p>
        </w:tc>
      </w:tr>
      <w:tr>
        <w:trPr>
          <w:trHeight w:val="216"/>
        </w:trPr>
        <w:tc>
          <w:tcPr>
            <w:tcW w:w="882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Net income</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4,687.1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4,238.5</w:t>
            </w:r>
          </w:p>
        </w:tc>
        <w:tc>
          <w:tcPr>
            <w:tcW w:w="10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Net income attributable to noncontrolling interests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(66.1)</w:t>
            </w:r>
          </w:p>
        </w:tc>
      </w:tr>
      <w:tr>
        <w:trPr>
          <w:trHeight w:val="27"/>
        </w:trPr>
        <w:tc>
          <w:tcPr>
            <w:tcW w:w="8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4"/>
                <w:szCs w:val="14"/>
                <w:color w:val="auto"/>
              </w:rPr>
              <w:t>Net income attributable to limited partners</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4,591.3</w:t>
            </w:r>
          </w:p>
        </w:tc>
        <w:tc>
          <w:tcPr>
            <w:tcW w:w="14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4,172.4</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each business segment’s contribution to consolidated revenues for the years indicated (dollars in millions):</w:t>
      </w:r>
    </w:p>
    <w:p>
      <w:pPr>
        <w:spacing w:after="0" w:line="24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For the Year Ended</w:t>
      </w:r>
    </w:p>
    <w:p>
      <w:pPr>
        <w:spacing w:after="0" w:line="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-3175</wp:posOffset>
            </wp:positionV>
            <wp:extent cx="158623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4"/>
                <w:szCs w:val="14"/>
                <w:b w:val="1"/>
                <w:bCs w:val="1"/>
                <w:color w:val="auto"/>
              </w:rPr>
              <w:t>NGL Pipelines &amp; Services: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of NGLs and related products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10,934.3</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12,920.9</w:t>
            </w:r>
          </w:p>
        </w:tc>
      </w:tr>
      <w:tr>
        <w:trPr>
          <w:trHeight w:val="223"/>
        </w:trPr>
        <w:tc>
          <w:tcPr>
            <w:tcW w:w="8820" w:type="dxa"/>
            <w:vAlign w:val="bottom"/>
          </w:tcPr>
          <w:p>
            <w:pPr>
              <w:ind w:left="180"/>
              <w:spacing w:after="0"/>
              <w:rPr>
                <w:sz w:val="20"/>
                <w:szCs w:val="20"/>
                <w:color w:val="auto"/>
              </w:rPr>
            </w:pPr>
            <w:r>
              <w:rPr>
                <w:rFonts w:ascii="Arial" w:cs="Arial" w:eastAsia="Arial" w:hAnsi="Arial"/>
                <w:sz w:val="14"/>
                <w:szCs w:val="14"/>
                <w:color w:val="auto"/>
              </w:rPr>
              <w:t>Midstream services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2,728.0</w:t>
            </w:r>
          </w:p>
        </w:tc>
        <w:tc>
          <w:tcPr>
            <w:tcW w:w="100" w:type="dxa"/>
            <w:vAlign w:val="bottom"/>
          </w:tcPr>
          <w:p>
            <w:pPr>
              <w:spacing w:after="0"/>
              <w:rPr>
                <w:sz w:val="19"/>
                <w:szCs w:val="19"/>
                <w:color w:val="auto"/>
              </w:rPr>
            </w:pPr>
          </w:p>
        </w:tc>
      </w:tr>
      <w:tr>
        <w:trPr>
          <w:trHeight w:val="223"/>
        </w:trPr>
        <w:tc>
          <w:tcPr>
            <w:tcW w:w="88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15,648.9</w:t>
            </w:r>
          </w:p>
        </w:tc>
      </w:tr>
      <w:tr>
        <w:trPr>
          <w:trHeight w:val="216"/>
        </w:trPr>
        <w:tc>
          <w:tcPr>
            <w:tcW w:w="882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Crude Oil Pipelines &amp; Services: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Sales of crude oil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10,001.2</w:t>
            </w:r>
          </w:p>
        </w:tc>
      </w:tr>
      <w:tr>
        <w:trPr>
          <w:trHeight w:val="223"/>
        </w:trPr>
        <w:tc>
          <w:tcPr>
            <w:tcW w:w="8820" w:type="dxa"/>
            <w:vAlign w:val="bottom"/>
          </w:tcPr>
          <w:p>
            <w:pPr>
              <w:ind w:left="160"/>
              <w:spacing w:after="0"/>
              <w:rPr>
                <w:sz w:val="20"/>
                <w:szCs w:val="20"/>
                <w:color w:val="auto"/>
              </w:rPr>
            </w:pPr>
            <w:r>
              <w:rPr>
                <w:rFonts w:ascii="Arial" w:cs="Arial" w:eastAsia="Arial" w:hAnsi="Arial"/>
                <w:sz w:val="14"/>
                <w:szCs w:val="14"/>
                <w:color w:val="auto"/>
              </w:rPr>
              <w:t>Midstream services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1,041.4</w:t>
            </w:r>
          </w:p>
        </w:tc>
        <w:tc>
          <w:tcPr>
            <w:tcW w:w="100" w:type="dxa"/>
            <w:vAlign w:val="bottom"/>
          </w:tcPr>
          <w:p>
            <w:pPr>
              <w:spacing w:after="0"/>
              <w:rPr>
                <w:sz w:val="19"/>
                <w:szCs w:val="19"/>
                <w:color w:val="auto"/>
              </w:rPr>
            </w:pPr>
          </w:p>
        </w:tc>
      </w:tr>
      <w:tr>
        <w:trPr>
          <w:trHeight w:val="223"/>
        </w:trPr>
        <w:tc>
          <w:tcPr>
            <w:tcW w:w="88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11,042.6</w:t>
            </w:r>
          </w:p>
        </w:tc>
      </w:tr>
      <w:tr>
        <w:trPr>
          <w:trHeight w:val="216"/>
        </w:trPr>
        <w:tc>
          <w:tcPr>
            <w:tcW w:w="882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Natural Gas Pipelines &amp; Services: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Sales of natural gas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2,411.7</w:t>
            </w:r>
          </w:p>
        </w:tc>
      </w:tr>
      <w:tr>
        <w:trPr>
          <w:trHeight w:val="223"/>
        </w:trPr>
        <w:tc>
          <w:tcPr>
            <w:tcW w:w="8820" w:type="dxa"/>
            <w:vAlign w:val="bottom"/>
          </w:tcPr>
          <w:p>
            <w:pPr>
              <w:ind w:left="160"/>
              <w:spacing w:after="0"/>
              <w:rPr>
                <w:sz w:val="20"/>
                <w:szCs w:val="20"/>
                <w:color w:val="auto"/>
              </w:rPr>
            </w:pPr>
            <w:r>
              <w:rPr>
                <w:rFonts w:ascii="Arial" w:cs="Arial" w:eastAsia="Arial" w:hAnsi="Arial"/>
                <w:sz w:val="14"/>
                <w:szCs w:val="14"/>
                <w:color w:val="auto"/>
              </w:rPr>
              <w:t>Midstream services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1,042.7</w:t>
            </w:r>
          </w:p>
        </w:tc>
        <w:tc>
          <w:tcPr>
            <w:tcW w:w="100" w:type="dxa"/>
            <w:vAlign w:val="bottom"/>
          </w:tcPr>
          <w:p>
            <w:pPr>
              <w:spacing w:after="0"/>
              <w:rPr>
                <w:sz w:val="19"/>
                <w:szCs w:val="19"/>
                <w:color w:val="auto"/>
              </w:rPr>
            </w:pPr>
          </w:p>
        </w:tc>
      </w:tr>
      <w:tr>
        <w:trPr>
          <w:trHeight w:val="223"/>
        </w:trPr>
        <w:tc>
          <w:tcPr>
            <w:tcW w:w="8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3,454.4</w:t>
            </w:r>
          </w:p>
        </w:tc>
      </w:tr>
      <w:tr>
        <w:trPr>
          <w:trHeight w:val="216"/>
        </w:trPr>
        <w:tc>
          <w:tcPr>
            <w:tcW w:w="882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Petrochemical &amp; Refined Products Services: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Sales of petrochemicals and refined products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5,535.4</w:t>
            </w:r>
          </w:p>
        </w:tc>
      </w:tr>
      <w:tr>
        <w:trPr>
          <w:trHeight w:val="223"/>
        </w:trPr>
        <w:tc>
          <w:tcPr>
            <w:tcW w:w="8820" w:type="dxa"/>
            <w:vAlign w:val="bottom"/>
          </w:tcPr>
          <w:p>
            <w:pPr>
              <w:ind w:left="160"/>
              <w:spacing w:after="0"/>
              <w:rPr>
                <w:sz w:val="20"/>
                <w:szCs w:val="20"/>
                <w:color w:val="auto"/>
              </w:rPr>
            </w:pPr>
            <w:r>
              <w:rPr>
                <w:rFonts w:ascii="Arial" w:cs="Arial" w:eastAsia="Arial" w:hAnsi="Arial"/>
                <w:sz w:val="14"/>
                <w:szCs w:val="14"/>
                <w:color w:val="auto"/>
              </w:rPr>
              <w:t>Midstream services</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876.6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852.9</w:t>
            </w:r>
          </w:p>
        </w:tc>
      </w:tr>
      <w:tr>
        <w:trPr>
          <w:trHeight w:val="223"/>
        </w:trPr>
        <w:tc>
          <w:tcPr>
            <w:tcW w:w="8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5,861.8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4"/>
                <w:szCs w:val="14"/>
                <w:b w:val="1"/>
                <w:bCs w:val="1"/>
                <w:color w:val="auto"/>
              </w:rPr>
              <w:t>Total consolidated revenues</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32,789.2</w:t>
            </w:r>
          </w:p>
        </w:tc>
        <w:tc>
          <w:tcPr>
            <w:tcW w:w="1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36,534.2</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revenues for 2019 decreased $3.75 billion when compared to 2018 primarily due to a $3.87 billion decrease in marketing revenues. Revenues from the marketing of NGLs, petrochemicals and refined products decreased a combined net $2.54 billion year-to-year primarily due to lower sales prices, which accounted for a $4.7 billion decrease, partially offset by higher sales volumes, which resulted in a $2.16 billion increase. Revenues from the marketing of crude oil decreased $993.4 million year-to-year primarily due to lower sales volumes, which accounted for a $540.7 million decrease, and lower sales prices, which resulted in an additional $452.7 million decrease. In addition, revenues from the marketing of natural gas decreased a net $336.3 million year-to-year primarily due to lower sales prices.</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Revenues from midstream services for 2019 increased $121.5 million when compared to 2018. Revenues from our pipeline assets increased $250.0 million year-to-year primarily due to strong demand for transportation services in Texas. Our Midland-to-ECHO 1 and 2 pipelines accounted for a combined $206.8 million of this increase. Revenue from our Mont Belvieu storage complex increased $94.7 million year-to-year primarily due to higher storage, throughput and other fees. In addition, revenues from our terminal assets increased $75.8 million year-to-year primarily due to an increase in loading volumes at EHT. Revenues from our natural gas plants decreased a net $285.3 million year-to-year primarily due to lower revenues attributable to the equity NGLs we receive as non-cash consideration for processing services, which accounted for a $452.3 million decrease, partially offset by the addition of revenues from our recently completed Orla facility, which accounted for a $142.8 million increase. The year-to-year decline in revenues attributable to equity NGLs is primarily due to lower NGL prices in 2019 when compared to 2018.</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Largest customer information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Substantially all of our consolidated revenues are earned in the U.S. and derived from a wide customer base. Our largest non-affiliated customer for 2019 and 2018 was Vitol Holding B.V. and its affiliates (collectively, “Vitol”), which accounted for 10.1% and 7.8%, respectively, of our consolidated revenues. Vitol is a global energy and commodity trading company.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operating costs and expenses for 2019 decreased $4.34 billion when compared to 2018 primarily due to lower cost of sales. The cost of sales associated with our marketing of NGLs, petrochemicals and refined products decreased a combined net $2.93 billion year-to-year primarily due to lower purchase prices, which accounted for a $4.81 billion decrease, partially offset by higher sales volumes, which accounted for a $1.87 billion increase. The cost of sales associated with our marketing of crude oil decreased $1.37 billion year-to-year primarily due to lower purchase prices, which accounted for a $924.1 million decrease, and lower sales volumes, which accounted for an additional $446.9 million decrease. In addition, the cost of sales associated with our marketing of natural gas decreased $420.9 million year-to-year primarily due to lower purchase prices.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operating costs and expenses for 2019 increased a net $122.0 million year-to-year primarily due to higher chemical and maintenance expenses, ad valorem taxes, and employee compensation costs, which accounted for a combined $137.7 million increase. The higher costs for 2019 were partially offset by a $33.9 million charge recognized in 2018 in connection with an earnings allocation arrangement with an affiliate of Western Midstream Partners, LP (“WES”) involving the Midland-to-ECHO 1 pipeline.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amortization and accretion expense increased $161.3 million year-to-year primarily due to assets placed into full or limited service since 2018 (e.g., the Shin Oak and Midland-to-ECHO 2 pipelines).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Non-cash asset impairment charges increased $82.2 million year-to-year primarily due to the $76.4 million write-off of our equity method investment in Centennial Pipeline LLC and the planned shutdown of certain natural gas processing assets in Texas and Louisiana.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costs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costs for 2019 increased $3.4 million when compared to 2018 primarily due to higher employee-related costs partially offset by lower legal costs.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income of unconsolidated affiliates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Equity income from our unconsolidated affiliates for 2019 increased $83.0 million when compared to 2018 primarily due to increased earnings from our investments in crude oil pipelines.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income for 2019 increased $670.1 million when compared to 2018 due to the previously described year-to-year changes in revenues, operating costs and expenses, general and administrative costs and equity in income of unconsolidated affiliates.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consolidated interest expense for the years indicated (dollars in millions):</w:t>
      </w:r>
    </w:p>
    <w:p>
      <w:pPr>
        <w:spacing w:after="0" w:line="24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For the Year Ended</w:t>
      </w:r>
    </w:p>
    <w:p>
      <w:pPr>
        <w:spacing w:after="0" w:line="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-3175</wp:posOffset>
            </wp:positionV>
            <wp:extent cx="158623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Interest charged on debt principal outstanding</w:t>
            </w:r>
          </w:p>
        </w:tc>
        <w:tc>
          <w:tcPr>
            <w:tcW w:w="298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1,251.6</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1,195.4</w:t>
            </w:r>
          </w:p>
        </w:tc>
      </w:tr>
      <w:tr>
        <w:trPr>
          <w:trHeight w:val="216"/>
        </w:trPr>
        <w:tc>
          <w:tcPr>
            <w:tcW w:w="6560" w:type="dxa"/>
            <w:vAlign w:val="bottom"/>
          </w:tcPr>
          <w:p>
            <w:pPr>
              <w:spacing w:after="0"/>
              <w:rPr>
                <w:sz w:val="20"/>
                <w:szCs w:val="20"/>
                <w:color w:val="auto"/>
              </w:rPr>
            </w:pPr>
            <w:r>
              <w:rPr>
                <w:rFonts w:ascii="Arial" w:cs="Arial" w:eastAsia="Arial" w:hAnsi="Arial"/>
                <w:sz w:val="14"/>
                <w:szCs w:val="14"/>
                <w:color w:val="auto"/>
              </w:rPr>
              <w:t>Impact of interest rate hedging program, including related amortization (1)</w:t>
            </w:r>
          </w:p>
        </w:tc>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107.4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8.1</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Interest costs capitalized in connection with construction projects (2)</w:t>
            </w:r>
          </w:p>
        </w:tc>
        <w:tc>
          <w:tcPr>
            <w:tcW w:w="2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(143.8)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(147.9)</w:t>
            </w:r>
          </w:p>
        </w:tc>
      </w:tr>
      <w:tr>
        <w:trPr>
          <w:trHeight w:val="216"/>
        </w:trPr>
        <w:tc>
          <w:tcPr>
            <w:tcW w:w="6560" w:type="dxa"/>
            <w:vAlign w:val="bottom"/>
          </w:tcPr>
          <w:p>
            <w:pPr>
              <w:spacing w:after="0"/>
              <w:rPr>
                <w:sz w:val="20"/>
                <w:szCs w:val="20"/>
                <w:color w:val="auto"/>
              </w:rPr>
            </w:pPr>
            <w:r>
              <w:rPr>
                <w:rFonts w:ascii="Arial" w:cs="Arial" w:eastAsia="Arial" w:hAnsi="Arial"/>
                <w:sz w:val="14"/>
                <w:szCs w:val="14"/>
                <w:color w:val="auto"/>
              </w:rPr>
              <w:t>Other (3)</w:t>
            </w:r>
          </w:p>
        </w:tc>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27.8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41.1</w:t>
            </w:r>
          </w:p>
        </w:tc>
      </w:tr>
      <w:tr>
        <w:trPr>
          <w:trHeight w:val="27"/>
        </w:trPr>
        <w:tc>
          <w:tcPr>
            <w:tcW w:w="65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298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1,243.0</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1,096.7</w:t>
            </w:r>
          </w:p>
        </w:tc>
      </w:tr>
      <w:tr>
        <w:trPr>
          <w:trHeight w:val="20"/>
        </w:trPr>
        <w:tc>
          <w:tcPr>
            <w:tcW w:w="65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400" w:right="20" w:hanging="392"/>
        <w:spacing w:after="0" w:line="230" w:lineRule="auto"/>
        <w:tabs>
          <w:tab w:leader="none" w:pos="4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Amounts presented for 2019 and 2018 includes $23.1 million and $29.4 million, respectively, of swaption premium income. See discussion below for information regarding an unrealized $94.9 million loss recorded in 2019 related to forward-starting interest rate swaps.</w:t>
      </w:r>
    </w:p>
    <w:p>
      <w:pPr>
        <w:jc w:val="both"/>
        <w:ind w:left="400" w:hanging="392"/>
        <w:spacing w:after="0" w:line="221" w:lineRule="auto"/>
        <w:tabs>
          <w:tab w:leader="none" w:pos="4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We capitalize interest costs incurred on funds used to construct property, plant and equipment while the asset is in its construction phase. Capitalized interest amounts become part of the historical cost of an asset and are charged to earnings (as a component of depreciation expense) on a straight-line basis over the estimated useful life of the asset once the asset enters its intended service. When capitalized interest is recorded, it reduces interest expense from what it would be otherwise. Capitalized interest amounts fluctuate based on the timing of when projects are placed into service, our capital investment levels and the interest rates charged on borrowings.</w:t>
      </w:r>
    </w:p>
    <w:p>
      <w:pPr>
        <w:spacing w:after="0" w:line="1" w:lineRule="exact"/>
        <w:rPr>
          <w:rFonts w:ascii="Arial" w:cs="Arial" w:eastAsia="Arial" w:hAnsi="Arial"/>
          <w:sz w:val="14"/>
          <w:szCs w:val="14"/>
          <w:color w:val="auto"/>
        </w:rPr>
      </w:pPr>
    </w:p>
    <w:p>
      <w:pPr>
        <w:ind w:left="400" w:hanging="392"/>
        <w:spacing w:after="0" w:line="237" w:lineRule="auto"/>
        <w:tabs>
          <w:tab w:leader="none" w:pos="4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Primarily reflects facility commitment fees charged in connection with our revolving credit facilities and amortization of debt issuance costs. Amount presented for 2018 includes $14.2 million of debt issuance costs that were written off in connection with the redemption of junior subordinated notes.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charged on debt principal outstanding, which is a key driver of interest expense, increased a net $56.2 million year-to-year primarily due to increased debt principal amounts outstanding during 2019, which accounted for a $68.5 million increase, partially offset by the effect of lower overall interest rates during 2019, which accounted for a $12.3 million decrease. Our weighted-average debt principal balance for 2019 was $27.41 billion compared to $25.94 billion for 2018. In general, our debt principal balances have increased over time due to the partial debt financing of our capital investments. For information regarding our consolidated debt obligations and capital investments, see “Liquidity and Capital Resources” and “Capital Investments,” respectively, within this Part II, Item 7.</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July 2019, we sold options to be put into forward-starting swaps (referred to as “swaptions”) if the market rate of interest fell below the strike rate of the option upon expiration of the derivative instrument. The premium we realized upon sale of these swaptions is reflected as a $13.3 million reduction in interest expense for 2019. Due to declining interest rates, the counterparties to these swaptions exercised their right to put us into ten forward-starting swaps on September 30, 2019 having an aggregate notional value of $1.0 billion. Since the swaptions were not designated as hedging instruments and were subject to mark-to-market accounting, we incurred an unrealized, mark-to-market loss at inception of the forward-starting swaps totaling $94.9 million that is reflected as an increase in interest expense for the year ended December 31, 2019. The ten forward-starting swaps resulting from the swaption exercise on September 30, 2019 were designated as hedging instruments and are subject to cash flow hedge accounting.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Liquidity Option</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recognize non-cash expense in connection with accretion and changes in management estimates that affect our valuation of the Liquidity Option liability. Expense attributable to changes in the fair value of the Liquidity Option increased to $119.6 million in 2019 from $56.1 million in 2018. The higher level of expense recognized in 2019 is primarily due to a decrease in the discount factor used in determining the present value of the liability since December 31, 2018. The discount rate is based on a weighted-average cost of capital, which declined over the course of 2019 due to lower U.S. interest rates.</w:t>
      </w:r>
    </w:p>
    <w:p>
      <w:pPr>
        <w:sectPr>
          <w:pgSz w:w="11900" w:h="16838" w:orient="portrait"/>
          <w:cols w:equalWidth="0" w:num="1">
            <w:col w:w="11420"/>
          </w:cols>
          <w:pgMar w:left="240" w:top="121"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counterparty to the Liquidity Option exercised its rights under the option agreement on February 25, 2020.</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exercise, see “Exercise of Liquidity Option” under the Liquidity and Capital Resources section of this Item 7.</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included under Part II, Item 8 of this annual report.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firstLine="125"/>
        <w:spacing w:after="0" w:line="308" w:lineRule="auto"/>
        <w:rPr>
          <w:sz w:val="20"/>
          <w:szCs w:val="20"/>
          <w:color w:val="auto"/>
        </w:rPr>
      </w:pPr>
      <w:r>
        <w:rPr>
          <w:rFonts w:ascii="Arial" w:cs="Arial" w:eastAsia="Arial" w:hAnsi="Arial"/>
          <w:sz w:val="17"/>
          <w:szCs w:val="17"/>
          <w:color w:val="auto"/>
        </w:rPr>
        <w:t>For additional information regarding the In addition, please refer to Note 17 of the</w:t>
      </w:r>
    </w:p>
    <w:p>
      <w:pPr>
        <w:spacing w:after="0" w:line="351" w:lineRule="exact"/>
        <w:rPr>
          <w:sz w:val="20"/>
          <w:szCs w:val="20"/>
          <w:color w:val="auto"/>
        </w:rPr>
      </w:pPr>
    </w:p>
    <w:p>
      <w:pPr>
        <w:sectPr>
          <w:pgSz w:w="11900" w:h="16838" w:orient="portrait"/>
          <w:cols w:equalWidth="0" w:num="2">
            <w:col w:w="8300" w:space="0"/>
            <w:col w:w="3120"/>
          </w:cols>
          <w:pgMar w:left="240" w:top="121" w:right="2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step acquisition of unconsolidated affiliate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We recognized a non-cash gain of $39.4 million during 2018 related to the step acquisition of Delaware Basin Gas Processing LLC (“Delaware Processing”).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regarding this acquisition, see Note 12 of the Notes to Consolidated Financial Statements included under Part II, Item 8 of this annual report.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provision for income taxes, which primarily reflects our state tax obligations under the Revised Texas Franchise Tax (the “Texas Margin Tax”), decreased $14.7 million in 2019 when compared to 2018. Our partnership is not subject to U.S. federal income tax; however, our partners are individually responsible for paying federal income tax on their share of our taxable income.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Highlights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evaluate segment performance based on our financial measure of gross operating margin. Gross operating margin is an important performance measure of the core profitability of our operations and forms the basis of our internal financial reporting. We believe that investors benefit from having access to the same financial measures that our management uses in evaluating segment results.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gross operating margin by segment and non-GAAP total gross operating margin for the years indicated (dollars in millions):</w:t>
      </w:r>
    </w:p>
    <w:p>
      <w:pPr>
        <w:spacing w:after="0" w:line="255"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For the Year Ended</w:t>
      </w:r>
    </w:p>
    <w:p>
      <w:pPr>
        <w:spacing w:after="0" w:line="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-3175</wp:posOffset>
            </wp:positionV>
            <wp:extent cx="158623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60" w:type="dxa"/>
            <w:vAlign w:val="bottom"/>
          </w:tcPr>
          <w:p>
            <w:pPr>
              <w:spacing w:after="0"/>
              <w:rPr>
                <w:sz w:val="15"/>
                <w:szCs w:val="15"/>
                <w:color w:val="auto"/>
              </w:rPr>
            </w:pPr>
          </w:p>
        </w:tc>
        <w:tc>
          <w:tcPr>
            <w:tcW w:w="3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4"/>
                <w:szCs w:val="14"/>
                <w:color w:val="auto"/>
              </w:rPr>
              <w:t>Gross operating margin by segment:</w:t>
            </w:r>
          </w:p>
        </w:tc>
        <w:tc>
          <w:tcPr>
            <w:tcW w:w="30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NGL Pipelines &amp; Services</w:t>
            </w:r>
          </w:p>
        </w:tc>
        <w:tc>
          <w:tcPr>
            <w:tcW w:w="378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4,069.8</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3,830.7</w:t>
            </w:r>
          </w:p>
        </w:tc>
      </w:tr>
      <w:tr>
        <w:trPr>
          <w:trHeight w:val="216"/>
        </w:trPr>
        <w:tc>
          <w:tcPr>
            <w:tcW w:w="5760" w:type="dxa"/>
            <w:vAlign w:val="bottom"/>
          </w:tcPr>
          <w:p>
            <w:pPr>
              <w:ind w:left="180"/>
              <w:spacing w:after="0"/>
              <w:rPr>
                <w:sz w:val="20"/>
                <w:szCs w:val="20"/>
                <w:color w:val="auto"/>
              </w:rPr>
            </w:pPr>
            <w:r>
              <w:rPr>
                <w:rFonts w:ascii="Arial" w:cs="Arial" w:eastAsia="Arial" w:hAnsi="Arial"/>
                <w:sz w:val="14"/>
                <w:szCs w:val="14"/>
                <w:color w:val="auto"/>
              </w:rPr>
              <w:t>Crude Oil Pipelines &amp; Services</w:t>
            </w:r>
          </w:p>
        </w:tc>
        <w:tc>
          <w:tcPr>
            <w:tcW w:w="3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85"/>
              </w:rPr>
              <w:t>2,087.8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1,511.3</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Natural Gas Pipelines &amp; Services</w:t>
            </w:r>
          </w:p>
        </w:tc>
        <w:tc>
          <w:tcPr>
            <w:tcW w:w="3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1,062.6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891.2</w:t>
            </w:r>
          </w:p>
        </w:tc>
      </w:tr>
      <w:tr>
        <w:trPr>
          <w:trHeight w:val="223"/>
        </w:trPr>
        <w:tc>
          <w:tcPr>
            <w:tcW w:w="5760" w:type="dxa"/>
            <w:vAlign w:val="bottom"/>
          </w:tcPr>
          <w:p>
            <w:pPr>
              <w:ind w:left="180"/>
              <w:spacing w:after="0"/>
              <w:rPr>
                <w:sz w:val="20"/>
                <w:szCs w:val="20"/>
                <w:color w:val="auto"/>
              </w:rPr>
            </w:pPr>
            <w:r>
              <w:rPr>
                <w:rFonts w:ascii="Arial" w:cs="Arial" w:eastAsia="Arial" w:hAnsi="Arial"/>
                <w:sz w:val="14"/>
                <w:szCs w:val="14"/>
                <w:color w:val="auto"/>
              </w:rPr>
              <w:t>Petrochemical &amp; Refined Products Services</w:t>
            </w:r>
          </w:p>
        </w:tc>
        <w:tc>
          <w:tcPr>
            <w:tcW w:w="30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1,069.6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1,057.8</w:t>
            </w:r>
          </w:p>
        </w:tc>
        <w:tc>
          <w:tcPr>
            <w:tcW w:w="100" w:type="dxa"/>
            <w:vAlign w:val="bottom"/>
          </w:tcPr>
          <w:p>
            <w:pPr>
              <w:spacing w:after="0"/>
              <w:rPr>
                <w:sz w:val="19"/>
                <w:szCs w:val="19"/>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Total segment gross operating margin (1)</w:t>
            </w:r>
          </w:p>
        </w:tc>
        <w:tc>
          <w:tcPr>
            <w:tcW w:w="3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8,289.8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7,291.0</w:t>
            </w:r>
          </w:p>
        </w:tc>
      </w:tr>
      <w:tr>
        <w:trPr>
          <w:trHeight w:val="216"/>
        </w:trPr>
        <w:tc>
          <w:tcPr>
            <w:tcW w:w="5760" w:type="dxa"/>
            <w:vAlign w:val="bottom"/>
          </w:tcPr>
          <w:p>
            <w:pPr>
              <w:spacing w:after="0"/>
              <w:rPr>
                <w:sz w:val="20"/>
                <w:szCs w:val="20"/>
                <w:color w:val="auto"/>
              </w:rPr>
            </w:pPr>
            <w:r>
              <w:rPr>
                <w:rFonts w:ascii="Arial" w:cs="Arial" w:eastAsia="Arial" w:hAnsi="Arial"/>
                <w:sz w:val="14"/>
                <w:szCs w:val="14"/>
                <w:color w:val="auto"/>
              </w:rPr>
              <w:t>Net adjustment for shipper make-up rights</w:t>
            </w:r>
          </w:p>
        </w:tc>
        <w:tc>
          <w:tcPr>
            <w:tcW w:w="3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(24.1)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34.7</w:t>
            </w:r>
          </w:p>
        </w:tc>
      </w:tr>
      <w:tr>
        <w:trPr>
          <w:trHeight w:val="27"/>
        </w:trPr>
        <w:tc>
          <w:tcPr>
            <w:tcW w:w="57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Total gross operating margin (non-GAAP)</w:t>
            </w:r>
          </w:p>
        </w:tc>
        <w:tc>
          <w:tcPr>
            <w:tcW w:w="378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8,265.7</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7,325.7</w:t>
            </w: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400" w:right="20" w:hanging="392"/>
        <w:spacing w:after="0" w:line="253" w:lineRule="auto"/>
        <w:tabs>
          <w:tab w:leader="none" w:pos="4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Within the context of this table, total segment gross operating margin represents a subtotal and corresponds to measures similarly titled within our business segment disclosures found under Note 10 of the Notes to Consolidated Financial Statements included under Part II, Item 8 of this annual report.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4" w:name="page85"/>
    <w:bookmarkEnd w:id="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gross operating margin includes equity in the earnings of unconsolidated affiliates, but is exclusive of other income and expense transactions, income taxes, the cumulative effect of changes in accounting principles and extraordinary charges. Total gross operating margin is presented on a 100% basis before any allocation of earnings to noncontrolling interests. Our calculation of gross operating margin may or may not be comparable to similarly titled measures used by other companies. Segment gross operating margin for NGL Pipelines &amp; Services and Crude Oil Pipelines &amp; Services reflect adjustments for shipper make-up rights that are included in management’s evaluation of segment results. However, these adjustments are excluded from non-GAAP total gross operating margin.</w:t>
      </w:r>
    </w:p>
    <w:p>
      <w:pPr>
        <w:sectPr>
          <w:pgSz w:w="11900" w:h="16838" w:orient="portrait"/>
          <w:cols w:equalWidth="0" w:num="1">
            <w:col w:w="11420"/>
          </w:cols>
          <w:pgMar w:left="240" w:top="121" w:right="239" w:bottom="1440" w:gutter="0" w:footer="0" w:header="0"/>
        </w:sectPr>
      </w:pP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GAAP financial measure most directly comparable to total gross operating margin is operating income. components, see the previous section titled “Consolidated Income Statement Highlights” within this Part reconciliation of operating income to total gross operating margin for the years indicated (dollars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firstLine="15"/>
        <w:spacing w:after="0" w:line="308" w:lineRule="auto"/>
        <w:rPr>
          <w:sz w:val="20"/>
          <w:szCs w:val="20"/>
          <w:color w:val="auto"/>
        </w:rPr>
      </w:pPr>
      <w:r>
        <w:rPr>
          <w:rFonts w:ascii="Arial" w:cs="Arial" w:eastAsia="Arial" w:hAnsi="Arial"/>
          <w:sz w:val="17"/>
          <w:szCs w:val="17"/>
          <w:color w:val="auto"/>
        </w:rPr>
        <w:t>For a discussion of operating income and its II, Item 7. The following table presents a</w:t>
      </w:r>
    </w:p>
    <w:p>
      <w:pPr>
        <w:spacing w:after="0" w:line="380" w:lineRule="exact"/>
        <w:rPr>
          <w:sz w:val="20"/>
          <w:szCs w:val="20"/>
          <w:color w:val="auto"/>
        </w:rPr>
      </w:pPr>
    </w:p>
    <w:p>
      <w:pPr>
        <w:sectPr>
          <w:pgSz w:w="11900" w:h="16838" w:orient="portrait"/>
          <w:cols w:equalWidth="0" w:num="2">
            <w:col w:w="8020" w:space="80"/>
            <w:col w:w="3320"/>
          </w:cols>
          <w:pgMar w:left="240" w:top="121" w:right="239" w:bottom="1440" w:gutter="0" w:footer="0" w:header="0"/>
          <w:type w:val="continuous"/>
        </w:sectPr>
      </w:pPr>
    </w:p>
    <w:p>
      <w:pPr>
        <w:jc w:val="center"/>
        <w:ind w:left="8700"/>
        <w:spacing w:after="0"/>
        <w:rPr>
          <w:sz w:val="20"/>
          <w:szCs w:val="20"/>
          <w:color w:val="auto"/>
        </w:rPr>
      </w:pPr>
      <w:r>
        <w:rPr>
          <w:rFonts w:ascii="Arial" w:cs="Arial" w:eastAsia="Arial" w:hAnsi="Arial"/>
          <w:sz w:val="14"/>
          <w:szCs w:val="14"/>
          <w:b w:val="1"/>
          <w:bCs w:val="1"/>
          <w:color w:val="auto"/>
        </w:rPr>
        <w:t>For the Year Ended</w:t>
      </w:r>
    </w:p>
    <w:p>
      <w:pPr>
        <w:spacing w:after="0" w:line="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-3175</wp:posOffset>
            </wp:positionV>
            <wp:extent cx="158623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272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6,078.7</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5,408.6</w:t>
            </w:r>
          </w:p>
        </w:tc>
      </w:tr>
      <w:tr>
        <w:trPr>
          <w:trHeight w:val="130"/>
        </w:trPr>
        <w:tc>
          <w:tcPr>
            <w:tcW w:w="6820" w:type="dxa"/>
            <w:vAlign w:val="bottom"/>
          </w:tcPr>
          <w:p>
            <w:pPr>
              <w:spacing w:after="0" w:line="130" w:lineRule="exact"/>
              <w:rPr>
                <w:sz w:val="20"/>
                <w:szCs w:val="20"/>
                <w:color w:val="auto"/>
              </w:rPr>
            </w:pPr>
            <w:r>
              <w:rPr>
                <w:rFonts w:ascii="Arial" w:cs="Arial" w:eastAsia="Arial" w:hAnsi="Arial"/>
                <w:sz w:val="14"/>
                <w:szCs w:val="14"/>
                <w:i w:val="1"/>
                <w:iCs w:val="1"/>
                <w:color w:val="auto"/>
              </w:rPr>
              <w:t>Adjustments to reconcile operating income to total gross operating margin</w:t>
            </w:r>
          </w:p>
        </w:tc>
        <w:tc>
          <w:tcPr>
            <w:tcW w:w="2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6820" w:type="dxa"/>
            <w:vAlign w:val="bottom"/>
          </w:tcPr>
          <w:p>
            <w:pPr>
              <w:ind w:left="60"/>
              <w:spacing w:after="0"/>
              <w:rPr>
                <w:sz w:val="20"/>
                <w:szCs w:val="20"/>
                <w:color w:val="auto"/>
              </w:rPr>
            </w:pPr>
            <w:r>
              <w:rPr>
                <w:rFonts w:ascii="Arial" w:cs="Arial" w:eastAsia="Arial" w:hAnsi="Arial"/>
                <w:sz w:val="14"/>
                <w:szCs w:val="14"/>
                <w:i w:val="1"/>
                <w:iCs w:val="1"/>
                <w:color w:val="auto"/>
              </w:rPr>
              <w:t>(addition or subtraction indicated by sign):</w:t>
            </w:r>
          </w:p>
        </w:tc>
        <w:tc>
          <w:tcPr>
            <w:tcW w:w="2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amortization and accretion expense in operating costs and expenses</w:t>
            </w:r>
          </w:p>
        </w:tc>
        <w:tc>
          <w:tcPr>
            <w:tcW w:w="2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1,848.3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1,687.0</w:t>
            </w:r>
          </w:p>
        </w:tc>
      </w:tr>
      <w:tr>
        <w:trPr>
          <w:trHeight w:val="216"/>
        </w:trPr>
        <w:tc>
          <w:tcPr>
            <w:tcW w:w="6820" w:type="dxa"/>
            <w:vAlign w:val="bottom"/>
          </w:tcPr>
          <w:p>
            <w:pPr>
              <w:ind w:left="100"/>
              <w:spacing w:after="0"/>
              <w:rPr>
                <w:sz w:val="20"/>
                <w:szCs w:val="20"/>
                <w:color w:val="auto"/>
              </w:rPr>
            </w:pPr>
            <w:r>
              <w:rPr>
                <w:rFonts w:ascii="Arial" w:cs="Arial" w:eastAsia="Arial" w:hAnsi="Arial"/>
                <w:sz w:val="14"/>
                <w:szCs w:val="14"/>
                <w:color w:val="auto"/>
              </w:rPr>
              <w:t>Asset impairment and related charges in operating costs and expenses</w:t>
            </w:r>
          </w:p>
        </w:tc>
        <w:tc>
          <w:tcPr>
            <w:tcW w:w="2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132.7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50.5</w:t>
            </w: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gains attributable to asset sales in operating costs and expenses</w:t>
            </w:r>
          </w:p>
        </w:tc>
        <w:tc>
          <w:tcPr>
            <w:tcW w:w="2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(28.7)</w:t>
            </w:r>
          </w:p>
        </w:tc>
      </w:tr>
      <w:tr>
        <w:trPr>
          <w:trHeight w:val="223"/>
        </w:trPr>
        <w:tc>
          <w:tcPr>
            <w:tcW w:w="6820" w:type="dxa"/>
            <w:vAlign w:val="bottom"/>
          </w:tcPr>
          <w:p>
            <w:pPr>
              <w:ind w:left="120"/>
              <w:spacing w:after="0"/>
              <w:rPr>
                <w:sz w:val="20"/>
                <w:szCs w:val="20"/>
                <w:color w:val="auto"/>
              </w:rPr>
            </w:pPr>
            <w:r>
              <w:rPr>
                <w:rFonts w:ascii="Arial" w:cs="Arial" w:eastAsia="Arial" w:hAnsi="Arial"/>
                <w:sz w:val="14"/>
                <w:szCs w:val="14"/>
                <w:color w:val="auto"/>
              </w:rPr>
              <w:t>General and administrative costs</w:t>
            </w:r>
          </w:p>
        </w:tc>
        <w:tc>
          <w:tcPr>
            <w:tcW w:w="20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208.3</w:t>
            </w:r>
          </w:p>
        </w:tc>
        <w:tc>
          <w:tcPr>
            <w:tcW w:w="100" w:type="dxa"/>
            <w:vAlign w:val="bottom"/>
          </w:tcPr>
          <w:p>
            <w:pPr>
              <w:spacing w:after="0"/>
              <w:rPr>
                <w:sz w:val="19"/>
                <w:szCs w:val="19"/>
                <w:color w:val="auto"/>
              </w:rPr>
            </w:pPr>
          </w:p>
        </w:tc>
      </w:tr>
      <w:tr>
        <w:trPr>
          <w:trHeight w:val="237"/>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Total gross operating margin (non-GAAP)</w:t>
            </w:r>
          </w:p>
        </w:tc>
        <w:tc>
          <w:tcPr>
            <w:tcW w:w="272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8,265.7</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7,325.7</w:t>
            </w:r>
          </w:p>
        </w:tc>
      </w:tr>
      <w:tr>
        <w:trPr>
          <w:trHeight w:val="20"/>
        </w:trPr>
        <w:tc>
          <w:tcPr>
            <w:tcW w:w="68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Each of our business segments benefits from the supporting role of our marketing activities. The main purpose of our marketing activities is to support the utilization and expansion of assets across our midstream energy asset network by increasing the volumes handled by such assets, which results in additional fee-based earnings for each business segment. In performing these support roles, our marketing activities also seek to participate in supply and demand opportunities as a supplemental source of gross operating margin for the partnership. The financial results of our marketing efforts fluctuate due to changes in volumes handled and overall market conditions, which are influenced by current and forward market prices for the products bought and sold.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Pipelines &amp; Services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segment gross operating margin and selected volumetric data for the NGL Pipelines &amp; Services segment for the years indicated (dollars in millions, volumes as noted):</w:t>
      </w:r>
    </w:p>
    <w:p>
      <w:pPr>
        <w:spacing w:after="0" w:line="189"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For the Year Ended</w:t>
      </w:r>
    </w:p>
    <w:p>
      <w:pPr>
        <w:spacing w:after="0" w:line="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-3175</wp:posOffset>
            </wp:positionV>
            <wp:extent cx="158623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00" w:type="dxa"/>
            <w:vAlign w:val="bottom"/>
          </w:tcPr>
          <w:p>
            <w:pPr>
              <w:spacing w:after="0"/>
              <w:rPr>
                <w:sz w:val="15"/>
                <w:szCs w:val="15"/>
                <w:color w:val="auto"/>
              </w:rPr>
            </w:pPr>
          </w:p>
        </w:tc>
        <w:tc>
          <w:tcPr>
            <w:tcW w:w="33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4"/>
                <w:szCs w:val="14"/>
                <w:color w:val="auto"/>
              </w:rPr>
              <w:t>Segment gross operating margin:</w:t>
            </w:r>
          </w:p>
        </w:tc>
        <w:tc>
          <w:tcPr>
            <w:tcW w:w="26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Natural gas processing and related NGL marketing activities</w:t>
            </w:r>
          </w:p>
        </w:tc>
        <w:tc>
          <w:tcPr>
            <w:tcW w:w="334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5"/>
              </w:rPr>
              <w:t>1,159.7</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1,240.1</w:t>
            </w:r>
          </w:p>
        </w:tc>
      </w:tr>
      <w:tr>
        <w:trPr>
          <w:trHeight w:val="216"/>
        </w:trPr>
        <w:tc>
          <w:tcPr>
            <w:tcW w:w="6200" w:type="dxa"/>
            <w:vAlign w:val="bottom"/>
          </w:tcPr>
          <w:p>
            <w:pPr>
              <w:ind w:left="120"/>
              <w:spacing w:after="0"/>
              <w:rPr>
                <w:sz w:val="20"/>
                <w:szCs w:val="20"/>
                <w:color w:val="auto"/>
              </w:rPr>
            </w:pPr>
            <w:r>
              <w:rPr>
                <w:rFonts w:ascii="Arial" w:cs="Arial" w:eastAsia="Arial" w:hAnsi="Arial"/>
                <w:sz w:val="14"/>
                <w:szCs w:val="14"/>
                <w:color w:val="auto"/>
              </w:rPr>
              <w:t>NGL pipelines, storage and terminals</w:t>
            </w:r>
          </w:p>
        </w:tc>
        <w:tc>
          <w:tcPr>
            <w:tcW w:w="2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w w:val="85"/>
              </w:rPr>
              <w:t>2,402.2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2,048.3</w:t>
            </w: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NGL fractionation</w:t>
            </w:r>
          </w:p>
        </w:tc>
        <w:tc>
          <w:tcPr>
            <w:tcW w:w="2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542.3</w:t>
            </w:r>
          </w:p>
        </w:tc>
      </w:tr>
      <w:tr>
        <w:trPr>
          <w:trHeight w:val="27"/>
        </w:trPr>
        <w:tc>
          <w:tcPr>
            <w:tcW w:w="620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200" w:type="dxa"/>
            <w:vAlign w:val="bottom"/>
          </w:tcPr>
          <w:p>
            <w:pPr>
              <w:ind w:left="120"/>
              <w:spacing w:after="0"/>
              <w:rPr>
                <w:sz w:val="20"/>
                <w:szCs w:val="20"/>
                <w:color w:val="auto"/>
              </w:rPr>
            </w:pPr>
            <w:r>
              <w:rPr>
                <w:rFonts w:ascii="Arial" w:cs="Arial" w:eastAsia="Arial" w:hAnsi="Arial"/>
                <w:sz w:val="14"/>
                <w:szCs w:val="14"/>
                <w:color w:val="auto"/>
              </w:rPr>
              <w:t>Total</w:t>
            </w:r>
          </w:p>
        </w:tc>
        <w:tc>
          <w:tcPr>
            <w:tcW w:w="334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w w:val="85"/>
              </w:rPr>
              <w:t>4,069.8</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3,830.7</w:t>
            </w:r>
          </w:p>
        </w:tc>
      </w:tr>
      <w:tr>
        <w:trPr>
          <w:trHeight w:val="21"/>
        </w:trPr>
        <w:tc>
          <w:tcPr>
            <w:tcW w:w="6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4"/>
                <w:szCs w:val="14"/>
                <w:color w:val="auto"/>
              </w:rPr>
              <w:t>Selected volumetric data:</w:t>
            </w:r>
          </w:p>
        </w:tc>
        <w:tc>
          <w:tcPr>
            <w:tcW w:w="2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NGL pipeline transportation volumes (MBPD)</w:t>
            </w:r>
          </w:p>
        </w:tc>
        <w:tc>
          <w:tcPr>
            <w:tcW w:w="2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3,461</w:t>
            </w:r>
          </w:p>
        </w:tc>
      </w:tr>
      <w:tr>
        <w:trPr>
          <w:trHeight w:val="216"/>
        </w:trPr>
        <w:tc>
          <w:tcPr>
            <w:tcW w:w="6200" w:type="dxa"/>
            <w:vAlign w:val="bottom"/>
          </w:tcPr>
          <w:p>
            <w:pPr>
              <w:ind w:left="120"/>
              <w:spacing w:after="0"/>
              <w:rPr>
                <w:sz w:val="20"/>
                <w:szCs w:val="20"/>
                <w:color w:val="auto"/>
              </w:rPr>
            </w:pPr>
            <w:r>
              <w:rPr>
                <w:rFonts w:ascii="Arial" w:cs="Arial" w:eastAsia="Arial" w:hAnsi="Arial"/>
                <w:sz w:val="14"/>
                <w:szCs w:val="14"/>
                <w:color w:val="auto"/>
              </w:rPr>
              <w:t>NGL marine terminal volumes (MBPD)</w:t>
            </w:r>
          </w:p>
        </w:tc>
        <w:tc>
          <w:tcPr>
            <w:tcW w:w="2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626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593</w:t>
            </w: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NGL fractionation volumes (MBPD)</w:t>
            </w:r>
          </w:p>
        </w:tc>
        <w:tc>
          <w:tcPr>
            <w:tcW w:w="2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945</w:t>
            </w:r>
          </w:p>
        </w:tc>
      </w:tr>
      <w:tr>
        <w:trPr>
          <w:trHeight w:val="216"/>
        </w:trPr>
        <w:tc>
          <w:tcPr>
            <w:tcW w:w="6200" w:type="dxa"/>
            <w:vAlign w:val="bottom"/>
          </w:tcPr>
          <w:p>
            <w:pPr>
              <w:ind w:left="120"/>
              <w:spacing w:after="0"/>
              <w:rPr>
                <w:sz w:val="20"/>
                <w:szCs w:val="20"/>
                <w:color w:val="auto"/>
              </w:rPr>
            </w:pPr>
            <w:r>
              <w:rPr>
                <w:rFonts w:ascii="Arial" w:cs="Arial" w:eastAsia="Arial" w:hAnsi="Arial"/>
                <w:sz w:val="14"/>
                <w:szCs w:val="14"/>
                <w:color w:val="auto"/>
              </w:rPr>
              <w:t>Equity NGL production (MBPD) (1)</w:t>
            </w:r>
          </w:p>
        </w:tc>
        <w:tc>
          <w:tcPr>
            <w:tcW w:w="2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155</w:t>
            </w: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Fee-based natural gas processing (MMcf/d) (2)</w:t>
            </w:r>
          </w:p>
        </w:tc>
        <w:tc>
          <w:tcPr>
            <w:tcW w:w="2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400" w:hanging="392"/>
        <w:spacing w:after="0"/>
        <w:tabs>
          <w:tab w:leader="none" w:pos="4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the NGL volumes we earn and take title to in connection with our processing activities.</w:t>
      </w:r>
    </w:p>
    <w:p>
      <w:pPr>
        <w:ind w:left="400" w:hanging="392"/>
        <w:spacing w:after="0"/>
        <w:tabs>
          <w:tab w:leader="none" w:pos="4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Volumes reported correspond to the revenue streams earned by our natural gas processing facilities.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5" w:name="page86"/>
    <w:bookmarkEnd w:id="8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Natural gas processing and related NGL marketing activities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Gross operating margin from natural gas processing and related NGL marketing activities for 2019 decreased $80.4 million when compared to 2018. Gross operating margin from our Rockies natural gas processing facilities (Meeker, Pioneer and Chaco) decreased a combined $130.1 million year-to-year primarily due to lower average processing margins (including the impact of hedging activities), which accounted for a $108.0 million decrease, and lower processing and other fees, which accounted for an additional $19.0 million decrease. On a combined basis, fee-based natural gas processing volumes at these plants increased 58 MMcf/d and equity NGL production volumes decreased 13 MBPD year-to-year.</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operating margin from our NGL marketing activities increased a net $63.8 million year-to-year primarily due to higher sales volumes, which accounted for a $153.3 million increase, partially offset by lower average sales margins, which accounted for a $91.1 million decrease. Results from marketing strategies that optimize our transportation, storage and export assets increased a combined $80.5 million year-to-year, partially offset by lower earnings from the optimization of our plant assets, which accounted for a $10.7 million decrease. In addition, results from NGL marketing decreased $6.0 million year-to-year due to non-cash, mark-to-market activity.</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Gross operating margin from our South Texas natural gas processing facilities decreased $17.6 million year-to-year primarily due to lower average processing margins (including the impact of hedging activities), which accounted for an $18.3 million decrease, and lower processing volumes, which accounted for an additional $9.3 million decrease, partially offset by higher processing and deficiency fees, which accounted for a $12.0 million increase. Fee-based natural gas processing volumes and equity NGL production from our South Texas plants decreased 121 MMcf/d and 4 MBPD, respectively, year-to-year. Gross operating margin from our Louisiana and Mississippi natural gas processing facilities decreased $12.7 million year-to-year primarily due to lower average processing margins (including the impact of hedging activities), which accounted for a $26.3 million decrease, partially offset by higher fee-based processing volumes, which accounted for a $9.4 million increase. Net to our interest, fee-based natural gas processing volumes and equity NGL production volumes increased 188 MMcf/d and 7 MBPD, respectively, year-to-year.</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operating margin from our Permian Basin natural gas processing facilities increased $20.1 million year-to-year primarily due to higher fee-based natural gas processing volumes, which accounted for a $59.1 million increase, partially offset by lower average processing fees, which accounted for a $25.4 million decrease, and higher operating costs, which accounted for an additional $17.3 million decrease. Fee-based processing volumes at our Permian Basin natural gas processing facilities increased 341 MMcf/d year-to-year primarily due to higher volumes at our Orla natural gas processing facility. The first, second and third processing trains at this facility commenced operations in May 2018, October 2018 and July 2019,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NGL pipelines, storage and terminals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operating margin from our NGL pipelines, storage and terminal assets during 2019 increased $353.9 million when compared to 2018. Shin Oak contributed $112.0 million of gross operating margin in 2019 on year-to-date transportation volumes of (i) 107 MBPD of direct tariff movements (net to our interest) and (ii) 129 MBPD of offload volumes from an affiliate pipeline. Gross operating margin from our Mont Belvieu storage facility increased $106.4 million year-to-year primarily due to higher throughput and handling fees, which accounted for an $81.0 million increase, and higher storage fees, which accounted for an additional $24.3 million increase.</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Gross operating margin from LPG-related activities at EHT increased $41.0 million year-to-year primarily due to higher net export volumes of 45 MBPD, which accounted for a $33.2 million increase, and lower operating costs, which accounted for an additional $7.8 million increase. Gross operating margin from our Houston Ship Channel Pipeline System increased $10.6 million year-to-year primarily due to higher transportation volumes, which accounted for $7.0 million of the increase, and higher average transportation fees, which accounted for an additional $5.0 million increase. Transportation volumes on our Houston Ship Channel Pipeline System increased 44 MBPD primarily due to the LPG expansion at EHT that was completed during the third quarter of 2019.</w:t>
      </w:r>
    </w:p>
    <w:p>
      <w:pPr>
        <w:spacing w:after="0" w:line="18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Gross operating margin from our Aegis Pipeline increased $40.9 million year-to-year primarily due to higher transportation volumes of 72 MBPD. Gross operating margin from our Dixie Pipeline and related terminals increased a combined $24.7 million year-to-year primarily due to higher transportation volumes of 23 MBPD, which accounted for an $11.5 million increase, and lower operating costs, which accounted for an additional $10.5 million increase.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operating margin from our South Louisiana NGL Pipeline System increased $11.4 million year-to-year primarily due to a 51 MBPD increase in transportation volumes. Gross operating margin from our Front Range Pipeline increased $8.9 million year-to-year primarily due to a 6 MBPD increase in transportation volumes, net to our interest.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operating margin from our Appalachia-to-Texas Express, or “ATEX,” pipeline decreased $13.1 million year-to-year primarily due to lower transportation volumes. NGL transportation volumes on ATEX decreased 10 MBPD year-to-year.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NGL fractionation</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Gross operating margin from NGL fractionation for 2019 decreased $34.4 million when compared to 2018. Gross operating margin at our Hobbs NGL fractionator decreased $26.4 million year-to-year primarily due to the costs of major maintenance activities completed in February 2019, which accounted for a $13.2 million decrease, lower product blending revenues, which accounted for an $8.4 million decrease, and lower fractionation volumes, which accounted for an additional $4.8 million decrease. NGL fractionation volumes at Hobbs decreased 7 MBPD year-to-year.</w:t>
      </w:r>
    </w:p>
    <w:p>
      <w:pPr>
        <w:spacing w:after="0" w:line="20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Gross operating margin at our South Texas NGL fractionators decreased $7.4 million year-to-year primarily due to major maintenance activities completed at our Shoup fractionator during the third quarter of 2019. NGL fractionation volumes at our South Texas NGL fractionators increased 7 MBPD year-to-year.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Pipelines &amp; Services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segment gross operating margin and selected volumetric data for the Crude Oil Pipelines &amp; Services segment for the years indicated (dollars in millions, volumes as noted):</w:t>
      </w:r>
    </w:p>
    <w:p>
      <w:pPr>
        <w:spacing w:after="0" w:line="189"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For the Year Ended</w:t>
      </w:r>
    </w:p>
    <w:p>
      <w:pPr>
        <w:spacing w:after="0" w:line="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-3175</wp:posOffset>
            </wp:positionV>
            <wp:extent cx="158623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80" w:type="dxa"/>
            <w:vAlign w:val="bottom"/>
          </w:tcPr>
          <w:p>
            <w:pPr>
              <w:spacing w:after="0"/>
              <w:rPr>
                <w:sz w:val="15"/>
                <w:szCs w:val="15"/>
                <w:color w:val="auto"/>
              </w:rPr>
            </w:pPr>
          </w:p>
        </w:tc>
        <w:tc>
          <w:tcPr>
            <w:tcW w:w="2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r>
      <w:tr>
        <w:trPr>
          <w:trHeight w:val="231"/>
        </w:trPr>
        <w:tc>
          <w:tcPr>
            <w:tcW w:w="6980" w:type="dxa"/>
            <w:vAlign w:val="bottom"/>
          </w:tcPr>
          <w:p>
            <w:pPr>
              <w:spacing w:after="0"/>
              <w:rPr>
                <w:sz w:val="20"/>
                <w:szCs w:val="20"/>
                <w:color w:val="auto"/>
              </w:rPr>
            </w:pPr>
            <w:r>
              <w:rPr>
                <w:rFonts w:ascii="Arial" w:cs="Arial" w:eastAsia="Arial" w:hAnsi="Arial"/>
                <w:sz w:val="14"/>
                <w:szCs w:val="14"/>
                <w:color w:val="auto"/>
              </w:rPr>
              <w:t>Segment gross operating margin:</w:t>
            </w:r>
          </w:p>
        </w:tc>
        <w:tc>
          <w:tcPr>
            <w:tcW w:w="184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6980" w:type="dxa"/>
            <w:vAlign w:val="bottom"/>
          </w:tcPr>
          <w:p>
            <w:pPr>
              <w:ind w:left="120"/>
              <w:spacing w:after="0"/>
              <w:rPr>
                <w:sz w:val="20"/>
                <w:szCs w:val="20"/>
                <w:color w:val="auto"/>
              </w:rPr>
            </w:pPr>
            <w:r>
              <w:rPr>
                <w:rFonts w:ascii="Arial" w:cs="Arial" w:eastAsia="Arial" w:hAnsi="Arial"/>
                <w:sz w:val="14"/>
                <w:szCs w:val="14"/>
                <w:color w:val="auto"/>
              </w:rPr>
              <w:t>Midland-to-ECHO System:</w:t>
            </w: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30"/>
        </w:trPr>
        <w:tc>
          <w:tcPr>
            <w:tcW w:w="698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Midland-to-ECHO 1 pipeline and related business activities, excluding associated</w:t>
            </w:r>
          </w:p>
        </w:tc>
        <w:tc>
          <w:tcPr>
            <w:tcW w:w="18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6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non-cash mark-to-market results</w:t>
            </w:r>
          </w:p>
        </w:tc>
        <w:tc>
          <w:tcPr>
            <w:tcW w:w="256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363.1</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349.3</w:t>
            </w:r>
          </w:p>
        </w:tc>
      </w:tr>
      <w:tr>
        <w:trPr>
          <w:trHeight w:val="223"/>
        </w:trPr>
        <w:tc>
          <w:tcPr>
            <w:tcW w:w="6980" w:type="dxa"/>
            <w:vAlign w:val="bottom"/>
          </w:tcPr>
          <w:p>
            <w:pPr>
              <w:ind w:left="220"/>
              <w:spacing w:after="0"/>
              <w:rPr>
                <w:sz w:val="20"/>
                <w:szCs w:val="20"/>
                <w:color w:val="auto"/>
              </w:rPr>
            </w:pPr>
            <w:r>
              <w:rPr>
                <w:rFonts w:ascii="Arial" w:cs="Arial" w:eastAsia="Arial" w:hAnsi="Arial"/>
                <w:sz w:val="14"/>
                <w:szCs w:val="14"/>
                <w:color w:val="auto"/>
              </w:rPr>
              <w:t>Non-cash mark-to-market gain (loss) attributable to the Midland-to-ECHO 1 pipeline</w:t>
            </w:r>
          </w:p>
        </w:tc>
        <w:tc>
          <w:tcPr>
            <w:tcW w:w="1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(44.6)</w:t>
            </w:r>
          </w:p>
        </w:tc>
      </w:tr>
      <w:tr>
        <w:trPr>
          <w:trHeight w:val="223"/>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Midland-to-ECHO 1 pipeline and related business activities</w:t>
            </w:r>
          </w:p>
        </w:tc>
        <w:tc>
          <w:tcPr>
            <w:tcW w:w="18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6980" w:type="dxa"/>
            <w:vAlign w:val="bottom"/>
          </w:tcPr>
          <w:p>
            <w:pPr>
              <w:ind w:left="220"/>
              <w:spacing w:after="0"/>
              <w:rPr>
                <w:sz w:val="20"/>
                <w:szCs w:val="20"/>
                <w:color w:val="auto"/>
              </w:rPr>
            </w:pPr>
            <w:r>
              <w:rPr>
                <w:rFonts w:ascii="Arial" w:cs="Arial" w:eastAsia="Arial" w:hAnsi="Arial"/>
                <w:sz w:val="14"/>
                <w:szCs w:val="14"/>
                <w:color w:val="auto"/>
              </w:rPr>
              <w:t>Midland-to-ECHO 2 pipeline</w:t>
            </w:r>
          </w:p>
        </w:tc>
        <w:tc>
          <w:tcPr>
            <w:tcW w:w="18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r>
      <w:tr>
        <w:trPr>
          <w:trHeight w:val="223"/>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Midland-to-ECHO System</w:t>
            </w:r>
          </w:p>
        </w:tc>
        <w:tc>
          <w:tcPr>
            <w:tcW w:w="18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6980" w:type="dxa"/>
            <w:vAlign w:val="bottom"/>
          </w:tcPr>
          <w:p>
            <w:pPr>
              <w:ind w:left="120"/>
              <w:spacing w:after="0"/>
              <w:rPr>
                <w:sz w:val="20"/>
                <w:szCs w:val="20"/>
                <w:color w:val="auto"/>
              </w:rPr>
            </w:pPr>
            <w:r>
              <w:rPr>
                <w:rFonts w:ascii="Arial" w:cs="Arial" w:eastAsia="Arial" w:hAnsi="Arial"/>
                <w:sz w:val="14"/>
                <w:szCs w:val="14"/>
                <w:color w:val="auto"/>
              </w:rPr>
              <w:t>Other crude oil pipelines, terminals and related marketing results</w:t>
            </w:r>
          </w:p>
        </w:tc>
        <w:tc>
          <w:tcPr>
            <w:tcW w:w="18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1,536.4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1,206.6</w:t>
            </w:r>
          </w:p>
        </w:tc>
        <w:tc>
          <w:tcPr>
            <w:tcW w:w="100" w:type="dxa"/>
            <w:vAlign w:val="bottom"/>
          </w:tcPr>
          <w:p>
            <w:pPr>
              <w:spacing w:after="0"/>
              <w:rPr>
                <w:sz w:val="19"/>
                <w:szCs w:val="19"/>
                <w:color w:val="auto"/>
              </w:rPr>
            </w:pPr>
          </w:p>
        </w:tc>
      </w:tr>
      <w:tr>
        <w:trPr>
          <w:trHeight w:val="257"/>
        </w:trPr>
        <w:tc>
          <w:tcPr>
            <w:tcW w:w="6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56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2,087.8</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1,511.3</w:t>
            </w:r>
          </w:p>
        </w:tc>
      </w:tr>
      <w:tr>
        <w:trPr>
          <w:trHeight w:val="210"/>
        </w:trPr>
        <w:tc>
          <w:tcPr>
            <w:tcW w:w="69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Selected volumetric data:</w:t>
            </w:r>
          </w:p>
        </w:tc>
        <w:tc>
          <w:tcPr>
            <w:tcW w:w="1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Arial" w:cs="Arial" w:eastAsia="Arial" w:hAnsi="Arial"/>
                <w:sz w:val="14"/>
                <w:szCs w:val="14"/>
                <w:color w:val="auto"/>
              </w:rPr>
              <w:t>Crude oil pipeline transportation volumes (MBPD)</w:t>
            </w:r>
          </w:p>
        </w:tc>
        <w:tc>
          <w:tcPr>
            <w:tcW w:w="1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2,304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2,000</w:t>
            </w: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Crude oil marine terminal volumes (MBPD)</w:t>
            </w:r>
          </w:p>
        </w:tc>
        <w:tc>
          <w:tcPr>
            <w:tcW w:w="1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Gross operating margin from our Crude Oil Pipelines &amp; Services segment for 2019 increased $576.5 million when compared to 2018.</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Gross operating margin from our Midland-to-ECHO System increased $246.7 million year-to-year. Gross operating margin from our Midland-to-ECHO 1 pipeline and related business activities increased $146.8 million year-to-year primarily due to a $133.0 million increase in non-cash mark-to-market earnings, higher transportation volumes, which accounted for a $30.1 million increase, and lower expenses, which accounted for a $27.8 million increase, partially offset by lower average transportation fees, which accounted for a $91.5 million decrease. Expenses in 2018 for the Midland-to-ECHO 1 pipeline included a $33.9 million charge attributable to the allocation of pipeline earnings to WES upon closing of their acquisition of a 20% ownership interest in Whitethorn Pipeline Company LLC (which owns the majority of the Midland-to-ECHO 1 pipeline) in June 2018. Net to our interest, transportation volumes for the Midland-to-ECHO 1 pipeline increased 43 MBPD year-to-year. Gross operating margin from our Midland-to-ECHO 2 pipeline, which commenced operations in February 2019, was $99.9 million on transportation volumes of 197 MBPD.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Mark-to-market earnings attributable to the Midland-to-ECHO 1 pipeline are associated with the hedging of crude oil market price differentials (basis spreads) between the Midland and Houston markets based on the pipeline’s capacity available to us during the hedged periods. These hedges served to lock in a positive per barrel margin on our anticipated purchases of crude oil at Midland and subsequent anticipated sales to customers in the Houston area. The mark-to-market loss in 2018 of $44.6 million reflected an increase in the basis spread between the Midland and Houston markets to an average of $8.48 per barrel through 2020 relative to our average hedged amount of $2.76 per barrel through 2020 (as of December 31, 2018). The mark-to-market gain in 2019 of $88.4 million reflected a decrease in the basis spread between the Midland and Houston markets since December 31, 2018 to an average of $1.81 per barrel through 2020 relative to our average hedged amount of $1.95 per barrel through 2020. At December 31, 2019, there were a limited number of these hedges outstanding. For information regarding our commodity hedging activities, see Note 14 of the Notes to Consolidated Financial Statements included under Part II, Item 8 of this annual report.</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operating margin from other crude oil marketing activities increased a net $58.9 million year-to-year primarily due to higher average sales margins. These marketing activities benefitted from higher market price differentials for crude oil between the Permian Basin region, Cushing hub and Gulf Coast markets.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operating margin from our West Texas System and equity investment in the Eagle Ford Crude Oil Pipeline System increased a combined $82.6 million year-to-year primarily due to higher transportation volumes of 64 MBPD (net to our interest). Gross operating margin from our South Texas Crude Oil Pipeline System increased $17.5 million year-to-year primarily due to higher deficiency fees. Transportation volumes on the South Texas Crude Oil Pipeline System decreased 15 MBPD year-to-year.</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Gross operating margin from our equity investment in the Seaway Pipeline increased $75.6 million year-to-year primarily due to higher transportation volumes, which accounted for a $47.0 million increase, and higher transportation fees, which accounted for an additional $46.5 million increase, partially offset by higher operating costs, which accounted for a $27.4 million decrease. Transportation volumes on the Seaway Pipeline increased 55 MBPD year-to-year (net to our interest). Volumes at Seaway’s Texas City and Freeport marine terminals decreased a combined 22 MBPD year-to-year (net to our interest).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Lastly, gross operating margin from crude oil activities at EHT increased $83.2 million year-to-year primarily due to higher net export volumes of 243 MBPD.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Pipelines &amp; Services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segment gross operating margin and selected volumetric data for the Natural Gas Pipelines &amp; Services segment for the years indicated (dollars in millions, volumes as noted):</w:t>
      </w:r>
    </w:p>
    <w:p>
      <w:pPr>
        <w:spacing w:after="0" w:line="18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For the Year Ended</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-3175</wp:posOffset>
            </wp:positionV>
            <wp:extent cx="166370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7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r>
      <w:tr>
        <w:trPr>
          <w:trHeight w:val="216"/>
        </w:trPr>
        <w:tc>
          <w:tcPr>
            <w:tcW w:w="8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4"/>
                <w:szCs w:val="14"/>
                <w:color w:val="auto"/>
              </w:rPr>
              <w:t>Segment gross operating margin</w:t>
            </w:r>
          </w:p>
        </w:tc>
        <w:tc>
          <w:tcPr>
            <w:tcW w:w="80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1,062.6</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891.2</w:t>
            </w:r>
          </w:p>
        </w:tc>
      </w:tr>
      <w:tr>
        <w:trPr>
          <w:trHeight w:val="216"/>
        </w:trPr>
        <w:tc>
          <w:tcPr>
            <w:tcW w:w="8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4"/>
                <w:szCs w:val="14"/>
                <w:color w:val="auto"/>
              </w:rPr>
              <w:t>Natural gas pipeline transportation volumes (BBtus/d)</w:t>
            </w: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14,198</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13,727</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operating margin from our Natural Gas Pipelines &amp; Services segment for 2019 increased $171.4 million when compared to 2018. Gross operating margin from our natural gas marketing activities increased $122.0 million year-to-year primarily due to higher average sales margins attributable to regional natural gas price spreads.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operating margin from our Texas Intrastate System increased $46.1 million year-to-year primarily due to higher capacity reservation fees. Transportation volumes on our Texas Intrastate System increased 124 BBtus/d. Gross operating margin from our Acadian Gas System increased $12.2 million year-to-year primarily due to a $10.4 million benefit recognized in 2019 in connection with proceeds received from a legal settlement.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Gross operating margin from our Permian Basin Gathering System increased $30.0 million year-to-year primarily due to higher gathering volumes, which accounted for a $23.8 million increase, and an increase in condensate sales, which accounted for an additional $13.5 million increase, partially offset by lower deficiency fees, which accounted for a $10.5 million decrease. Natural gas gathering volumes on the Permian Basin Gathering System increased 357 BBtus/d. Gross operating margin from our San Juan Gathering System decreased $18.0 million year-to-year primarily due to a 94 BBtus/d decrease in gathering volumes, which accounted for a $10.1 million decrease, and lower condensate sales, which accounted for an additional $4.8 million decrease.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Petrochemical &amp; Refined Products Services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segment gross operating margin and selected volumetric data for the Petrochemical &amp; Refined Products Services segment for the years indicated (dollars in millions, volumes as noted):</w:t>
      </w:r>
    </w:p>
    <w:p>
      <w:pPr>
        <w:spacing w:after="0" w:line="189"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For the Year Ended</w:t>
      </w:r>
    </w:p>
    <w:p>
      <w:pPr>
        <w:spacing w:after="0" w:line="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-3175</wp:posOffset>
            </wp:positionV>
            <wp:extent cx="158623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2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4"/>
                <w:szCs w:val="14"/>
                <w:color w:val="auto"/>
              </w:rPr>
              <w:t>Segment gross operating margin:</w:t>
            </w:r>
          </w:p>
        </w:tc>
        <w:tc>
          <w:tcPr>
            <w:tcW w:w="18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Propylene production and related activities</w:t>
            </w:r>
          </w:p>
        </w:tc>
        <w:tc>
          <w:tcPr>
            <w:tcW w:w="258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445.1</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462.6</w:t>
            </w:r>
          </w:p>
        </w:tc>
      </w:tr>
      <w:tr>
        <w:trPr>
          <w:trHeight w:val="216"/>
        </w:trPr>
        <w:tc>
          <w:tcPr>
            <w:tcW w:w="6960" w:type="dxa"/>
            <w:vAlign w:val="bottom"/>
          </w:tcPr>
          <w:p>
            <w:pPr>
              <w:ind w:left="120"/>
              <w:spacing w:after="0"/>
              <w:rPr>
                <w:sz w:val="20"/>
                <w:szCs w:val="20"/>
                <w:color w:val="auto"/>
              </w:rPr>
            </w:pPr>
            <w:r>
              <w:rPr>
                <w:rFonts w:ascii="Arial" w:cs="Arial" w:eastAsia="Arial" w:hAnsi="Arial"/>
                <w:sz w:val="14"/>
                <w:szCs w:val="14"/>
                <w:color w:val="auto"/>
              </w:rPr>
              <w:t>Butane isomerization and related operations</w:t>
            </w:r>
          </w:p>
        </w:tc>
        <w:tc>
          <w:tcPr>
            <w:tcW w:w="1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79.9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93.4</w:t>
            </w:r>
          </w:p>
        </w:tc>
      </w:tr>
      <w:tr>
        <w:trPr>
          <w:trHeight w:val="216"/>
        </w:trPr>
        <w:tc>
          <w:tcPr>
            <w:tcW w:w="6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Octane enhancement and related plant operations</w:t>
            </w:r>
          </w:p>
        </w:tc>
        <w:tc>
          <w:tcPr>
            <w:tcW w:w="1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154.1</w:t>
            </w:r>
          </w:p>
        </w:tc>
      </w:tr>
      <w:tr>
        <w:trPr>
          <w:trHeight w:val="216"/>
        </w:trPr>
        <w:tc>
          <w:tcPr>
            <w:tcW w:w="6960" w:type="dxa"/>
            <w:vAlign w:val="bottom"/>
          </w:tcPr>
          <w:p>
            <w:pPr>
              <w:ind w:left="120"/>
              <w:spacing w:after="0"/>
              <w:rPr>
                <w:sz w:val="20"/>
                <w:szCs w:val="20"/>
                <w:color w:val="auto"/>
              </w:rPr>
            </w:pPr>
            <w:r>
              <w:rPr>
                <w:rFonts w:ascii="Arial" w:cs="Arial" w:eastAsia="Arial" w:hAnsi="Arial"/>
                <w:sz w:val="14"/>
                <w:szCs w:val="14"/>
                <w:color w:val="auto"/>
              </w:rPr>
              <w:t>Refined products pipelines and related activities</w:t>
            </w:r>
          </w:p>
        </w:tc>
        <w:tc>
          <w:tcPr>
            <w:tcW w:w="1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330.8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320.3</w:t>
            </w:r>
          </w:p>
        </w:tc>
      </w:tr>
      <w:tr>
        <w:trPr>
          <w:trHeight w:val="216"/>
        </w:trPr>
        <w:tc>
          <w:tcPr>
            <w:tcW w:w="6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Marine transportation and other services</w:t>
            </w:r>
          </w:p>
        </w:tc>
        <w:tc>
          <w:tcPr>
            <w:tcW w:w="1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27.4</w:t>
            </w:r>
          </w:p>
        </w:tc>
      </w:tr>
      <w:tr>
        <w:trPr>
          <w:trHeight w:val="27"/>
        </w:trPr>
        <w:tc>
          <w:tcPr>
            <w:tcW w:w="696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960" w:type="dxa"/>
            <w:vAlign w:val="bottom"/>
          </w:tcPr>
          <w:p>
            <w:pPr>
              <w:ind w:left="120"/>
              <w:spacing w:after="0"/>
              <w:rPr>
                <w:sz w:val="20"/>
                <w:szCs w:val="20"/>
                <w:color w:val="auto"/>
              </w:rPr>
            </w:pPr>
            <w:r>
              <w:rPr>
                <w:rFonts w:ascii="Arial" w:cs="Arial" w:eastAsia="Arial" w:hAnsi="Arial"/>
                <w:sz w:val="14"/>
                <w:szCs w:val="14"/>
                <w:color w:val="auto"/>
              </w:rPr>
              <w:t>Total</w:t>
            </w:r>
          </w:p>
        </w:tc>
        <w:tc>
          <w:tcPr>
            <w:tcW w:w="258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w w:val="85"/>
              </w:rPr>
              <w:t>1,069.6</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1,057.8</w:t>
            </w:r>
          </w:p>
        </w:tc>
      </w:tr>
      <w:tr>
        <w:trPr>
          <w:trHeight w:val="21"/>
        </w:trPr>
        <w:tc>
          <w:tcPr>
            <w:tcW w:w="6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4"/>
                <w:szCs w:val="14"/>
                <w:color w:val="auto"/>
              </w:rPr>
              <w:t>Selected volumetric data:</w:t>
            </w:r>
          </w:p>
        </w:tc>
        <w:tc>
          <w:tcPr>
            <w:tcW w:w="1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Propylene production volumes (MBPD)</w:t>
            </w:r>
          </w:p>
        </w:tc>
        <w:tc>
          <w:tcPr>
            <w:tcW w:w="1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w:t>
            </w:r>
          </w:p>
        </w:tc>
      </w:tr>
      <w:tr>
        <w:trPr>
          <w:trHeight w:val="216"/>
        </w:trPr>
        <w:tc>
          <w:tcPr>
            <w:tcW w:w="6960" w:type="dxa"/>
            <w:vAlign w:val="bottom"/>
          </w:tcPr>
          <w:p>
            <w:pPr>
              <w:ind w:left="120"/>
              <w:spacing w:after="0"/>
              <w:rPr>
                <w:sz w:val="20"/>
                <w:szCs w:val="20"/>
                <w:color w:val="auto"/>
              </w:rPr>
            </w:pPr>
            <w:r>
              <w:rPr>
                <w:rFonts w:ascii="Arial" w:cs="Arial" w:eastAsia="Arial" w:hAnsi="Arial"/>
                <w:sz w:val="14"/>
                <w:szCs w:val="14"/>
                <w:color w:val="auto"/>
              </w:rPr>
              <w:t>Butane isomerization volumes (MBPD)</w:t>
            </w:r>
          </w:p>
        </w:tc>
        <w:tc>
          <w:tcPr>
            <w:tcW w:w="1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107</w:t>
            </w:r>
          </w:p>
        </w:tc>
      </w:tr>
      <w:tr>
        <w:trPr>
          <w:trHeight w:val="216"/>
        </w:trPr>
        <w:tc>
          <w:tcPr>
            <w:tcW w:w="6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Standalone DIB processing volumes (MBPD)</w:t>
            </w:r>
          </w:p>
        </w:tc>
        <w:tc>
          <w:tcPr>
            <w:tcW w:w="1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89</w:t>
            </w:r>
          </w:p>
        </w:tc>
      </w:tr>
      <w:tr>
        <w:trPr>
          <w:trHeight w:val="216"/>
        </w:trPr>
        <w:tc>
          <w:tcPr>
            <w:tcW w:w="6960" w:type="dxa"/>
            <w:vAlign w:val="bottom"/>
          </w:tcPr>
          <w:p>
            <w:pPr>
              <w:ind w:left="120"/>
              <w:spacing w:after="0"/>
              <w:rPr>
                <w:sz w:val="20"/>
                <w:szCs w:val="20"/>
                <w:color w:val="auto"/>
              </w:rPr>
            </w:pPr>
            <w:r>
              <w:rPr>
                <w:rFonts w:ascii="Arial" w:cs="Arial" w:eastAsia="Arial" w:hAnsi="Arial"/>
                <w:sz w:val="14"/>
                <w:szCs w:val="14"/>
                <w:color w:val="auto"/>
              </w:rPr>
              <w:t>Octane additive and related plant production volumes (MBPD)</w:t>
            </w:r>
          </w:p>
        </w:tc>
        <w:tc>
          <w:tcPr>
            <w:tcW w:w="1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28</w:t>
            </w:r>
          </w:p>
        </w:tc>
      </w:tr>
      <w:tr>
        <w:trPr>
          <w:trHeight w:val="216"/>
        </w:trPr>
        <w:tc>
          <w:tcPr>
            <w:tcW w:w="6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Pipeline transportation volumes, primarily refined products &amp; petrochemicals (MBPD)</w:t>
            </w:r>
          </w:p>
        </w:tc>
        <w:tc>
          <w:tcPr>
            <w:tcW w:w="1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821</w:t>
            </w:r>
          </w:p>
        </w:tc>
      </w:tr>
      <w:tr>
        <w:trPr>
          <w:trHeight w:val="231"/>
        </w:trPr>
        <w:tc>
          <w:tcPr>
            <w:tcW w:w="6960" w:type="dxa"/>
            <w:vAlign w:val="bottom"/>
          </w:tcPr>
          <w:p>
            <w:pPr>
              <w:ind w:left="120"/>
              <w:spacing w:after="0"/>
              <w:rPr>
                <w:sz w:val="20"/>
                <w:szCs w:val="20"/>
                <w:color w:val="auto"/>
              </w:rPr>
            </w:pPr>
            <w:r>
              <w:rPr>
                <w:rFonts w:ascii="Arial" w:cs="Arial" w:eastAsia="Arial" w:hAnsi="Arial"/>
                <w:sz w:val="14"/>
                <w:szCs w:val="14"/>
                <w:color w:val="auto"/>
              </w:rPr>
              <w:t>Refined products and petrochemical marine terminal volumes (MBPD)</w:t>
            </w:r>
          </w:p>
        </w:tc>
        <w:tc>
          <w:tcPr>
            <w:tcW w:w="1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353</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Propylene production and related activities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Gross operating margin from propylene production and related marketing activities for 2019 decreased $17.5 million when compared to 2018. Gross operating margin from our Mont Belvieu propylene splitters decreased $29.6 million year-to-year primarily due to lower sales margins, which accounted for a $65.0 million decrease, lower average propylene fractionation fees, which accounted for a $13.3 million decrease, and lower propylene production volumes, which accounted for an additional $11.2 million decrease, partially offset by higher propylene sales volumes, which accounted for a $59.2 million increase. Propylene production volumes from our splitter units decreased 4 MBPD (net to our interest). Gross operating margin from our PDH 1 facility, which was placed into service in April 2018, increased $14.0 million year-to-year primarily due to higher propylene and associated by-product sales volumes. Plant production for PDH 1, which includes by-products, increased 2 MBPD year-to-year.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Butane isomerization and related operations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operating margin from butane isomerization and deisobutanizer (“DIB”) operations for 2019 decreased $13.5 million when compared to 2018 primarily due to lower average by-product sales prices, which accounted for a $9.5 million decrease, and higher operating costs, which accounted for an additional $5.3 million decrease.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Octane enhancement and related plant operations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operating margin from our octane enhancement facility and HPIB plants for 2019 increased an aggregate $11.9 million when compared to 2018 primarily due to higher average sales margins, which accounted for a $26.4 million increase, partially offset by lower sales volumes, which accounted for a $13.9 million decrease. Additionally, our iBDH facility, which completed construction and was placed into service during December 2019, had a gross operating loss of $4.8 million, primarily due to start-up costs incurred prior to being placed into service.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Refined products pipelines and related activities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Gross operating margin from refined products pipelines and related marketing activities for 2019 increased $10.5 million when compared to 2018.</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Gross operating margin from our TE Products Pipeline increased $18.7 million year-to-year primarily due to higher deficiency fee revenues, which accounted for a $26.1 million increase, and higher average transportation fees, which accounted for an additional $8.9 million increase, partially offset by lower transportation volumes, which accounted for an $18.3 million decrease. Transportation volumes on the TE Products Pipeline decreased 79 MBPD primarily due to lower refined products and petrochemical product movements. Gross operating margin from refined products terminals associated with our TE Products Pipeline decreased $12.0 million year-to-year primarily due to higher operating costs, which accounted for a $7.5 million decrease, and lower facility throughput fee revenues, which accounted for an additional $4.5 million decrease.</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operating margin from our refined products marketing activities increased $9.3 million year-to-year primarily due to higher average sales margins, which accounted for an $18.7 million increase, partially offset by lower non-cash mark-to-market earnings, which accounted for an $8.9 million decrease. Non-cash mark-to-market earnings for this business was a loss of $7.2 million in 2019 compared to a $1.7 million gain in 2018.</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Gross operating margin from our refined products terminal in Beaumont, Texas decreased $11.1 million year-to-year primarily due to lower storage revenues, which accounted for a $7.7 million decrease, and lower terminaling volumes of 23 MBPD, which accounted for an additional $3.3 million decrease.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Marine transportation and other services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operating margin from marine transportation for 2019 increased $20.4 million when compared to 2018 primarily due to higher barge fees, which accounted for $31.8 million of the increase, partially offset by higher operating costs, which accounted for an $11.3 million decrease.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current market conditions (as of the filing date of this annual report), we believe we will have sufficient liquidity, cash flow from operations and access to capital markets to fund our capital investments and working capital needs for the reasonably foreseeable future. At December 31, 2019, we had $4.85 billion of consolidated liquidity, which was comprised of $4.52 billion of available borrowing capacity under EPO’s revolving credit facilities and $334.7 million of unrestricted cash on hand.</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issue equity and debt securities to assist us in meeting our future funding and liquidity requirements, including those related to capital investments. We have a universal shelf registration statement (the “2019 Shelf”) on file with the SEC which allows EPD and EPO (each on a standalone basis) to issue an unlimited amount of equity and debt securities, respectively. The 2019 Shelf replaced our prior universal shelf registration statement, which expired in May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Unit Buyback Program</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2019, we announced that the Board of Enterprise GP had approved a $2.0 billion multi-year unit buyback program (the “2019 Buyback Program”), which provides EPD with an additional method to return capital to investors. The 2019 Buyback Program authorizes EPD to repurchase its common units from time to time, including through open market purchases and negotiated transactions. The timing and pace of buy backs under the program will be determined by a number of factors including (i) our financial performance and flexibility, (ii) organic growth and acquisition opportunities with higher potential returns on investment, (iii) EPD’s unit price and implied cash flow yield and (iv) maintaining targeted financial leverage with a debt-to-normalized adjusted EBITDA (earnings before interest, taxes, depreciation and amortization) ratio of approximately 3.5 times. No time limit has been set for completion of the program, and it may be suspended or discontinued at any time.</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EPD repurchased 2,909,128 common units under the 2019 Buyback Program through open market purchases in 2019 (no repurchases were made during the third or fourth quarters of 2019). The total purchase price of these repurchases was $81.1 million, excluding commissions and fees. The repurchased units were cancelled immediately upon acquisition. As of December 31, 2019, the remaining available capacity under the 2019 Buyback Program was $1.92 billion.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previously, management announced in January 2020 its intention to use approximately 2.0% of CFFO in 2020 to repurchase EPD common units under the 2019 Buyback Program.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Liquidity Option</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October 2014, we acquired approximately 65.9% of the limited partner interests of Oiltanking Partners, L.P. (“Oiltanking”), all of the member interests of OTLP GP, LLC, the general partner of Oiltanking (“Oiltanking GP”), and the incentive distribution rights held by Oiltanking GP from Oiltanking Holding Americas, Inc. (“OTA”), a U.S. corporation, as the first step (“Step 1”) of a two-step acquisition of Oiltanking. In February 2015, we completed the second step of this transaction consisting of the acquisition of the noncontrolling interests in Oiltanking. In order to fund the equity consideration paid in Step 1 of the Oiltanking acquisition, we issued 54,807,352 common units to OTA on October 1, 2014 in a transaction exempt from the registration requirements of the Securities Act of 1933, as amended, pursuant to Section 4(a)(2) thereof. We also entered into a put option agreement (the “Liquidity Option Agreement” or “Liquidity Option”) with OTA and Marquard &amp; Bahls AG (“M&amp;B”), a German corporation and the ultimate parent company of OTA, in connection with Step 1. Under the Liquidity Option Agreement, EPD granted M&amp;B the option to sell to the partnership 100% of the issued and outstanding capital stock of OTA at any time within a 90-day period commencing on February 1, 2020. On February 25, 2020, the partnership received notice from M&amp;B of M&amp;B’s election to exercise its Liquidity Option right.</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Liquidity Option Agreement permits M&amp;B to allow deferred tax liabilities to remain with OTA, including tax liabilities existing at the time of the sale of Oiltanking to us in 2014, and for M&amp;B to directly receive EPD common units upon settlement of the Liquidity Option exercise that are unencumbered by any such liabilities. As a result, the liquidity of M&amp;B is enhanced following exercise and settlement of the option, when compared to its financial position prior thereto (hence the name “Liquidity Option”). Under the terms of the Liquidity Option Agreement, the aggregate consideration to be paid by EPD for OTA’s capital stock at settlement will equal the volume-weighted sales price of EPD common units for the 10-trading day period immediately preceding the exercise notice date, multiplied by the 54,807,352 EPD common units owned by OTA. The consideration paid by the partnership may be in the form of newly issued EPD common units, cash or any mix thereof, as determined solely by EPD. Settlement of the option exercise transaction is expected to occur on March 5, 2020. The partnership currently expects that it will elect to deliver to M&amp;B (or its designated affiliate) 54,807,352 newly issued EPD common units (in lieu of any cash) in connection with such settlement.</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acquisition of OTA upon settlement of the Liquidity Option will be accounted for as the purchase of treasury units and the assumption of related deferred income taxes. Assuming that we issue only EPD common units to M&amp;B as consideration (in lieu of any cash consideration), the number of EPD common units outstanding would not increase as the 54,807,352 newly issued units would be offset by the 54,807,352 EPD common units held by OTA that are reclassified to treasury units.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regarding the Liquidity Option and the effects of the option exercise, see Note 17 of the Notes to Consolidated Financial Statements included under Part II, Item 8 of this annual report.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Debt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scheduled maturities of our consolidated debt obligations outstanding at December 31, 2019 for the years indicated (dollars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308"/>
              <w:spacing w:after="0"/>
              <w:rPr>
                <w:sz w:val="20"/>
                <w:szCs w:val="20"/>
                <w:color w:val="auto"/>
              </w:rPr>
            </w:pPr>
            <w:r>
              <w:rPr>
                <w:rFonts w:ascii="Arial" w:cs="Arial" w:eastAsia="Arial" w:hAnsi="Arial"/>
                <w:sz w:val="14"/>
                <w:szCs w:val="14"/>
                <w:b w:val="1"/>
                <w:bCs w:val="1"/>
                <w:color w:val="auto"/>
                <w:w w:val="98"/>
              </w:rPr>
              <w:t>Scheduled Maturities of Debt</w:t>
            </w: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Thereafter</w:t>
            </w:r>
          </w:p>
        </w:tc>
      </w:tr>
      <w:tr>
        <w:trPr>
          <w:trHeight w:val="130"/>
        </w:trPr>
        <w:tc>
          <w:tcPr>
            <w:tcW w:w="20" w:type="dxa"/>
            <w:vAlign w:val="bottom"/>
          </w:tcPr>
          <w:p>
            <w:pPr>
              <w:spacing w:after="0"/>
              <w:rPr>
                <w:sz w:val="11"/>
                <w:szCs w:val="11"/>
                <w:color w:val="auto"/>
              </w:rPr>
            </w:pPr>
          </w:p>
        </w:tc>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Principal amount of senior and</w:t>
            </w:r>
          </w:p>
        </w:tc>
        <w:tc>
          <w:tcPr>
            <w:tcW w:w="8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junior debt obligations at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88"/>
        </w:trPr>
        <w:tc>
          <w:tcPr>
            <w:tcW w:w="20" w:type="dxa"/>
            <w:vAlign w:val="bottom"/>
          </w:tcPr>
          <w:p>
            <w:pPr>
              <w:spacing w:after="0"/>
              <w:rPr>
                <w:sz w:val="16"/>
                <w:szCs w:val="16"/>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December 31, 2019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27,878.4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1,982.0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1,400.0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21,071.4</w:t>
            </w: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Issuance of $3.0 Billion of Senior Notes in January 2020</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January 2020, EPO issued $3.0 billion aggregate principal amount of senior notes comprised of (i) $1.0 billion principal amount of senior notes due January 2030 (“Senior Notes AAA”), (ii) $1.0 billion principal amount of senior notes due January 2051 (“Senior Notes BBB”) and (iii) $1.0 billion principal amount of senior notes due January 2060 (“Senior Notes CCC”). Net proceeds from this offering were used by EPO for the repayment of $500 million principal amount of its Senior Notes Q that matured in January 2020, temporary repayment of amounts outstanding under its commercial paper program and for general company purposes. In addition, net proceeds from this offering will be used by EPO for the repayment of $1.0 billion principal amount of its Senior Notes Y upon their maturity in September 2020.</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Senior Notes AAA were issued at 99.921% of their principal amount and have a fixed-rate interest rate of 2.80% per year. Senior Notes BBB were issued at 99.413% of their principal amount and have a fixed-rate interest rate of 3.70% per year. Senior Notes CCC were issued at 99.360% of their principal amount and have a fixed-rate interest rate of 3.95% per year. EPD has guaranteed these senior notes through an unconditional guarantee on an unsecured and unsubordinated basis.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Issuance of $2.5 Billion of Senior Notes in July 2019</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2019, EPO issued $2.5 billion aggregate principal amount of senior notes comprised of $1.25 billion principal amount of senior notes due July 2029 (“Senior Notes YY”) and $1.25 billion principal amount of senior notes due January 2050 (“Senior Notes ZZ”). Net proceeds from this offering were used by EPO for the repayment of debt and for general company purposes, including for growth capital investments.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Senior Notes YY were issued at 99.955% of their principal amount and have a fixed interest rate of 3.125% per year. Senior Notes ZZ were issued at 99.792% of their principal amount and have a fixed interest rate of 4.20% per year. EPD has guaranteed these senior notes through an unconditional guarantee on an unsecured and unsubordinated basis.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Amendment to Multi-Year Revolving Credit Agreement</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September 2019, EPO entered into an amendment (the “First Amendment”) to its revolving credit agreement dated September 13, 2017 (the “Multi-Year Revolving Credit Agreement”). The First Amendment reduces the borrowing capacity under the Multi-Year Revolving Credit Agreement from $4.0 billion to $3.5 billion (which may be increased by up to $500 million to $4.0 billion at EPO’s election provided certain conditions are met) and extends the maturity date to September 10, 2024, although the maturity date may be extended further at EPO’s request by up to two years, with the consent of required lenders as set forth under the credit agreement. Borrowings under this revolving credit agreement may be used for working capital, capital investments, acquisitions and general company purposes. There are currently no principal amounts outstanding under this revolving credit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Renewal of 364-Day Revolving Credit Agreement</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September 2019, EPO entered into a 364-Day Revolving Credit Agreement that replaced its prior 364-day credit facility. The new 364-Day Revolving Credit Agreement matures in September 2020. Under the terms of the new 364-Day Revolving Credit Agreement, EPO may borrow up to $1.5 billion (which may be increased by up to $200 million to $1.7 billion at EPO’s election, provided certain conditions are met) at a variable interest rate for a term of up to 364 days, subject to the terms and conditions set forth therein. To the extent that principal amounts are outstanding at the maturity date, EPO may elect to have the entire principal balance then outstanding continued as non-revolving term loans for a period of one additional year, payable in September 2021. Borrowings under this revolving credit agreement may be used for working capital, capital investments, acquisitions and general company purposes. There are currently no principal amounts outstanding under this revolving credit agreement.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regarding our debt agreements, see Note 7 of the Notes to Unaudited Condensed Consolidated Financial Statements included under Part I, Item 1 of this quarterly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Ratings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February 28, 2020, the investment-grade credit ratings of EPO’s long-term senior unsecured debt securities were BBB+ from Standard and Poor’s, Baa1 from Moody’s and BBB+ from Fitch Ratings. In addition, the credit ratings of EPO’s short-term senior unsecured debt securities were A-2 from Standard and Poor’s, P-2 from Moody’s and F-2 from Fitch Ratings. EPO’s credit ratings reflect only the view of a rating agency and should not be interpreted as a recommendation to buy, sell or hold any of our securities. A credit rating can be revised upward or downward or withdrawn at any time by a rating agency, if it determines that circumstances warrant such a change. A credit rating from one rating agency should be evaluated independently of credit ratings from other rating agencies.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Units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issuance of new common units in connection with our distribution reinvestment plan (“DRIP”) and employee unit purchase plan (“EUPP”) for the years indicated (dollars in millions, number of units issued as shown):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 Cash</w:t>
            </w:r>
          </w:p>
        </w:tc>
      </w:tr>
      <w:tr>
        <w:trPr>
          <w:trHeight w:val="149"/>
        </w:trPr>
        <w:tc>
          <w:tcPr>
            <w:tcW w:w="88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Proceeds</w:t>
            </w:r>
          </w:p>
        </w:tc>
      </w:tr>
      <w:tr>
        <w:trPr>
          <w:trHeight w:val="178"/>
        </w:trPr>
        <w:tc>
          <w:tcPr>
            <w:tcW w:w="88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 Issued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Received</w:t>
            </w:r>
          </w:p>
        </w:tc>
      </w:tr>
      <w:tr>
        <w:trPr>
          <w:trHeight w:val="216"/>
        </w:trPr>
        <w:tc>
          <w:tcPr>
            <w:tcW w:w="8820" w:type="dxa"/>
            <w:vAlign w:val="bottom"/>
          </w:tcPr>
          <w:p>
            <w:pPr>
              <w:spacing w:after="0"/>
              <w:rPr>
                <w:sz w:val="20"/>
                <w:szCs w:val="20"/>
                <w:color w:val="auto"/>
              </w:rPr>
            </w:pPr>
            <w:r>
              <w:rPr>
                <w:rFonts w:ascii="Arial" w:cs="Arial" w:eastAsia="Arial" w:hAnsi="Arial"/>
                <w:sz w:val="14"/>
                <w:szCs w:val="14"/>
                <w:b w:val="1"/>
                <w:bCs w:val="1"/>
                <w:color w:val="auto"/>
              </w:rPr>
              <w:t>Year Ended December 31, 2018:</w:t>
            </w: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 units issued in connection with DRIP and EUPP</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19,861,951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538.4</w:t>
            </w:r>
          </w:p>
        </w:tc>
      </w:tr>
      <w:tr>
        <w:trPr>
          <w:trHeight w:val="216"/>
        </w:trPr>
        <w:tc>
          <w:tcPr>
            <w:tcW w:w="8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Year Ended December 31, 2019:</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1"/>
        </w:trPr>
        <w:tc>
          <w:tcPr>
            <w:tcW w:w="8820" w:type="dxa"/>
            <w:vAlign w:val="bottom"/>
          </w:tcPr>
          <w:p>
            <w:pPr>
              <w:ind w:left="120"/>
              <w:spacing w:after="0"/>
              <w:rPr>
                <w:sz w:val="20"/>
                <w:szCs w:val="20"/>
                <w:color w:val="auto"/>
              </w:rPr>
            </w:pPr>
            <w:r>
              <w:rPr>
                <w:rFonts w:ascii="Arial" w:cs="Arial" w:eastAsia="Arial" w:hAnsi="Arial"/>
                <w:sz w:val="14"/>
                <w:szCs w:val="14"/>
                <w:color w:val="auto"/>
              </w:rPr>
              <w:t>Common units issued in connection with DRIP and EUPP (1)</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2,897,990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82.2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jc w:val="both"/>
        <w:ind w:left="580" w:hanging="572"/>
        <w:spacing w:after="0" w:line="234" w:lineRule="auto"/>
        <w:tabs>
          <w:tab w:leader="none" w:pos="5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decrease in net cash proceeds from the DRIP and EUPP between 2018 and 2019 is primarily due to (i) lower reinvestments by privately held affiliates of EPCO in 2019, (ii) lower levels of reinvestment by participants due to a reduction in the DRIP discount from 2.5% to 0% beginning with the distribution paid in February 2019 and (iii) the election to satisfy delivery obligations under the DRIP and EUPP using common units purchased on the open market, rather than issuing new common units, beginning with the distribution paid in August 2019.</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proceeds from the issuance of new common units for the years ended December 31, 2019 and 2018 were used to temporarily reduce amounts outstanding under EPO’s commercial paper program and for general company purposes, including for growth capital investments.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DRIP and EUPP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EPD has registration statements on file with the SEC in connection with its DRIP and EUPP.</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DRIP provides unitholders of record and beneficial owners of our common units a voluntary means by which they can increase the number of our common units they own by reinvesting the quarterly cash distributions they receive from us into the purchase of additional common units at a discount ranging from 0% to 5%. Beginning with the distribution declared with respect to the fourth quarter of 2017 and paid in February 2018, the DRIP discount was reduced from 5% to 2.5%. Likewise, beginning with the distribution declared with respect to the fourth quarter of 2018 and paid in February 2019, the DRIP discount was reduced from 2.5% to 0%. The EUPP provides employees of EPCO a voluntary means by which they can purchase our common units at a 10% discount through payroll deductions.</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the sole discretion to determine whether common units purchased under the DRIP and EUPP will come from our authorized but unissued common units or from common units purchased on the open market by the plan’s administrator. In July 2019, EPD announced that, beginning with the quarterly distribution payment paid in August 2019, it would use common units purchased on the open market, rather than issuing new common units, to satisfy its delivery obligations under the DRIP and EUPP. This election is subject to change in future quarters depending on the partnership’s need for equity capital.</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preceding table shows the number of new common units issued to participants in the DRIP and EUPP during the two years ended December 31, 2019. A total of 2,801,196 additional common units were purchased on the open market in 2019 and delivered to participants in connection with the DRIP and EUPP. Other than amounts attributable to the plan discount available to all participants in the EUPP, the funds used to effect the open market purchases were sourced entirely from the DRIP and EUPP participants. No other partnership funds were used to satisfy these delivery obligations. We used open market purchases to fully satisfy DRIP and EUPP investments in connection with the distribution paid on February 12, 2020. After taking into account the number of common units delivered to participants under the DRIP and EUPP through December 31, 2019, we have the capacity to deliver an additional 56,320,229 and 4,596,585 common units, respectively, under these plans.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ATM Program</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 registration statement on file with the SEC covering the issuance of up to $2.54 billion of our common units in amounts, at prices and on terms to be determined by market conditions and other factors at the time of such offerings in connection with our ATM program. Pursuant to this program, we may sell common units from time-to-time under an equity distribution agreement between EPD and certain broker-dealers by means of ordinary brokers’ transactions through the NYSE at market prices, in block transactions or as otherwise agreed to with the broker-dealer parties to the agreement. After taking into account the aggregate sales price of common units sold under the ATM program through December 31, 2019, we have the capacity to issue additional common units under the ATM program up to an aggregate sales price of $2.54 billion. We did not issue any common units under the ATM program during the years ended December 31, 2019 or 2018.</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regarding our consolidated equity, see Note 8 of the Notes to Consolidated Financial Statements included under Part II, Item 8 of this annual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Statement Highlights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summarizes our consolidated cash flows from operating, investing and financing activities for the years indicated (dollars in millions). For additional information regarding our cash flow amounts, please refer to the Statements of Consolidated Cash Flows included under Part II, Item 8 of this annual report.</w:t>
      </w:r>
    </w:p>
    <w:p>
      <w:pPr>
        <w:spacing w:after="0" w:line="200"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For the Year Ended</w:t>
      </w:r>
    </w:p>
    <w:p>
      <w:pPr>
        <w:spacing w:after="0" w:line="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-3175</wp:posOffset>
            </wp:positionV>
            <wp:extent cx="158623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Net cash flows provided by operating activities</w:t>
            </w:r>
          </w:p>
        </w:tc>
        <w:tc>
          <w:tcPr>
            <w:tcW w:w="378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5"/>
              </w:rPr>
              <w:t>6,520.5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6,126.3</w:t>
            </w:r>
          </w:p>
        </w:tc>
      </w:tr>
      <w:tr>
        <w:trPr>
          <w:trHeight w:val="216"/>
        </w:trPr>
        <w:tc>
          <w:tcPr>
            <w:tcW w:w="5760" w:type="dxa"/>
            <w:vAlign w:val="bottom"/>
          </w:tcPr>
          <w:p>
            <w:pPr>
              <w:spacing w:after="0"/>
              <w:rPr>
                <w:sz w:val="20"/>
                <w:szCs w:val="20"/>
                <w:color w:val="auto"/>
              </w:rPr>
            </w:pPr>
            <w:r>
              <w:rPr>
                <w:rFonts w:ascii="Arial" w:cs="Arial" w:eastAsia="Arial" w:hAnsi="Arial"/>
                <w:sz w:val="14"/>
                <w:szCs w:val="14"/>
                <w:color w:val="auto"/>
              </w:rPr>
              <w:t>Cash used in investing activities</w:t>
            </w:r>
          </w:p>
        </w:tc>
        <w:tc>
          <w:tcPr>
            <w:tcW w:w="3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w w:val="85"/>
              </w:rPr>
              <w:t>4,575.5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4,281.6</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Cash used in financing activities</w:t>
            </w:r>
          </w:p>
        </w:tc>
        <w:tc>
          <w:tcPr>
            <w:tcW w:w="3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5"/>
              </w:rPr>
              <w:t>1,945.1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1,504.9</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flows provided by operating activities are largely dependent on earnings from our consolidated business activities. Changes in energy commodity prices may impact the demand for natural gas, NGLs, crude oil, petrochemical and refined products, which could impact sales of our products and the demand for our midstream services. Changes in demand for our products and services may be caused by other factors, including prevailing economic conditions, reduced demand by consumers for the end products made with hydrocarbon products, increased competition, adverse weather conditions and government regulations affecting prices and production levels.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also incur credit and price risk to the extent customers do not fulfill their obligations to us in connection with our marketing activities and long-term take-or-pay agreements. Risks of nonpayment and nonperformance by customers are a major consideration in our businesses, and our credit procedures and policies may not be adequate to sufficiently eliminate customer credit risk. We manage our exposure to credit risk through credit analysis, credit approvals, credit limits and monitoring procedures, and for certain transactions may utilize letters of credit, prepayments, net out agreements and guarantees. However, these procedures and policies do not fully eliminate customer credit risk. We have a concentration of trade receivable balances due from independent and major integrated oil and gas companies and other pipelines and wholesalers. These concentrations may affect our overall credit risk in that these energy industry customers may be similarly affected by changes in economic, regulatory or other factors. For a more complete discussion of these and other risk factors pertinent to our business, see Part I, Item 1A of this annual report.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highlights significant year-to-year fluctuations in our consolidated cash flow amounts: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provided by operating activities in 2019 increased a net $394.2 million when compared to 2018 primarily due to:</w:t>
      </w:r>
    </w:p>
    <w:p>
      <w:pPr>
        <w:spacing w:after="0" w:line="238" w:lineRule="exact"/>
        <w:rPr>
          <w:sz w:val="20"/>
          <w:szCs w:val="20"/>
          <w:color w:val="auto"/>
        </w:rPr>
      </w:pPr>
    </w:p>
    <w:p>
      <w:pPr>
        <w:ind w:left="500" w:hanging="330"/>
        <w:spacing w:after="0" w:line="312"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6"/>
          <w:szCs w:val="16"/>
          <w:color w:val="auto"/>
        </w:rPr>
        <w:t>a $779.2 million year-to-year increase resulting from higher partnership earnings in 2019 when compared to 2018 (determined by adjusting our $448.6 million year-to-year increase in net income for changes in the non-cash items identified on our Statements of Consolidated Cash Flows); and</w:t>
      </w:r>
    </w:p>
    <w:p>
      <w:pPr>
        <w:spacing w:after="0" w:line="167" w:lineRule="exact"/>
        <w:rPr>
          <w:rFonts w:ascii="Arial" w:cs="Arial" w:eastAsia="Arial" w:hAnsi="Arial"/>
          <w:sz w:val="18"/>
          <w:szCs w:val="18"/>
          <w:color w:val="auto"/>
        </w:rPr>
      </w:pPr>
    </w:p>
    <w:p>
      <w:pPr>
        <w:ind w:left="500" w:hanging="330"/>
        <w:spacing w:after="0" w:line="251" w:lineRule="auto"/>
        <w:tabs>
          <w:tab w:leader="none" w:pos="500" w:val="left"/>
        </w:tabs>
        <w:numPr>
          <w:ilvl w:val="0"/>
          <w:numId w:val="52"/>
        </w:numPr>
        <w:rPr>
          <w:rFonts w:ascii="Arial" w:cs="Arial" w:eastAsia="Arial" w:hAnsi="Arial"/>
          <w:sz w:val="20"/>
          <w:szCs w:val="20"/>
          <w:color w:val="auto"/>
        </w:rPr>
      </w:pPr>
      <w:r>
        <w:rPr>
          <w:rFonts w:ascii="Arial" w:cs="Arial" w:eastAsia="Arial" w:hAnsi="Arial"/>
          <w:sz w:val="18"/>
          <w:szCs w:val="18"/>
          <w:color w:val="auto"/>
        </w:rPr>
        <w:t>an $88.6 million year-to-year increase in cash distributions received on earnings from unconsolidated affiliates primarily due to investments in crude oil pipeline businesses; partially offset by</w:t>
      </w:r>
    </w:p>
    <w:p>
      <w:pPr>
        <w:spacing w:after="0" w:line="218" w:lineRule="exact"/>
        <w:rPr>
          <w:rFonts w:ascii="Arial" w:cs="Arial" w:eastAsia="Arial" w:hAnsi="Arial"/>
          <w:sz w:val="20"/>
          <w:szCs w:val="20"/>
          <w:color w:val="auto"/>
        </w:rPr>
      </w:pPr>
    </w:p>
    <w:p>
      <w:pPr>
        <w:ind w:left="500" w:hanging="330"/>
        <w:spacing w:after="0"/>
        <w:tabs>
          <w:tab w:leader="none" w:pos="500" w:val="left"/>
        </w:tabs>
        <w:numPr>
          <w:ilvl w:val="0"/>
          <w:numId w:val="52"/>
        </w:numPr>
        <w:rPr>
          <w:rFonts w:ascii="Arial" w:cs="Arial" w:eastAsia="Arial" w:hAnsi="Arial"/>
          <w:sz w:val="20"/>
          <w:szCs w:val="20"/>
          <w:color w:val="auto"/>
        </w:rPr>
      </w:pPr>
      <w:r>
        <w:rPr>
          <w:rFonts w:ascii="Arial" w:cs="Arial" w:eastAsia="Arial" w:hAnsi="Arial"/>
          <w:sz w:val="18"/>
          <w:szCs w:val="18"/>
          <w:color w:val="auto"/>
        </w:rPr>
        <w:t>a $473.6 million year-to-year decrease primarily due to the timing of cash receipts and payments related to operations.</w:t>
      </w:r>
    </w:p>
    <w:p>
      <w:pPr>
        <w:spacing w:after="0" w:line="2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information regarding significant year-to-year changes in our consolidated net income and underlying segment results, see “Results of Operations” within this Part II, Item 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in 2019 increased a net $293.9 million when compared to 2018 primarily due to:</w:t>
      </w:r>
    </w:p>
    <w:p>
      <w:pPr>
        <w:spacing w:after="0" w:line="238" w:lineRule="exact"/>
        <w:rPr>
          <w:sz w:val="20"/>
          <w:szCs w:val="20"/>
          <w:color w:val="auto"/>
        </w:rPr>
      </w:pPr>
    </w:p>
    <w:p>
      <w:pPr>
        <w:ind w:left="500" w:right="20" w:hanging="330"/>
        <w:spacing w:after="0" w:line="251" w:lineRule="auto"/>
        <w:tabs>
          <w:tab w:leader="none" w:pos="500" w:val="left"/>
        </w:tabs>
        <w:numPr>
          <w:ilvl w:val="0"/>
          <w:numId w:val="53"/>
        </w:numPr>
        <w:rPr>
          <w:rFonts w:ascii="Arial" w:cs="Arial" w:eastAsia="Arial" w:hAnsi="Arial"/>
          <w:sz w:val="20"/>
          <w:szCs w:val="20"/>
          <w:color w:val="auto"/>
        </w:rPr>
      </w:pPr>
      <w:r>
        <w:rPr>
          <w:rFonts w:ascii="Arial" w:cs="Arial" w:eastAsia="Arial" w:hAnsi="Arial"/>
          <w:sz w:val="18"/>
          <w:szCs w:val="18"/>
          <w:color w:val="auto"/>
        </w:rPr>
        <w:t>a $308.5 million year-to-year increase in expenditures for consolidated property, plant and equipment (see “Capital Investments” within this Part II, Item 7 for additional information); and</w:t>
      </w:r>
    </w:p>
    <w:p>
      <w:pPr>
        <w:spacing w:after="0" w:line="218" w:lineRule="exact"/>
        <w:rPr>
          <w:rFonts w:ascii="Arial" w:cs="Arial" w:eastAsia="Arial" w:hAnsi="Arial"/>
          <w:sz w:val="20"/>
          <w:szCs w:val="20"/>
          <w:color w:val="auto"/>
        </w:rPr>
      </w:pPr>
    </w:p>
    <w:p>
      <w:pPr>
        <w:ind w:left="500" w:hanging="330"/>
        <w:spacing w:after="0" w:line="277"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$140.6 million year-to-year decrease in proceeds from asset sales primarily due to the sale of our former Red River System in October 2018 for $134.9 million; partially offset by</w:t>
      </w:r>
    </w:p>
    <w:p>
      <w:pPr>
        <w:spacing w:after="0" w:line="197" w:lineRule="exact"/>
        <w:rPr>
          <w:rFonts w:ascii="Arial" w:cs="Arial" w:eastAsia="Arial" w:hAnsi="Arial"/>
          <w:sz w:val="18"/>
          <w:szCs w:val="18"/>
          <w:color w:val="auto"/>
        </w:rPr>
      </w:pPr>
    </w:p>
    <w:p>
      <w:pPr>
        <w:ind w:left="500" w:hanging="330"/>
        <w:spacing w:after="0" w:line="251" w:lineRule="auto"/>
        <w:tabs>
          <w:tab w:leader="none" w:pos="500" w:val="left"/>
        </w:tabs>
        <w:numPr>
          <w:ilvl w:val="0"/>
          <w:numId w:val="53"/>
        </w:numPr>
        <w:rPr>
          <w:rFonts w:ascii="Arial" w:cs="Arial" w:eastAsia="Arial" w:hAnsi="Arial"/>
          <w:sz w:val="20"/>
          <w:szCs w:val="20"/>
          <w:color w:val="auto"/>
        </w:rPr>
      </w:pPr>
      <w:r>
        <w:rPr>
          <w:rFonts w:ascii="Arial" w:cs="Arial" w:eastAsia="Arial" w:hAnsi="Arial"/>
          <w:sz w:val="18"/>
          <w:szCs w:val="18"/>
          <w:color w:val="auto"/>
        </w:rPr>
        <w:t>a $150.6 million year-to-year decrease in net cash used for business combinations. We acquired a 50% equity interest in Delaware Processing in March 2018 for $150.6 million.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used in financing activities in 2019 increased $440.2 million when compared to 2018 primarily due to:</w:t>
      </w:r>
    </w:p>
    <w:p>
      <w:pPr>
        <w:spacing w:after="0" w:line="238" w:lineRule="exact"/>
        <w:rPr>
          <w:sz w:val="20"/>
          <w:szCs w:val="20"/>
          <w:color w:val="auto"/>
        </w:rPr>
      </w:pPr>
    </w:p>
    <w:p>
      <w:pPr>
        <w:jc w:val="both"/>
        <w:ind w:left="500" w:hanging="330"/>
        <w:spacing w:after="0" w:line="250" w:lineRule="auto"/>
        <w:tabs>
          <w:tab w:leader="none" w:pos="500" w:val="left"/>
        </w:tabs>
        <w:numPr>
          <w:ilvl w:val="0"/>
          <w:numId w:val="54"/>
        </w:numPr>
        <w:rPr>
          <w:rFonts w:ascii="Arial" w:cs="Arial" w:eastAsia="Arial" w:hAnsi="Arial"/>
          <w:sz w:val="20"/>
          <w:szCs w:val="20"/>
          <w:color w:val="auto"/>
        </w:rPr>
      </w:pPr>
      <w:r>
        <w:rPr>
          <w:rFonts w:ascii="Arial" w:cs="Arial" w:eastAsia="Arial" w:hAnsi="Arial"/>
          <w:sz w:val="18"/>
          <w:szCs w:val="18"/>
          <w:color w:val="auto"/>
        </w:rPr>
        <w:t>a $456.2 million year-to-year decrease in net cash proceeds from the issuance of common units in connection with the DRIP and EUPP. As noted previously, EPD announced in July 2019 that, beginning with the quarterly distribution payment paid in August 2019, it would use common units purchased on the open market, rather than issuing new common units, to satisfy its delivery obligations under the DRIP and EUPP. Prior to this change, EPD issued an aggregate 2,897,990 common units, which generated $82.2 million of net cash proceeds, in connection with the DRIP and EUPP in 2019. This compares to an aggregate 19,861,951 common units, which generated $538.4 million of net cash proceeds, issued under these plans in 2018;</w:t>
      </w:r>
    </w:p>
    <w:p>
      <w:pPr>
        <w:spacing w:after="0" w:line="221" w:lineRule="exact"/>
        <w:rPr>
          <w:rFonts w:ascii="Arial" w:cs="Arial" w:eastAsia="Arial" w:hAnsi="Arial"/>
          <w:sz w:val="20"/>
          <w:szCs w:val="20"/>
          <w:color w:val="auto"/>
        </w:rPr>
      </w:pPr>
    </w:p>
    <w:p>
      <w:pPr>
        <w:jc w:val="both"/>
        <w:ind w:left="500" w:hanging="330"/>
        <w:spacing w:after="0" w:line="250" w:lineRule="auto"/>
        <w:tabs>
          <w:tab w:leader="none" w:pos="500" w:val="left"/>
        </w:tabs>
        <w:numPr>
          <w:ilvl w:val="0"/>
          <w:numId w:val="54"/>
        </w:numPr>
        <w:rPr>
          <w:rFonts w:ascii="Arial" w:cs="Arial" w:eastAsia="Arial" w:hAnsi="Arial"/>
          <w:sz w:val="20"/>
          <w:szCs w:val="20"/>
          <w:color w:val="auto"/>
        </w:rPr>
      </w:pPr>
      <w:r>
        <w:rPr>
          <w:rFonts w:ascii="Arial" w:cs="Arial" w:eastAsia="Arial" w:hAnsi="Arial"/>
          <w:sz w:val="18"/>
          <w:szCs w:val="18"/>
          <w:color w:val="auto"/>
        </w:rPr>
        <w:t>a net $175.5 million year-to-year decrease in net cash inflows from debt. During 2019, we issued $2.5 billion aggregate principal amount of senior notes, partially offset by the repayment or repurchase of $1.52 billion principal amount of senior and junior subordinated notes. During 2018, we issued $5.7 billion aggregate principal amount of senior and junior subordinated notes, partially offset by the repayment of $2.3 billion in principal amount of such notes. In addition, net issuances of short term notes under EPO’s commercial paper program were $481.8 million in 2019 compared to net repayments of $1.75 billion in 2018;</w:t>
      </w:r>
    </w:p>
    <w:p>
      <w:pPr>
        <w:spacing w:after="0" w:line="221" w:lineRule="exact"/>
        <w:rPr>
          <w:rFonts w:ascii="Arial" w:cs="Arial" w:eastAsia="Arial" w:hAnsi="Arial"/>
          <w:sz w:val="20"/>
          <w:szCs w:val="20"/>
          <w:color w:val="auto"/>
        </w:rPr>
      </w:pPr>
    </w:p>
    <w:p>
      <w:pPr>
        <w:ind w:left="500" w:hanging="330"/>
        <w:spacing w:after="0" w:line="251" w:lineRule="auto"/>
        <w:tabs>
          <w:tab w:leader="none" w:pos="500" w:val="left"/>
        </w:tabs>
        <w:numPr>
          <w:ilvl w:val="0"/>
          <w:numId w:val="54"/>
        </w:numPr>
        <w:rPr>
          <w:rFonts w:ascii="Arial" w:cs="Arial" w:eastAsia="Arial" w:hAnsi="Arial"/>
          <w:sz w:val="20"/>
          <w:szCs w:val="20"/>
          <w:color w:val="auto"/>
        </w:rPr>
      </w:pPr>
      <w:r>
        <w:rPr>
          <w:rFonts w:ascii="Arial" w:cs="Arial" w:eastAsia="Arial" w:hAnsi="Arial"/>
          <w:sz w:val="18"/>
          <w:szCs w:val="18"/>
          <w:color w:val="auto"/>
        </w:rPr>
        <w:t>a $112.9 million year-to-year increase in cash distributions paid to limited partners primarily due to an increase in the quarterly cash distribution rate per unit; and</w:t>
      </w:r>
    </w:p>
    <w:p>
      <w:pPr>
        <w:spacing w:after="0" w:line="218" w:lineRule="exact"/>
        <w:rPr>
          <w:rFonts w:ascii="Arial" w:cs="Arial" w:eastAsia="Arial" w:hAnsi="Arial"/>
          <w:sz w:val="20"/>
          <w:szCs w:val="20"/>
          <w:color w:val="auto"/>
        </w:rPr>
      </w:pPr>
    </w:p>
    <w:p>
      <w:pPr>
        <w:ind w:left="500" w:hanging="330"/>
        <w:spacing w:after="0"/>
        <w:tabs>
          <w:tab w:leader="none" w:pos="500" w:val="left"/>
        </w:tabs>
        <w:numPr>
          <w:ilvl w:val="0"/>
          <w:numId w:val="54"/>
        </w:numPr>
        <w:rPr>
          <w:rFonts w:ascii="Arial" w:cs="Arial" w:eastAsia="Arial" w:hAnsi="Arial"/>
          <w:sz w:val="20"/>
          <w:szCs w:val="20"/>
          <w:color w:val="auto"/>
        </w:rPr>
      </w:pPr>
      <w:r>
        <w:rPr>
          <w:rFonts w:ascii="Arial" w:cs="Arial" w:eastAsia="Arial" w:hAnsi="Arial"/>
          <w:sz w:val="18"/>
          <w:szCs w:val="18"/>
          <w:color w:val="auto"/>
        </w:rPr>
        <w:t>a $50.3 million year-to-year increase in cash used to acquire common units under our buyback programs; partially offset by</w:t>
      </w:r>
    </w:p>
    <w:p>
      <w:pPr>
        <w:spacing w:after="0" w:line="242" w:lineRule="exact"/>
        <w:rPr>
          <w:rFonts w:ascii="Arial" w:cs="Arial" w:eastAsia="Arial" w:hAnsi="Arial"/>
          <w:sz w:val="20"/>
          <w:szCs w:val="20"/>
          <w:color w:val="auto"/>
        </w:rPr>
      </w:pPr>
    </w:p>
    <w:p>
      <w:pPr>
        <w:jc w:val="both"/>
        <w:ind w:left="500" w:hanging="330"/>
        <w:spacing w:after="0" w:line="288"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6"/>
          <w:szCs w:val="16"/>
          <w:color w:val="auto"/>
        </w:rPr>
        <w:t>a $394.7 million year-to-year increase in cash contributions from noncontrolling interests. In July 2019, Altus acquired a 33% equity interest in our consolidated subsidiary that owns Shin Oak for $440.7 million. In June 2019, an affiliate of American Midstream, LP acquired a 25% equity interest in our consolidated subsidiary that owns the Pascagoula natural gas processing facility for $36.0 million in cash. In June 2018, WES acquired a 20% equity interest in our consolidated subsidiary that owns a majority of the Midland-to-ECHO 1 pipeline for $189.6 million in cash. In addition, cash contributions from noncontrolling interests in connection with the construction of our ethylene export facility increased $43.5 million year-to-year.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Cash Flow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Distributable Cash Flow</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partnership agreement requires us to make quarterly distributions to our unitholders of all available cash, after any cash reserves established by Enterprise GP in its sole discretion. Cash reserves include those for the proper conduct of our business, including those for capital investments, debt service, working capital, operating expenses, common unit repurchases, commitments and contingencies and other amounts. The retention of cash by the partnership allows us to reinvest in our growth and reduce our future reliance on the equity and debt capital markets.</w:t>
      </w:r>
    </w:p>
    <w:p>
      <w:pPr>
        <w:spacing w:after="0" w:line="20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January 2020, the Board declared a cash distribution of $0.4450 per common unit with respect to the fourth quarter of 2019. In addition, our management announced plans to recommend to the Board additional quarterly cash distribution increases of $0.0025 per unit with respect to each of the four quarters of 2020. For additional information regarding our expected distribution growth rate, see “Significant Recent Developments” within this Item 7.</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measure available cash by reference to distributable cash flow (“DCF”), which is a non-GAAP cash flow measure. DCF is an important financial measure for our limited partners since it serves as an indicator of our success in providing a cash return on investment. Specifically, this financial measure indicates to investors whether or not we are generating cash flows at a level that can sustain our declared quarterly cash distributions. DCF is also a quantitative standard used by the investment community with respect to publicly traded partnerships since the value of a partnership unit is, in part, measured by its yield, which is based on the amount of cash distributions a partnership can pay to a unitholder. Our management compares the DCF we generate to the cash distributions we expect to pay our partners. Using this metric, management computes our distribution coverage ratio. For the year ended December 31, 2019, our distribution coverage ratio was approximately 1.7 times when compared to the sum of our quarterly cash distributions declared with respect to fiscal 2019. Our calculation of DCF may or may not be comparable to similarly titled measures used by other companies.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on the level of available cash each quarter, management proposes a quarterly cash distribution rate to the Board of Enterprise GP, which has sole authority in approving such matters. Unlike several other master limited partnerships, our general partner has a non-economic ownership interest in us and is not entitled to receive any cash distributions from us based on incentive distribution rights or other equity interests.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use of DCF for the limited purposes described above and in this report is not a substitute for net cash flows provided by operating activities, which is the most comparable GAAP measure. For a discussion of net cash flows provided by operating activities, see “Cash Flow Statement Highlights” within this Part II, Item 7.</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calculation of DCF for the years indicated (dollars in millions):</w:t>
      </w:r>
    </w:p>
    <w:p>
      <w:pPr>
        <w:spacing w:after="0" w:line="24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For the Year Ended</w:t>
      </w:r>
    </w:p>
    <w:p>
      <w:pPr>
        <w:spacing w:after="0" w:line="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-3175</wp:posOffset>
            </wp:positionV>
            <wp:extent cx="158623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Net income attributable to limited partners (GAAP) (1)</w:t>
            </w:r>
          </w:p>
        </w:tc>
        <w:tc>
          <w:tcPr>
            <w:tcW w:w="242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4,591.3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4,172.4</w:t>
            </w:r>
          </w:p>
        </w:tc>
      </w:tr>
      <w:tr>
        <w:trPr>
          <w:trHeight w:val="130"/>
        </w:trPr>
        <w:tc>
          <w:tcPr>
            <w:tcW w:w="7120" w:type="dxa"/>
            <w:vAlign w:val="bottom"/>
          </w:tcPr>
          <w:p>
            <w:pPr>
              <w:spacing w:after="0" w:line="130" w:lineRule="exact"/>
              <w:rPr>
                <w:sz w:val="20"/>
                <w:szCs w:val="20"/>
                <w:color w:val="auto"/>
              </w:rPr>
            </w:pPr>
            <w:r>
              <w:rPr>
                <w:rFonts w:ascii="Arial" w:cs="Arial" w:eastAsia="Arial" w:hAnsi="Arial"/>
                <w:sz w:val="14"/>
                <w:szCs w:val="14"/>
                <w:i w:val="1"/>
                <w:iCs w:val="1"/>
                <w:color w:val="auto"/>
              </w:rPr>
              <w:t>Adjustments to net income attributable to limited partners to derive DCF</w:t>
            </w:r>
          </w:p>
        </w:tc>
        <w:tc>
          <w:tcPr>
            <w:tcW w:w="1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7120" w:type="dxa"/>
            <w:vAlign w:val="bottom"/>
          </w:tcPr>
          <w:p>
            <w:pPr>
              <w:ind w:left="120"/>
              <w:spacing w:after="0"/>
              <w:rPr>
                <w:sz w:val="20"/>
                <w:szCs w:val="20"/>
                <w:color w:val="auto"/>
              </w:rPr>
            </w:pPr>
            <w:r>
              <w:rPr>
                <w:rFonts w:ascii="Arial" w:cs="Arial" w:eastAsia="Arial" w:hAnsi="Arial"/>
                <w:sz w:val="14"/>
                <w:szCs w:val="14"/>
                <w:i w:val="1"/>
                <w:iCs w:val="1"/>
                <w:color w:val="auto"/>
              </w:rPr>
              <w:t>(addition or subtraction indicated by sign):</w:t>
            </w:r>
          </w:p>
        </w:tc>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amortization and accretion expenses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1,949.3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1,791.6</w:t>
            </w:r>
          </w:p>
        </w:tc>
      </w:tr>
      <w:tr>
        <w:trPr>
          <w:trHeight w:val="216"/>
        </w:trPr>
        <w:tc>
          <w:tcPr>
            <w:tcW w:w="7120" w:type="dxa"/>
            <w:vAlign w:val="bottom"/>
          </w:tcPr>
          <w:p>
            <w:pPr>
              <w:ind w:left="180"/>
              <w:spacing w:after="0"/>
              <w:rPr>
                <w:sz w:val="20"/>
                <w:szCs w:val="20"/>
                <w:color w:val="auto"/>
              </w:rPr>
            </w:pPr>
            <w:r>
              <w:rPr>
                <w:rFonts w:ascii="Arial" w:cs="Arial" w:eastAsia="Arial" w:hAnsi="Arial"/>
                <w:sz w:val="14"/>
                <w:szCs w:val="14"/>
                <w:color w:val="auto"/>
              </w:rPr>
              <w:t>Cash distributions received from unconsolidated affiliates (2)</w:t>
            </w: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631.3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529.4</w:t>
            </w:r>
          </w:p>
        </w:tc>
      </w:tr>
      <w:tr>
        <w:trPr>
          <w:trHeight w:val="216"/>
        </w:trPr>
        <w:tc>
          <w:tcPr>
            <w:tcW w:w="7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in income of unconsolidated affiliates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(563.0)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(480.0)</w:t>
            </w:r>
          </w:p>
        </w:tc>
      </w:tr>
      <w:tr>
        <w:trPr>
          <w:trHeight w:val="216"/>
        </w:trPr>
        <w:tc>
          <w:tcPr>
            <w:tcW w:w="7120" w:type="dxa"/>
            <w:vAlign w:val="bottom"/>
          </w:tcPr>
          <w:p>
            <w:pPr>
              <w:ind w:left="180"/>
              <w:spacing w:after="0"/>
              <w:rPr>
                <w:sz w:val="20"/>
                <w:szCs w:val="20"/>
                <w:color w:val="auto"/>
              </w:rPr>
            </w:pPr>
            <w:r>
              <w:rPr>
                <w:rFonts w:ascii="Arial" w:cs="Arial" w:eastAsia="Arial" w:hAnsi="Arial"/>
                <w:sz w:val="14"/>
                <w:szCs w:val="14"/>
                <w:color w:val="auto"/>
              </w:rPr>
              <w:t>Asset impairment and related charges</w:t>
            </w: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132.8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50.5</w:t>
            </w:r>
          </w:p>
        </w:tc>
      </w:tr>
      <w:tr>
        <w:trPr>
          <w:trHeight w:val="216"/>
        </w:trPr>
        <w:tc>
          <w:tcPr>
            <w:tcW w:w="7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fair market value of derivative instruments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17.8</w:t>
            </w:r>
          </w:p>
        </w:tc>
      </w:tr>
      <w:tr>
        <w:trPr>
          <w:trHeight w:val="216"/>
        </w:trPr>
        <w:tc>
          <w:tcPr>
            <w:tcW w:w="7120" w:type="dxa"/>
            <w:vAlign w:val="bottom"/>
          </w:tcPr>
          <w:p>
            <w:pPr>
              <w:ind w:left="180"/>
              <w:spacing w:after="0"/>
              <w:rPr>
                <w:sz w:val="20"/>
                <w:szCs w:val="20"/>
                <w:color w:val="auto"/>
              </w:rPr>
            </w:pPr>
            <w:r>
              <w:rPr>
                <w:rFonts w:ascii="Arial" w:cs="Arial" w:eastAsia="Arial" w:hAnsi="Arial"/>
                <w:sz w:val="14"/>
                <w:szCs w:val="14"/>
                <w:color w:val="auto"/>
              </w:rPr>
              <w:t>Change in fair value of Liquidity Option</w:t>
            </w: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56.1</w:t>
            </w:r>
          </w:p>
        </w:tc>
      </w:tr>
      <w:tr>
        <w:trPr>
          <w:trHeight w:val="216"/>
        </w:trPr>
        <w:tc>
          <w:tcPr>
            <w:tcW w:w="7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 on step acquisition of unconsolidated affiliate</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(39.4)</w:t>
            </w:r>
          </w:p>
        </w:tc>
      </w:tr>
      <w:tr>
        <w:trPr>
          <w:trHeight w:val="216"/>
        </w:trPr>
        <w:tc>
          <w:tcPr>
            <w:tcW w:w="7120" w:type="dxa"/>
            <w:vAlign w:val="bottom"/>
          </w:tcPr>
          <w:p>
            <w:pPr>
              <w:ind w:left="180"/>
              <w:spacing w:after="0"/>
              <w:rPr>
                <w:sz w:val="20"/>
                <w:szCs w:val="20"/>
                <w:color w:val="auto"/>
              </w:rPr>
            </w:pPr>
            <w:r>
              <w:rPr>
                <w:rFonts w:ascii="Arial" w:cs="Arial" w:eastAsia="Arial" w:hAnsi="Arial"/>
                <w:sz w:val="14"/>
                <w:szCs w:val="14"/>
                <w:color w:val="auto"/>
              </w:rPr>
              <w:t>Sustaining capital expenditures (3)</w:t>
            </w: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(325.2)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(320.9)</w:t>
            </w:r>
          </w:p>
        </w:tc>
      </w:tr>
      <w:tr>
        <w:trPr>
          <w:trHeight w:val="223"/>
        </w:trPr>
        <w:tc>
          <w:tcPr>
            <w:tcW w:w="7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17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28.6</w:t>
            </w:r>
          </w:p>
        </w:tc>
      </w:tr>
      <w:tr>
        <w:trPr>
          <w:trHeight w:val="130"/>
        </w:trPr>
        <w:tc>
          <w:tcPr>
            <w:tcW w:w="7120" w:type="dxa"/>
            <w:vAlign w:val="bottom"/>
            <w:tcBorders>
              <w:top w:val="single" w:sz="8" w:color="CCEEFF"/>
            </w:tcBorders>
          </w:tcPr>
          <w:p>
            <w:pPr>
              <w:ind w:left="180"/>
              <w:spacing w:after="0" w:line="130" w:lineRule="exact"/>
              <w:rPr>
                <w:sz w:val="20"/>
                <w:szCs w:val="20"/>
                <w:color w:val="auto"/>
              </w:rPr>
            </w:pPr>
            <w:r>
              <w:rPr>
                <w:rFonts w:ascii="Arial" w:cs="Arial" w:eastAsia="Arial" w:hAnsi="Arial"/>
                <w:sz w:val="14"/>
                <w:szCs w:val="14"/>
                <w:i w:val="1"/>
                <w:iCs w:val="1"/>
                <w:color w:val="auto"/>
              </w:rPr>
              <w:t>Subtotal DCF, before proceeds from asset sales and monetization of interest rate derivative</w:t>
            </w:r>
          </w:p>
        </w:tc>
        <w:tc>
          <w:tcPr>
            <w:tcW w:w="1700" w:type="dxa"/>
            <w:vAlign w:val="bottom"/>
            <w:tcBorders>
              <w:top w:val="single" w:sz="8" w:color="CCEEFF"/>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r>
      <w:tr>
        <w:trPr>
          <w:trHeight w:val="167"/>
        </w:trPr>
        <w:tc>
          <w:tcPr>
            <w:tcW w:w="7120" w:type="dxa"/>
            <w:vAlign w:val="bottom"/>
          </w:tcPr>
          <w:p>
            <w:pPr>
              <w:ind w:left="360"/>
              <w:spacing w:after="0"/>
              <w:rPr>
                <w:sz w:val="20"/>
                <w:szCs w:val="20"/>
                <w:color w:val="auto"/>
              </w:rPr>
            </w:pPr>
            <w:r>
              <w:rPr>
                <w:rFonts w:ascii="Arial" w:cs="Arial" w:eastAsia="Arial" w:hAnsi="Arial"/>
                <w:sz w:val="14"/>
                <w:szCs w:val="14"/>
                <w:i w:val="1"/>
                <w:iCs w:val="1"/>
                <w:color w:val="auto"/>
              </w:rPr>
              <w:t>instruments accounted for as cash flow hedges</w:t>
            </w:r>
          </w:p>
        </w:tc>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85"/>
              </w:rPr>
              <w:t>6,603.3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5,806.1</w:t>
            </w:r>
          </w:p>
        </w:tc>
      </w:tr>
      <w:tr>
        <w:trPr>
          <w:trHeight w:val="216"/>
        </w:trPr>
        <w:tc>
          <w:tcPr>
            <w:tcW w:w="7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asset sales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161.2</w:t>
            </w:r>
          </w:p>
        </w:tc>
      </w:tr>
      <w:tr>
        <w:trPr>
          <w:trHeight w:val="216"/>
        </w:trPr>
        <w:tc>
          <w:tcPr>
            <w:tcW w:w="7120" w:type="dxa"/>
            <w:vAlign w:val="bottom"/>
          </w:tcPr>
          <w:p>
            <w:pPr>
              <w:ind w:left="180"/>
              <w:spacing w:after="0"/>
              <w:rPr>
                <w:sz w:val="20"/>
                <w:szCs w:val="20"/>
                <w:color w:val="auto"/>
              </w:rPr>
            </w:pPr>
            <w:r>
              <w:rPr>
                <w:rFonts w:ascii="Arial" w:cs="Arial" w:eastAsia="Arial" w:hAnsi="Arial"/>
                <w:sz w:val="14"/>
                <w:szCs w:val="14"/>
                <w:color w:val="auto"/>
              </w:rPr>
              <w:t>Monetization of interest rate derivative instruments accounted for as cash flow hedges</w:t>
            </w: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22.1</w:t>
            </w:r>
          </w:p>
        </w:tc>
      </w:tr>
      <w:tr>
        <w:trPr>
          <w:trHeight w:val="27"/>
        </w:trPr>
        <w:tc>
          <w:tcPr>
            <w:tcW w:w="7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7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DCF (non-GAAP)</w:t>
            </w:r>
          </w:p>
        </w:tc>
        <w:tc>
          <w:tcPr>
            <w:tcW w:w="242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6,623.9</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5,989.4</w:t>
            </w:r>
          </w:p>
        </w:tc>
      </w:tr>
      <w:tr>
        <w:trPr>
          <w:trHeight w:val="210"/>
        </w:trPr>
        <w:tc>
          <w:tcPr>
            <w:tcW w:w="71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Cash distributions paid to limited partners with respect to period</w:t>
            </w:r>
          </w:p>
        </w:tc>
        <w:tc>
          <w:tcPr>
            <w:tcW w:w="242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3,887.0</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3,777.1</w:t>
            </w:r>
          </w:p>
        </w:tc>
      </w:tr>
      <w:tr>
        <w:trPr>
          <w:trHeight w:val="210"/>
        </w:trPr>
        <w:tc>
          <w:tcPr>
            <w:tcW w:w="71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Cash distribution per unit declared by Enterprise GP with respect to period (4)</w:t>
            </w:r>
          </w:p>
        </w:tc>
        <w:tc>
          <w:tcPr>
            <w:tcW w:w="242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3"/>
              </w:rPr>
              <w:t>1.7650</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1.7250</w:t>
            </w:r>
          </w:p>
        </w:tc>
      </w:tr>
      <w:tr>
        <w:trPr>
          <w:trHeight w:val="210"/>
        </w:trPr>
        <w:tc>
          <w:tcPr>
            <w:tcW w:w="71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Total DCF retained by partnership with respect to period (5)</w:t>
            </w:r>
          </w:p>
        </w:tc>
        <w:tc>
          <w:tcPr>
            <w:tcW w:w="242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2,736.9</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2,212.3</w:t>
            </w:r>
          </w:p>
        </w:tc>
      </w:tr>
      <w:tr>
        <w:trPr>
          <w:trHeight w:val="210"/>
        </w:trPr>
        <w:tc>
          <w:tcPr>
            <w:tcW w:w="71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Distribution coverage ratio (6)</w:t>
            </w:r>
          </w:p>
        </w:tc>
        <w:tc>
          <w:tcPr>
            <w:tcW w:w="17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1.70x</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1.59x</w:t>
            </w:r>
          </w:p>
        </w:tc>
      </w:tr>
      <w:tr>
        <w:trPr>
          <w:trHeight w:val="20"/>
        </w:trPr>
        <w:tc>
          <w:tcPr>
            <w:tcW w:w="71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For a discussion of the primary drivers of changes in our comparative income statement amounts, see “Income Statement Highlights” within this Part II, Item 7.</w:t>
      </w:r>
    </w:p>
    <w:p>
      <w:pPr>
        <w:ind w:left="500" w:hanging="492"/>
        <w:spacing w:after="0" w:line="221" w:lineRule="auto"/>
        <w:tabs>
          <w:tab w:leader="none" w:pos="5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Reflects both distributions received on earnings from unconsolidated affiliates and those attributable to a return of capital from unconsolidated affiliates.</w:t>
      </w:r>
    </w:p>
    <w:p>
      <w:pPr>
        <w:ind w:left="500" w:hanging="492"/>
        <w:spacing w:after="0" w:line="221" w:lineRule="auto"/>
        <w:tabs>
          <w:tab w:leader="none" w:pos="5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Sustaining capital expenditures include cash payments and accruals applicable to the period.</w:t>
      </w:r>
    </w:p>
    <w:p>
      <w:pPr>
        <w:ind w:left="500" w:hanging="492"/>
        <w:spacing w:after="0" w:line="221" w:lineRule="auto"/>
        <w:tabs>
          <w:tab w:leader="none" w:pos="5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See Note 8 of the Notes to Consolidated Financial Statements included under Part II, Item 8 of this annual report for additional information regarding our quarterly cash distributions declared with respect to the years indicated.</w:t>
      </w:r>
    </w:p>
    <w:p>
      <w:pPr>
        <w:ind w:left="500" w:hanging="492"/>
        <w:spacing w:after="0" w:line="221" w:lineRule="auto"/>
        <w:tabs>
          <w:tab w:leader="none" w:pos="5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At the sole discretion of Enterprise GP, cash retained by the partnership with respect to each of these periods was primarily reinvested in growth capital projects. This retainage of cash substantially reduced our reliance on the equity capital markets to fund such expenditures.</w:t>
      </w:r>
    </w:p>
    <w:p>
      <w:pPr>
        <w:ind w:left="500" w:hanging="492"/>
        <w:spacing w:after="0"/>
        <w:tabs>
          <w:tab w:leader="none" w:pos="5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Distribution coverage ratio is determined by dividing DCF by total cash distributions paid to limited partners and in connection with distribution equivalent rights with respect to the period.</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net cash flows provided by operating activities to DCF for the years indicated (dollars in millions):</w:t>
      </w:r>
    </w:p>
    <w:p>
      <w:pPr>
        <w:spacing w:after="0" w:line="255"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For the Year Ended</w:t>
      </w:r>
    </w:p>
    <w:p>
      <w:pPr>
        <w:spacing w:after="0" w:line="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-3175</wp:posOffset>
            </wp:positionV>
            <wp:extent cx="158623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8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Net cash flows provided by operating activities (GAAP)</w:t>
            </w:r>
          </w:p>
        </w:tc>
        <w:tc>
          <w:tcPr>
            <w:tcW w:w="720" w:type="dxa"/>
            <w:vAlign w:val="bottom"/>
            <w:shd w:val="clear" w:color="auto" w:fill="CCEEFF"/>
          </w:tcPr>
          <w:p>
            <w:pPr>
              <w:jc w:val="right"/>
              <w:ind w:right="602"/>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6,520.5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6,126.3</w:t>
            </w:r>
          </w:p>
        </w:tc>
      </w:tr>
      <w:tr>
        <w:trPr>
          <w:trHeight w:val="216"/>
        </w:trPr>
        <w:tc>
          <w:tcPr>
            <w:tcW w:w="8820" w:type="dxa"/>
            <w:vAlign w:val="bottom"/>
          </w:tcPr>
          <w:p>
            <w:pPr>
              <w:spacing w:after="0"/>
              <w:rPr>
                <w:sz w:val="20"/>
                <w:szCs w:val="20"/>
                <w:color w:val="auto"/>
              </w:rPr>
            </w:pPr>
            <w:r>
              <w:rPr>
                <w:rFonts w:ascii="Arial" w:cs="Arial" w:eastAsia="Arial" w:hAnsi="Arial"/>
                <w:sz w:val="14"/>
                <w:szCs w:val="14"/>
                <w:i w:val="1"/>
                <w:iCs w:val="1"/>
                <w:color w:val="auto"/>
              </w:rPr>
              <w:t>Adjustments to reconcile net cash flows provided by operating activities to DCF (addition or subtraction indicated by sign):</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effect of changes in operating accounts</w:t>
            </w: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(16.2)</w:t>
            </w:r>
          </w:p>
        </w:tc>
      </w:tr>
      <w:tr>
        <w:trPr>
          <w:trHeight w:val="216"/>
        </w:trPr>
        <w:tc>
          <w:tcPr>
            <w:tcW w:w="8820" w:type="dxa"/>
            <w:vAlign w:val="bottom"/>
          </w:tcPr>
          <w:p>
            <w:pPr>
              <w:ind w:left="160"/>
              <w:spacing w:after="0"/>
              <w:rPr>
                <w:sz w:val="20"/>
                <w:szCs w:val="20"/>
                <w:color w:val="auto"/>
              </w:rPr>
            </w:pPr>
            <w:r>
              <w:rPr>
                <w:rFonts w:ascii="Arial" w:cs="Arial" w:eastAsia="Arial" w:hAnsi="Arial"/>
                <w:sz w:val="14"/>
                <w:szCs w:val="14"/>
                <w:color w:val="auto"/>
              </w:rPr>
              <w:t>Sustaining capital expenditures</w:t>
            </w:r>
          </w:p>
        </w:tc>
        <w:tc>
          <w:tcPr>
            <w:tcW w:w="7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(325.2)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(320.9)</w:t>
            </w:r>
          </w:p>
        </w:tc>
      </w:tr>
      <w:tr>
        <w:trPr>
          <w:trHeight w:val="216"/>
        </w:trPr>
        <w:tc>
          <w:tcPr>
            <w:tcW w:w="8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Distributions received for return of capital from unconsolidated affiliates</w:t>
            </w: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w:t>
            </w:r>
          </w:p>
        </w:tc>
      </w:tr>
      <w:tr>
        <w:trPr>
          <w:trHeight w:val="216"/>
        </w:trPr>
        <w:tc>
          <w:tcPr>
            <w:tcW w:w="8820" w:type="dxa"/>
            <w:vAlign w:val="bottom"/>
          </w:tcPr>
          <w:p>
            <w:pPr>
              <w:ind w:left="160"/>
              <w:spacing w:after="0"/>
              <w:rPr>
                <w:sz w:val="20"/>
                <w:szCs w:val="20"/>
                <w:color w:val="auto"/>
              </w:rPr>
            </w:pPr>
            <w:r>
              <w:rPr>
                <w:rFonts w:ascii="Arial" w:cs="Arial" w:eastAsia="Arial" w:hAnsi="Arial"/>
                <w:sz w:val="14"/>
                <w:szCs w:val="14"/>
                <w:color w:val="auto"/>
              </w:rPr>
              <w:t>Proceeds from asset sales</w:t>
            </w:r>
          </w:p>
        </w:tc>
        <w:tc>
          <w:tcPr>
            <w:tcW w:w="7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20.6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161.2</w:t>
            </w:r>
          </w:p>
        </w:tc>
      </w:tr>
      <w:tr>
        <w:trPr>
          <w:trHeight w:val="216"/>
        </w:trPr>
        <w:tc>
          <w:tcPr>
            <w:tcW w:w="8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 attributable to noncontrolling interest</w:t>
            </w: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(66.1)</w:t>
            </w:r>
          </w:p>
        </w:tc>
      </w:tr>
      <w:tr>
        <w:trPr>
          <w:trHeight w:val="216"/>
        </w:trPr>
        <w:tc>
          <w:tcPr>
            <w:tcW w:w="8820" w:type="dxa"/>
            <w:vAlign w:val="bottom"/>
          </w:tcPr>
          <w:p>
            <w:pPr>
              <w:ind w:left="160"/>
              <w:spacing w:after="0"/>
              <w:rPr>
                <w:sz w:val="20"/>
                <w:szCs w:val="20"/>
                <w:color w:val="auto"/>
              </w:rPr>
            </w:pPr>
            <w:r>
              <w:rPr>
                <w:rFonts w:ascii="Arial" w:cs="Arial" w:eastAsia="Arial" w:hAnsi="Arial"/>
                <w:sz w:val="14"/>
                <w:szCs w:val="14"/>
                <w:color w:val="auto"/>
              </w:rPr>
              <w:t>Monetization of interest rate derivative instruments accounted for as cash flow hedges</w:t>
            </w:r>
          </w:p>
        </w:tc>
        <w:tc>
          <w:tcPr>
            <w:tcW w:w="7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22.1</w:t>
            </w:r>
          </w:p>
        </w:tc>
      </w:tr>
      <w:tr>
        <w:trPr>
          <w:trHeight w:val="216"/>
        </w:trPr>
        <w:tc>
          <w:tcPr>
            <w:tcW w:w="8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net</w:t>
            </w: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33.0</w:t>
            </w:r>
          </w:p>
        </w:tc>
      </w:tr>
      <w:tr>
        <w:trPr>
          <w:trHeight w:val="27"/>
        </w:trPr>
        <w:tc>
          <w:tcPr>
            <w:tcW w:w="88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4"/>
                <w:szCs w:val="14"/>
                <w:color w:val="auto"/>
              </w:rPr>
              <w:t>DCF (non-GAAP)</w:t>
            </w:r>
          </w:p>
        </w:tc>
        <w:tc>
          <w:tcPr>
            <w:tcW w:w="720" w:type="dxa"/>
            <w:vAlign w:val="bottom"/>
          </w:tcPr>
          <w:p>
            <w:pPr>
              <w:jc w:val="right"/>
              <w:ind w:right="602"/>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85"/>
              </w:rPr>
              <w:t>6,623.9</w:t>
            </w:r>
          </w:p>
        </w:tc>
        <w:tc>
          <w:tcPr>
            <w:tcW w:w="14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5,989.4</w:t>
            </w:r>
          </w:p>
        </w:tc>
      </w:tr>
      <w:tr>
        <w:trPr>
          <w:trHeight w:val="21"/>
        </w:trPr>
        <w:tc>
          <w:tcPr>
            <w:tcW w:w="88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Free Cash Flow</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Free Cash Flow (“FCF”), a non-GAAP financial measure, is a traditional cash flow metric that is widely used by a variety of investors and other participants in the financial community, as opposed to DCF, which is a cash flow measure primarily used by investors and others in evaluating master limited partnerships. In general, FCF is a measure of how much cash flow a business generates during a specified time period after accounting for all capital investments, including expenditures for growth and sustaining capital projects. By comparison, only sustaining capital expenditures are reflected in DCF.</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FCF is important to traditional investors since it reflects the amount of cash available for reducing debt, investing in additional capital projects, paying distributions, common unit repurchases and similar matters. Since business partners fund certain capital projects of our consolidated subsidiaries, our determination of FCF reflects the amount of cash contributed from and distributed to noncontrolling interests. Our calculation of FCF may or may not be comparable to similarly titled measures used by other companies.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use of FCF for the limited purposes described above and in this report is not a substitute for net cash flows provided by operating activities, which is the most comparable GAAP measure.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FCF fluctuates based on our earnings, the level of investing activities we undertake each period, and the timing of operating cash receipts and payments. The following table summarizes our calculation of FCF for the years indicated (dollars in millions):</w:t>
      </w:r>
    </w:p>
    <w:p>
      <w:pPr>
        <w:spacing w:after="0" w:line="189"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For the Year Ended</w:t>
      </w:r>
    </w:p>
    <w:p>
      <w:pPr>
        <w:spacing w:after="0" w:line="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-3175</wp:posOffset>
            </wp:positionV>
            <wp:extent cx="158623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Net cash flows provided by operating activities (GAAP)</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6,520.5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6,126.3</w:t>
            </w:r>
          </w:p>
        </w:tc>
      </w:tr>
      <w:tr>
        <w:trPr>
          <w:trHeight w:val="130"/>
        </w:trPr>
        <w:tc>
          <w:tcPr>
            <w:tcW w:w="8820" w:type="dxa"/>
            <w:vAlign w:val="bottom"/>
          </w:tcPr>
          <w:p>
            <w:pPr>
              <w:spacing w:after="0" w:line="130" w:lineRule="exact"/>
              <w:rPr>
                <w:sz w:val="20"/>
                <w:szCs w:val="20"/>
                <w:color w:val="auto"/>
              </w:rPr>
            </w:pPr>
            <w:r>
              <w:rPr>
                <w:rFonts w:ascii="Arial" w:cs="Arial" w:eastAsia="Arial" w:hAnsi="Arial"/>
                <w:sz w:val="14"/>
                <w:szCs w:val="14"/>
                <w:i w:val="1"/>
                <w:iCs w:val="1"/>
                <w:color w:val="auto"/>
              </w:rPr>
              <w:t>Adjustments to net cash flows provided by operating activities to derive FCF</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8820" w:type="dxa"/>
            <w:vAlign w:val="bottom"/>
          </w:tcPr>
          <w:p>
            <w:pPr>
              <w:spacing w:after="0"/>
              <w:rPr>
                <w:sz w:val="20"/>
                <w:szCs w:val="20"/>
                <w:color w:val="auto"/>
              </w:rPr>
            </w:pPr>
            <w:r>
              <w:rPr>
                <w:rFonts w:ascii="Arial" w:cs="Arial" w:eastAsia="Arial" w:hAnsi="Arial"/>
                <w:sz w:val="14"/>
                <w:szCs w:val="14"/>
                <w:i w:val="1"/>
                <w:iCs w:val="1"/>
                <w:color w:val="auto"/>
              </w:rPr>
              <w:t>(addition or subtraction indicated by sign):</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8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used in investing activities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(4,575.5)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(4,281.6)</w:t>
            </w:r>
          </w:p>
        </w:tc>
      </w:tr>
      <w:tr>
        <w:trPr>
          <w:trHeight w:val="216"/>
        </w:trPr>
        <w:tc>
          <w:tcPr>
            <w:tcW w:w="8820" w:type="dxa"/>
            <w:vAlign w:val="bottom"/>
          </w:tcPr>
          <w:p>
            <w:pPr>
              <w:ind w:left="120"/>
              <w:spacing w:after="0"/>
              <w:rPr>
                <w:sz w:val="20"/>
                <w:szCs w:val="20"/>
                <w:color w:val="auto"/>
              </w:rPr>
            </w:pPr>
            <w:r>
              <w:rPr>
                <w:rFonts w:ascii="Arial" w:cs="Arial" w:eastAsia="Arial" w:hAnsi="Arial"/>
                <w:sz w:val="14"/>
                <w:szCs w:val="14"/>
                <w:color w:val="auto"/>
              </w:rPr>
              <w:t>Cash contributions from noncontrolling interests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632.8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238.1</w:t>
            </w:r>
          </w:p>
        </w:tc>
      </w:tr>
      <w:tr>
        <w:trPr>
          <w:trHeight w:val="216"/>
        </w:trPr>
        <w:tc>
          <w:tcPr>
            <w:tcW w:w="8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distributions paid to noncontrolling interests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(81.6)</w:t>
            </w:r>
          </w:p>
        </w:tc>
      </w:tr>
      <w:tr>
        <w:trPr>
          <w:trHeight w:val="27"/>
        </w:trPr>
        <w:tc>
          <w:tcPr>
            <w:tcW w:w="8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4"/>
                <w:szCs w:val="14"/>
                <w:color w:val="auto"/>
              </w:rPr>
              <w:t>FCF (non-GAAP)</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2,471.6</w:t>
            </w:r>
          </w:p>
        </w:tc>
        <w:tc>
          <w:tcPr>
            <w:tcW w:w="14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2,001.2</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elements used in calculating FCF are sourced directly from our statements of consolidated cash flows presented under Part II, Item 8 of this annual report. For a discussion of significant year-to-year changes in our cash flow statement amounts, see “Cash Flow Statement Highlights” within this Part II, Item 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Investments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important part of our business strategy involves expansion through growth capital projects, business combinations, asset acquisitions, and investments in joint ventures. We believe that we are well positioned to continue to expand our network of assets through the construction of new facilities and to capitalize on expected increases in natural gas, NGL and crude oil production resulting from development activities in the Permian Basin, Eagle Ford, Haynesville and other domestic shale plays. Although our focus in recent years has been on expansion through growth capital projects, management continues to analyze potential business combinations, asset acquisitions, joint ventures and similar transactions with businesses that operate in complementary markets or geographic regions.</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placed $5.4 billion of major growth capital projects into service during 2019, including Shin Oak, Midland-to-ECHO 2 pipeline, iBDH facility, Mentone I, Bulldog natural gas plant at our Carthage processing facility, expansion of LPG loading capacity at EHT, and our Morgan’s Point ethylene export terminal. At February 1, 2020, we had $7.7 billion of growth capital projects scheduled to be completed by the end of 2023 including the following major projects:</w:t>
      </w:r>
    </w:p>
    <w:p>
      <w:pPr>
        <w:spacing w:after="0" w:line="174" w:lineRule="exact"/>
        <w:rPr>
          <w:sz w:val="20"/>
          <w:szCs w:val="20"/>
          <w:color w:val="auto"/>
        </w:rPr>
      </w:pPr>
    </w:p>
    <w:p>
      <w:pPr>
        <w:ind w:left="420" w:hanging="250"/>
        <w:spacing w:after="0"/>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two NGL fractionators in Chambers County, Texas (“Frac X,” first quarter of 2020; “Frac XI,” third quarter of 2020),</w:t>
      </w:r>
    </w:p>
    <w:p>
      <w:pPr>
        <w:spacing w:after="0" w:line="252" w:lineRule="exact"/>
        <w:rPr>
          <w:rFonts w:ascii="Arial" w:cs="Arial" w:eastAsia="Arial" w:hAnsi="Arial"/>
          <w:sz w:val="18"/>
          <w:szCs w:val="18"/>
          <w:color w:val="auto"/>
        </w:rPr>
      </w:pPr>
    </w:p>
    <w:p>
      <w:pPr>
        <w:ind w:left="420" w:hanging="250"/>
        <w:spacing w:after="0"/>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expansion of our Texas Express Pipeline and Front Range Pipeline (second quarter of 2020):</w:t>
      </w:r>
    </w:p>
    <w:p>
      <w:pPr>
        <w:spacing w:after="0" w:line="252" w:lineRule="exact"/>
        <w:rPr>
          <w:rFonts w:ascii="Arial" w:cs="Arial" w:eastAsia="Arial" w:hAnsi="Arial"/>
          <w:sz w:val="18"/>
          <w:szCs w:val="18"/>
          <w:color w:val="auto"/>
        </w:rPr>
      </w:pPr>
    </w:p>
    <w:p>
      <w:pPr>
        <w:ind w:left="420" w:hanging="250"/>
        <w:spacing w:after="0"/>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Midland-to-ECHO 3 pipeline (third through fourth quarters of 2020),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20" w:hanging="250"/>
        <w:spacing w:after="0"/>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expansion of our natural gas pipelines in northeast Texas in support of our Carthage natural gas processing facility (third quarter of 2020),</w:t>
      </w:r>
    </w:p>
    <w:p>
      <w:pPr>
        <w:spacing w:after="0" w:line="252" w:lineRule="exact"/>
        <w:rPr>
          <w:rFonts w:ascii="Arial" w:cs="Arial" w:eastAsia="Arial" w:hAnsi="Arial"/>
          <w:sz w:val="18"/>
          <w:szCs w:val="18"/>
          <w:color w:val="auto"/>
        </w:rPr>
      </w:pPr>
    </w:p>
    <w:p>
      <w:pPr>
        <w:ind w:left="420" w:hanging="250"/>
        <w:spacing w:after="0"/>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completion of the Baymark ethylene pipeline in South Texas (fourth quarter of 2020),</w:t>
      </w:r>
    </w:p>
    <w:p>
      <w:pPr>
        <w:spacing w:after="0" w:line="252" w:lineRule="exact"/>
        <w:rPr>
          <w:rFonts w:ascii="Arial" w:cs="Arial" w:eastAsia="Arial" w:hAnsi="Arial"/>
          <w:sz w:val="18"/>
          <w:szCs w:val="18"/>
          <w:color w:val="auto"/>
        </w:rPr>
      </w:pPr>
    </w:p>
    <w:p>
      <w:pPr>
        <w:ind w:left="420" w:hanging="250"/>
        <w:spacing w:after="0"/>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eighth deep-water ship dock at EHT for loading crude oil (fourth quarter of 2020),</w:t>
      </w:r>
    </w:p>
    <w:p>
      <w:pPr>
        <w:spacing w:after="0" w:line="252" w:lineRule="exact"/>
        <w:rPr>
          <w:rFonts w:ascii="Arial" w:cs="Arial" w:eastAsia="Arial" w:hAnsi="Arial"/>
          <w:sz w:val="18"/>
          <w:szCs w:val="18"/>
          <w:color w:val="auto"/>
        </w:rPr>
      </w:pPr>
    </w:p>
    <w:p>
      <w:pPr>
        <w:ind w:left="420" w:hanging="250"/>
        <w:spacing w:after="0"/>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expansion of our ethylene export capabilities at Morgan’s Point (fourth quarter of 2020),</w:t>
      </w:r>
    </w:p>
    <w:p>
      <w:pPr>
        <w:spacing w:after="0" w:line="252" w:lineRule="exact"/>
        <w:rPr>
          <w:rFonts w:ascii="Arial" w:cs="Arial" w:eastAsia="Arial" w:hAnsi="Arial"/>
          <w:sz w:val="18"/>
          <w:szCs w:val="18"/>
          <w:color w:val="auto"/>
        </w:rPr>
      </w:pPr>
    </w:p>
    <w:p>
      <w:pPr>
        <w:ind w:left="420" w:hanging="250"/>
        <w:spacing w:after="0"/>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Midland-to-ECHO 4 pipeline (second quarter of 2021),</w:t>
      </w:r>
    </w:p>
    <w:p>
      <w:pPr>
        <w:spacing w:after="0" w:line="252" w:lineRule="exact"/>
        <w:rPr>
          <w:rFonts w:ascii="Arial" w:cs="Arial" w:eastAsia="Arial" w:hAnsi="Arial"/>
          <w:sz w:val="18"/>
          <w:szCs w:val="18"/>
          <w:color w:val="auto"/>
        </w:rPr>
      </w:pPr>
    </w:p>
    <w:p>
      <w:pPr>
        <w:ind w:left="420" w:hanging="250"/>
        <w:spacing w:after="0"/>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expansion of our LPG and PGP export capabilities at EHT (second half of 2021),</w:t>
      </w:r>
    </w:p>
    <w:p>
      <w:pPr>
        <w:spacing w:after="0" w:line="252" w:lineRule="exact"/>
        <w:rPr>
          <w:rFonts w:ascii="Arial" w:cs="Arial" w:eastAsia="Arial" w:hAnsi="Arial"/>
          <w:sz w:val="18"/>
          <w:szCs w:val="18"/>
          <w:color w:val="auto"/>
        </w:rPr>
      </w:pPr>
    </w:p>
    <w:p>
      <w:pPr>
        <w:ind w:left="420" w:hanging="250"/>
        <w:spacing w:after="0"/>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expansion and extension of Acadian Gas System (Gillis Lateral and related projects) (third quarter of 2021),</w:t>
      </w:r>
    </w:p>
    <w:p>
      <w:pPr>
        <w:spacing w:after="0" w:line="252" w:lineRule="exact"/>
        <w:rPr>
          <w:rFonts w:ascii="Arial" w:cs="Arial" w:eastAsia="Arial" w:hAnsi="Arial"/>
          <w:sz w:val="18"/>
          <w:szCs w:val="18"/>
          <w:color w:val="auto"/>
        </w:rPr>
      </w:pPr>
    </w:p>
    <w:p>
      <w:pPr>
        <w:ind w:left="420" w:hanging="250"/>
        <w:spacing w:after="0"/>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addition of incremental capacity at our isomerization facility (first quarter of 2022),</w:t>
      </w:r>
    </w:p>
    <w:p>
      <w:pPr>
        <w:spacing w:after="0" w:line="252" w:lineRule="exact"/>
        <w:rPr>
          <w:rFonts w:ascii="Arial" w:cs="Arial" w:eastAsia="Arial" w:hAnsi="Arial"/>
          <w:sz w:val="18"/>
          <w:szCs w:val="18"/>
          <w:color w:val="auto"/>
        </w:rPr>
      </w:pPr>
    </w:p>
    <w:p>
      <w:pPr>
        <w:ind w:left="420" w:hanging="250"/>
        <w:spacing w:after="0"/>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construction of our PDH 2 facility (first quarter of 2023).</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Based on information currently available, we expect our total capital investments for 2020 to approximate $3.4 billion to $4.4 billion, which reflects growth capital investments of $3.0 billion to $4.0 billion and approximately $400 million for sustaining capital expenditures. For 2021, we anticipate our total capital investments in growth capital projects to approximate $2.0 billion to $3.0 billion. Our forecast of capital investments for 2020 and 2021 is based on announced strategic operating and growth plans (through the filing date of this annual report), which are dependent upon our ability to generate the required funds from either operating cash flows or other means, including borrowings under debt agreements, the issuance of additional equity and debt securities, and potential divestitures. We may revise our forecast of capital investments due to factors beyond our control, such as adverse economic conditions, weather-related issues and changes in supplier prices. Furthermore, our forecast of capital investments may change due to decisions made by management at a later date, which may include unforeseen acquisition opportunities.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in raising capital, including partnering with other companies to share project costs and risks, continues to be a significant factor in determining how much capital we can invest. We believe our access to capital resources is sufficient to meet the demands of our current and future growth needs and, although we expect to make the forecast capital investments noted above, we may adjust the timing and amounts of projected expenditures in response to changes in capital market conditions.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capital investments for the years indicated (dollars in millions):</w:t>
      </w:r>
    </w:p>
    <w:p>
      <w:pPr>
        <w:spacing w:after="0" w:line="24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For the Year Ended</w:t>
      </w:r>
    </w:p>
    <w:p>
      <w:pPr>
        <w:spacing w:after="0" w:line="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-3175</wp:posOffset>
            </wp:positionV>
            <wp:extent cx="158623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20" w:type="dxa"/>
            <w:vAlign w:val="bottom"/>
          </w:tcPr>
          <w:p>
            <w:pPr>
              <w:spacing w:after="0"/>
              <w:rPr>
                <w:sz w:val="15"/>
                <w:szCs w:val="15"/>
                <w:color w:val="auto"/>
              </w:rPr>
            </w:pPr>
          </w:p>
        </w:tc>
        <w:tc>
          <w:tcPr>
            <w:tcW w:w="3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4"/>
                <w:szCs w:val="14"/>
                <w:b w:val="1"/>
                <w:bCs w:val="1"/>
                <w:color w:val="auto"/>
              </w:rPr>
              <w:t xml:space="preserve">Capital investments for property, plant and equipment: </w:t>
            </w:r>
            <w:r>
              <w:rPr>
                <w:rFonts w:ascii="Arial" w:cs="Arial" w:eastAsia="Arial" w:hAnsi="Arial"/>
                <w:sz w:val="14"/>
                <w:szCs w:val="14"/>
                <w:color w:val="auto"/>
              </w:rPr>
              <w:t>(1)</w:t>
            </w:r>
          </w:p>
        </w:tc>
        <w:tc>
          <w:tcPr>
            <w:tcW w:w="26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Growth capital projects (2)</w:t>
            </w:r>
          </w:p>
        </w:tc>
        <w:tc>
          <w:tcPr>
            <w:tcW w:w="332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4,208.1</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3,902.3</w:t>
            </w:r>
          </w:p>
        </w:tc>
      </w:tr>
      <w:tr>
        <w:trPr>
          <w:trHeight w:val="216"/>
        </w:trPr>
        <w:tc>
          <w:tcPr>
            <w:tcW w:w="6220" w:type="dxa"/>
            <w:vAlign w:val="bottom"/>
          </w:tcPr>
          <w:p>
            <w:pPr>
              <w:ind w:left="120"/>
              <w:spacing w:after="0"/>
              <w:rPr>
                <w:sz w:val="20"/>
                <w:szCs w:val="20"/>
                <w:color w:val="auto"/>
              </w:rPr>
            </w:pPr>
            <w:r>
              <w:rPr>
                <w:rFonts w:ascii="Arial" w:cs="Arial" w:eastAsia="Arial" w:hAnsi="Arial"/>
                <w:sz w:val="14"/>
                <w:szCs w:val="14"/>
                <w:color w:val="auto"/>
              </w:rPr>
              <w:t>Sustaining capital projects (3)</w:t>
            </w: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323.6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320.9</w:t>
            </w:r>
          </w:p>
        </w:tc>
      </w:tr>
      <w:tr>
        <w:trPr>
          <w:trHeight w:val="27"/>
        </w:trPr>
        <w:tc>
          <w:tcPr>
            <w:tcW w:w="62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6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332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4,531.7</w:t>
            </w: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4,223.2</w:t>
            </w:r>
          </w:p>
        </w:tc>
      </w:tr>
      <w:tr>
        <w:trPr>
          <w:trHeight w:val="210"/>
        </w:trPr>
        <w:tc>
          <w:tcPr>
            <w:tcW w:w="622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6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used for business combinations, net</w:t>
            </w:r>
          </w:p>
        </w:tc>
        <w:tc>
          <w:tcPr>
            <w:tcW w:w="332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150.6</w:t>
            </w:r>
          </w:p>
        </w:tc>
      </w:tr>
      <w:tr>
        <w:trPr>
          <w:trHeight w:val="210"/>
        </w:trPr>
        <w:tc>
          <w:tcPr>
            <w:tcW w:w="622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6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Investments in unconsolidated affiliates</w:t>
            </w:r>
          </w:p>
        </w:tc>
        <w:tc>
          <w:tcPr>
            <w:tcW w:w="332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111.6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113.6</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Growth and sustaining capital amounts presented in the table above are presented on a cash basis.</w:t>
      </w:r>
    </w:p>
    <w:p>
      <w:pPr>
        <w:ind w:left="500" w:hanging="492"/>
        <w:spacing w:after="0" w:line="221" w:lineRule="auto"/>
        <w:tabs>
          <w:tab w:leader="none" w:pos="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Growth capital projects either (a) result in new sources of cash flow due to enhancements of or additions to existing assets (e.g., additional revenue streams, cost savings resulting from debottlenecking of a facility, etc.) or (b) expand our asset base through construction of new facilities that will generate additional revenue streams and cash flows.</w:t>
      </w:r>
    </w:p>
    <w:p>
      <w:pPr>
        <w:ind w:left="500" w:hanging="492"/>
        <w:spacing w:after="0" w:line="237" w:lineRule="auto"/>
        <w:tabs>
          <w:tab w:leader="none" w:pos="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Sustaining capital expenditures are capital expenditures (as defined by GAAP) resulting from improvements to existing assets. Such expenditures serve to maintain existing operations but do not generate additional revenues or result in significant cost savings.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Fluctuations in our investments in growth capital projects and investments in unconsolidated affiliates are explained in large part by increases or decreases in expenditures for major expansion projects. Our most significant growth capital investments for the year ended December 31, 2019 involve projects at our Mont Belvieu complex, crude oil pipelines in Texas and expansion projects involving our Gulf Coast export terminals. Fluctuations in investments in sustaining capital projects are explained in large part by the timing and cost of pipeline integrity and similar projects.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Investments in growth capital projects at our Mont Belvieu complex increased $623.5 million year-to-year primarily due to construction activities surrounding Frac X and Frac XI, which accounted for a combined $479.0 million increase, our iBDH facility, which accounted for a $115.1 million increase, and expansion projects involving our DIBs, which accounted for an additional $87.2 million increase, partially offset by lower expenditures attributable to PDH 1 and Frac IX, which accounted for a combined $185.3 million decrease. PDH 1 and Frac IX were both placed into service during the second quarter of 2018. We placed our iBDH facility into service in December 2019.</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Investments in growth capital projects related to our ethylene business (e.g., pipelines, storage facilities and export terminal) increased $207.4 million year-to-year.</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Investments in growth capital projects in support of Permian Basin production decreased $532.1 million year-to-year primarily due to completion of Shin Oak, which accounted for a $524.4 million decrease, and Orla natural gas processing facility, which accounted for an additional $358.4 million decrease, partially offset by increased expenditures for the construction of Mentone I, which accounted for a $249.6 million increase. Shin Oak entered limited service in February 2019, with full capacity available in December 2019. Orla III entered service in July 2019 and Mentone I commenced operations in December 2019.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for business combinations during 2018 reflects our acquisition of a 50% member interest in Delaware Processing in March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our financial reporting processes, we employ methods, estimates and assumptions that affect the reported amounts of assets and liabilities and disclosure of contingent assets and liabilities as of the date of our financial statements. These methods, estimates and assumptions also affect the reported amounts of revenues and expenses for each reporting period. Investors should be aware that actual results could differ from these estimates if the underlying assumptions prove to be incorrect. The following sections discuss the use of estimates within our critical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Methods and Estimated Useful Lives of Property, Plant and Equipment</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general, depreciation is the systematic and rational allocation of an asset’s cost, less its residual value (if any), to the periods it benefits. The majority of our property, plant and equipment is depreciated using the straight-line method, which results in depreciation expense being incurred evenly over the life of an asset. Depreciation expense incorporates management estimates regarding the useful economic lives and residual values of our assets. At the time we place our assets into service, we believe such assumptions are reasonable; however, circumstances may develop that cause us to change these assumptions, which would change our depreciation amounts prospectively. Examples of such circumstances include (i) changes in laws and regulations that limit the estimated economic life of an asset, (ii) changes in technology that render an asset obsolete, (iii) changes in expected salvage values or (iv) significant changes in our forecast of the remaining life for the associated resource basins, if applicable.</w:t>
      </w:r>
    </w:p>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December 31, 2019 and 2018, the net carrying value of our property, plant and equipment was $41.6 billion and $38.74 billion, respectively. We recorded $1.56 billion and $1.44 billion of depreciation expense for the years ended December 31, 2019 and 2018, respectively. For additional information regarding our property, plant and equipment, see Note 4 of the Notes to Consolidated Financial Statements included under Part II, Item 8 of this annual report.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Measuring Recoverability of Long-Lived Assets and Fair Value of Equity Method Investments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Long-lived assets, which consist of intangible assets with finite useful lives and property, plant and equipment, are reviewed for impairment whenever events or changes in circumstances indicate that the carrying amount of such assets may not be recoverable through future cash flows. Examples of such events or changes might be production declines that are not replaced by new discoveries or long-term decreases in the demand or price of natural gas, NGLs, crude oil, petrochemicals or refined products.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carrying value of a long-lived asset is deemed not recoverable if it exceeds the sum of undiscounted estimated cash flows expected to result from the use and eventual disposition of the asset. Estimates of undiscounted cash flows are based on a number of assumptions including anticipated operating margins and volumes; estimated useful life of the asset or asset group; and estimated residual values. If the carrying value of a long-lived asset is not recoverable, an impairment charge would be recorded for the excess of the asset’s carrying value over its estimated fair value, which is derived from an analysis of the asset’s estimated future cash flows, the market value of similar assets and replacement cost of the asset less any applicable depreciation or amortization. In addition, fair value estimates also include the usage of probabilities when there is a range of possible outcomes.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evaluate our equity method investments for impairment when there are events or changes in circumstances that indicate there is a potential loss in value of the investment attributable to an other than temporary decline. Examples of such events or changes in circumstances include continuing operating losses of the entity and/or long-term negative changes in the entity’s industry. In the event we determine that the value of an investment is not recoverable due to an other than temporary decline, we record a non-cash impairment charge to adjust the carrying value of the investment to its estimated fair value. We assess the fair value of our equity method investments using commonly accepted techniques, and may use more than one method, including, but not limited to, recent third party sales and discounted estimated cash flow models. Estimates of discounted cash flows are based on a number of assumptions including discount rates; probabilities assigned to different cash flow scenarios; anticipated margins and volumes and estimated useful lives of the investment’s underlying assets.</w:t>
      </w:r>
    </w:p>
    <w:p>
      <w:pPr>
        <w:spacing w:after="0" w:line="2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significant change in the assumptions we use to measure recoverability of long-lived assets and the fair value of equity method investments could result in our recording a non-cash impairment charge. Any write-down of the carrying values of such assets would increase operating costs and expenses at that time.</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2019 and 2018, we recognized non-cash asset impairment charges related to long-lived assets and equity method investments of $127.5 million and $46.8 million, respectively, which are a component of operating costs and expenses. For additional information regarding impairment charges, see Note 14 of the Notes to Consolidated Financial Statements included under Part II, Item 8 of this annual report.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Amortization Methods of Customer Relationships and Contract-Based Intangible Assets</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specific, identifiable intangible assets of an acquired business depend largely upon the nature of its operations and include items such as customer relationships and contracts. The method used to value such assets depends on a number of factors, including the nature of the asset and the economic returns the asset is expected to generate.</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Customer relationship intangible assets represent the estimated economic value assigned to commercial relationships acquired in connection with business combinations. In certain instances, the acquisition of these intangible assets provides us with access to customers in a defined resource basin and is analogous to having a franchise in a particular area. Efficient operation of the acquired assets (e.g., a natural gas gathering system) helps to support the commercial relationships with existing producers and provides us with opportunities to establish new ones within our existing asset footprint. The duration of this type of customer relationship is limited by the estimated economic life of the associated resource basin that supports the customer group. When estimating the economic life of a resource basin, we consider a number of factors, including reserve estimates and the economic viability of production and exploration activities.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other situations, the acquisition of a customer relationship intangible asset provides us with access to customers whose hydrocarbon volumes are not attributable to specific resource basins. As with basin-specific customer relationships, efficient operation of the associated assets (e.g., a marine terminal that handles volumes originating from multiple sources) helps to support the commercial relationships with existing customers and provides us with opportunities to establish new ones. The duration of this type of customer relationship is typically limited to the term of the underlying service contracts, including assumed renewals.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value we assign to customer relationships is amortized to earnings using methods that closely resemble the pattern in which the estimated economic benefits will be consumed (i.e., the manner in which the intangible asset is expected to contribute directly or indirectly to our cash flows). For example, the amortization period for a basin-specific customer relationship asset is limited by the estimated finite economic life of the associated hydrocarbon resource basin.</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Contract-based intangible assets represent specific commercial rights we own arising from discrete contractual agreements. A contract-based intangible asset with a finite life is amortized over its estimated economic life, which is the period over which the contract is expected to contribute directly or indirectly to our cash flows. Our estimates of the economic life of contract-based intangible assets are based on a number of factors, including (i) the expected useful life of the related tangible assets (e.g., a marine terminal, pipeline or other asset), (ii) any legal or regulatory developments that would impact such contractual rights and (iii) any contractual provisions that enable us to renew or extend such arrangements.</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assumptions regarding the estimated economic life of an intangible asset were to change, then the amortization period for such asset would be adjusted accordingly. Changes in the estimated useful life of an intangible asset would impact operating costs and expenses prospectively from the date of change. If we determine that an intangible asset’s carrying value is not recoverable through its future cash flows, we would be required to reduce the asset’s carrying value to its estimated fair value through the recording of a non-cash impairment charge. Any such write-down of the value of an intangible asset would increase operating costs and expenses at that time.</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2019 and 2018, the carrying value of our customer relationship and contract-based intangible asset portfolio was $3.45 billion and $3.61 billion, respectively. We recorded $174.7 million and $170.3 million of amortization expense attributable to intangible assets for the years ended December 31, 2019 and 2018, respectively. For additional information regarding our intangible assets, see Note 6 of the Notes to Consolidated Financial Statements included under Part II, Item 8 of this annual report.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Methods We Employ to Measure the Fair Value of Goodwill and Related Assets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2019 and 2018, our goodwill balance was $5.75 billion. Goodwill represents the excess of the purchase price of an acquired business over the amounts assigned to assets acquired and liabilities assumed in the transaction. Goodwill is not amortized; however, we evaluate goodwill for impairment on December 31 of each year or when impairment indicators (e.g., the loss of a significant customer, adverse long-term supply or demand trends, or technological obsolescence of assets) are present.</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Testing goodwill for impairment involves a two-step process. As Step 1 of the process, if impairment indicators are present, the estimated fair value of a reporting unit to which goodwill is assigned is determined and compared to its carrying value. The fair value of a reporting unit is based on assumptions regarding the future economic prospects of the assets that comprise the reporting unit. These assumptions include (i) discrete financial forecasts for the assets classified within the reporting unit, which, in turn, rely on management’s estimates of long-term operating margins, throughput volumes and similar factors;</w:t>
      </w:r>
    </w:p>
    <w:p>
      <w:pPr>
        <w:spacing w:after="0" w:line="2" w:lineRule="exact"/>
        <w:rPr>
          <w:sz w:val="20"/>
          <w:szCs w:val="20"/>
          <w:color w:val="auto"/>
        </w:rPr>
      </w:pPr>
    </w:p>
    <w:p>
      <w:pPr>
        <w:jc w:val="both"/>
        <w:ind w:firstLine="8"/>
        <w:spacing w:after="0" w:line="253" w:lineRule="auto"/>
        <w:tabs>
          <w:tab w:leader="none" w:pos="269" w:val="left"/>
        </w:tabs>
        <w:numPr>
          <w:ilvl w:val="0"/>
          <w:numId w:val="59"/>
        </w:numPr>
        <w:rPr>
          <w:rFonts w:ascii="Arial" w:cs="Arial" w:eastAsia="Arial" w:hAnsi="Arial"/>
          <w:sz w:val="18"/>
          <w:szCs w:val="18"/>
          <w:color w:val="auto"/>
        </w:rPr>
      </w:pPr>
      <w:r>
        <w:rPr>
          <w:rFonts w:ascii="Arial" w:cs="Arial" w:eastAsia="Arial" w:hAnsi="Arial"/>
          <w:sz w:val="18"/>
          <w:szCs w:val="18"/>
          <w:color w:val="auto"/>
        </w:rPr>
        <w:t>long-term growth rates for cash flows beyond the discrete forecast period; and (iii) appropriate discount rates. We believe that the assumptions we use in estimating reporting unit fair values are consistent with those that market participants would use in their fair value estimation process. As Step 2 of the process, if the fair value of the reporting unit is less than its carrying value (including associated goodwill), a non-cash impairment charge to earnings is recorded to reduce the carrying value of the goodwill to its implied fair value. We did not record any goodwill impairment charges during the years ended December 31, 2019 and 2018.</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2017, the FASB issued ASU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This ASU simplifies the accounting for goodwill impairment by removing Step 2 of the goodwill impairment test, which requires a hypothetical purchase price allocation. Goodwill impairment will now be the amount by which a reporting unit’s carrying value exceeds its fair value, not to exceed the carrying amount of goodwill. We adopted this guidance on January 1, 2020 for future goodwill impairment testing.</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regarding our goodwill, see Note 6 of the Notes to Consolidated Financial Statements included under Part II, Item 8 of this annual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for Revenues and Expenses</w:t>
      </w:r>
    </w:p>
    <w:p>
      <w:pPr>
        <w:spacing w:after="0" w:line="25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As noted previously, preparing our consolidated financial statements in conformity with GAAP requires us to make estimates that affect amounts presented in the financial statements. Due to the time required to compile actual billing information and receive third party data needed to record transactions, we routinely employ estimates in connection with revenue and expense amounts in order to meet our accelerated financial reporting deadlines.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most significant routine estimates involve revenues and costs of certain natural gas processing facilities, pipeline transportation revenues, fractionation revenues, marketing revenues and related purchases, and power and utility costs. These types of transactions must be estimated since the actual amounts are generally unavailable at the time we complete our accounting close process. The estimates subsequently reverse in the next accounting period when the corresponding actual customer billing or vendor-invoiced amounts are recorded.</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Changes in facts and circumstances may result in revised estimates, which could affect our reported financial statements and accompanying disclosures. Prior to issuing our financial statements, we review our revenue and expense estimates based on currently available information to determine if adjustments are required. Investors should be aware that actual results could differ from these estimates if the underlying assumptions prove to be incorrect.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significant contractual obligations at December 31, 2019 (dollars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1"/>
              </w:rPr>
              <w:t>Payment or Settlement due by Period</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1"/>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 less than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In 1-3</w:t>
            </w:r>
          </w:p>
        </w:tc>
        <w:tc>
          <w:tcPr>
            <w:tcW w:w="24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 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More than</w:t>
            </w:r>
          </w:p>
        </w:tc>
      </w:tr>
      <w:tr>
        <w:trPr>
          <w:trHeight w:val="208"/>
        </w:trPr>
        <w:tc>
          <w:tcPr>
            <w:tcW w:w="458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1 year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Scheduled maturities of debt obligations (1)</w:t>
            </w:r>
          </w:p>
        </w:tc>
        <w:tc>
          <w:tcPr>
            <w:tcW w:w="3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27,878.4</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1,982.0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2,725.0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21,071.4</w:t>
            </w:r>
          </w:p>
        </w:tc>
      </w:tr>
      <w:tr>
        <w:trPr>
          <w:trHeight w:val="216"/>
        </w:trPr>
        <w:tc>
          <w:tcPr>
            <w:tcW w:w="4580" w:type="dxa"/>
            <w:vAlign w:val="bottom"/>
          </w:tcPr>
          <w:p>
            <w:pPr>
              <w:spacing w:after="0"/>
              <w:rPr>
                <w:sz w:val="20"/>
                <w:szCs w:val="20"/>
                <w:color w:val="auto"/>
              </w:rPr>
            </w:pPr>
            <w:r>
              <w:rPr>
                <w:rFonts w:ascii="Arial" w:cs="Arial" w:eastAsia="Arial" w:hAnsi="Arial"/>
                <w:sz w:val="14"/>
                <w:szCs w:val="14"/>
                <w:color w:val="auto"/>
              </w:rPr>
              <w:t>Estimated cash payments for interest (2)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26,264.5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1,224.7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2,255.2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2,084.1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20,700.5</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obligations (3)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68.7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121.4</w:t>
            </w:r>
          </w:p>
        </w:tc>
      </w:tr>
      <w:tr>
        <w:trPr>
          <w:trHeight w:val="216"/>
        </w:trPr>
        <w:tc>
          <w:tcPr>
            <w:tcW w:w="4580" w:type="dxa"/>
            <w:vAlign w:val="bottom"/>
          </w:tcPr>
          <w:p>
            <w:pPr>
              <w:spacing w:after="0"/>
              <w:rPr>
                <w:sz w:val="20"/>
                <w:szCs w:val="20"/>
                <w:color w:val="auto"/>
              </w:rPr>
            </w:pPr>
            <w:r>
              <w:rPr>
                <w:rFonts w:ascii="Arial" w:cs="Arial" w:eastAsia="Arial" w:hAnsi="Arial"/>
                <w:sz w:val="14"/>
                <w:szCs w:val="14"/>
                <w:color w:val="auto"/>
              </w:rPr>
              <w:t>Purchase obligations: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Product purchase commitments (4)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20,574.0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2,798.0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4,228.2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8,273.7</w:t>
            </w:r>
          </w:p>
        </w:tc>
      </w:tr>
      <w:tr>
        <w:trPr>
          <w:trHeight w:val="216"/>
        </w:trPr>
        <w:tc>
          <w:tcPr>
            <w:tcW w:w="4580" w:type="dxa"/>
            <w:vAlign w:val="bottom"/>
          </w:tcPr>
          <w:p>
            <w:pPr>
              <w:ind w:left="180"/>
              <w:spacing w:after="0"/>
              <w:rPr>
                <w:sz w:val="20"/>
                <w:szCs w:val="20"/>
                <w:color w:val="auto"/>
              </w:rPr>
            </w:pPr>
            <w:r>
              <w:rPr>
                <w:rFonts w:ascii="Arial" w:cs="Arial" w:eastAsia="Arial" w:hAnsi="Arial"/>
                <w:sz w:val="14"/>
                <w:szCs w:val="14"/>
                <w:color w:val="auto"/>
              </w:rPr>
              <w:t>Service payment commitments (4,5)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335.7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66.6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117.4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93.9</w:t>
            </w: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expenditure commitments (6)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6"/>
        </w:trPr>
        <w:tc>
          <w:tcPr>
            <w:tcW w:w="4580" w:type="dxa"/>
            <w:vAlign w:val="bottom"/>
          </w:tcPr>
          <w:p>
            <w:pPr>
              <w:spacing w:after="0"/>
              <w:rPr>
                <w:sz w:val="20"/>
                <w:szCs w:val="20"/>
                <w:color w:val="auto"/>
              </w:rPr>
            </w:pPr>
            <w:r>
              <w:rPr>
                <w:rFonts w:ascii="Arial" w:cs="Arial" w:eastAsia="Arial" w:hAnsi="Arial"/>
                <w:sz w:val="14"/>
                <w:szCs w:val="14"/>
                <w:color w:val="auto"/>
              </w:rPr>
              <w:t>Other long-term liabilities (7)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860.8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76.8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738.2</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contractual payment obligations</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76,230.4</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6,162.3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10,517.2</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8,551.8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50,999.1</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460" w:hanging="452"/>
        <w:spacing w:after="0" w:line="230" w:lineRule="auto"/>
        <w:tabs>
          <w:tab w:leader="none" w:pos="4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scheduled future maturities of our current and long-term debt principal obligations. For information regarding our consolidated debt obligations, see Note 7 of the Notes to Consolidated Financial Statements included under Part II, Item 8 of this annual report.</w:t>
      </w:r>
    </w:p>
    <w:p>
      <w:pPr>
        <w:jc w:val="both"/>
        <w:ind w:left="460" w:hanging="452"/>
        <w:spacing w:after="0" w:line="221" w:lineRule="auto"/>
        <w:tabs>
          <w:tab w:leader="none" w:pos="4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Estimated cash payments for interest are based on the principal amount of our consolidated debt obligations outstanding at December 31, 2019, the contractually scheduled maturities of such balances, and the applicable interest rates. Our estimated cash payments for interest are influenced by the long-term maturities of our $2.65 billion in junior subordinated notes (due June 2067 through February 2078). The estimated cash payments assume that (i) the junior subordinated notes are not repaid prior to their respective maturity dates and (ii) the amount of interest paid on the junior subordinated notes is based on either (a) the current fixed interest rate charged or (b) the weighted-average variable rate paid in 2019, as applicable, for each note through the respective maturity date.</w:t>
      </w:r>
    </w:p>
    <w:p>
      <w:pPr>
        <w:spacing w:after="0" w:line="1" w:lineRule="exact"/>
        <w:rPr>
          <w:rFonts w:ascii="Arial" w:cs="Arial" w:eastAsia="Arial" w:hAnsi="Arial"/>
          <w:sz w:val="14"/>
          <w:szCs w:val="14"/>
          <w:color w:val="auto"/>
        </w:rPr>
      </w:pPr>
    </w:p>
    <w:p>
      <w:pPr>
        <w:ind w:left="460" w:right="20" w:hanging="452"/>
        <w:spacing w:after="0" w:line="221" w:lineRule="auto"/>
        <w:tabs>
          <w:tab w:leader="none" w:pos="4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Primarily represents (i) land held pursuant to property leases, (ii) the lease of underground storage caverns for natural gas and NGLs, (iii) the lease of transportation equipment used in our operations and (iv) office space leased from affiliates of EPCO.</w:t>
      </w:r>
    </w:p>
    <w:p>
      <w:pPr>
        <w:ind w:left="460" w:hanging="452"/>
        <w:spacing w:after="0" w:line="221" w:lineRule="auto"/>
        <w:tabs>
          <w:tab w:leader="none" w:pos="4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enforceable and legally binding agreements to purchase goods or services as of December 31, 2019. The estimated payment obligations are based on contractual prices in effect at December 31, 2019 applied to all future volume commitments. Actual future payment obligations may vary depending on prices at the time of delivery.</w:t>
      </w:r>
    </w:p>
    <w:p>
      <w:pPr>
        <w:ind w:left="460" w:hanging="452"/>
        <w:spacing w:after="0" w:line="221" w:lineRule="auto"/>
        <w:tabs>
          <w:tab w:leader="none" w:pos="4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Primarily represents our unconditional payment obligations under firm pipeline transportation contracts.</w:t>
      </w:r>
    </w:p>
    <w:p>
      <w:pPr>
        <w:ind w:left="460" w:hanging="452"/>
        <w:spacing w:after="0" w:line="221" w:lineRule="auto"/>
        <w:tabs>
          <w:tab w:leader="none" w:pos="4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unconditional payment obligations for services to be rendered or products to be delivered in connection with our capital expenditures, including our share of the capital expenditures of unconsolidated affiliates.</w:t>
      </w:r>
    </w:p>
    <w:p>
      <w:pPr>
        <w:jc w:val="both"/>
        <w:ind w:left="460" w:hanging="452"/>
        <w:spacing w:after="0" w:line="232" w:lineRule="auto"/>
        <w:tabs>
          <w:tab w:leader="none" w:pos="4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Primarily represents the Liquidity Option liability, the noncurrent portion of asset retirement obligations and deferred revenues. We expect that the Liquidity Option will be replaced with a long-term deferred tax liability of similar amount upon exercise of the Liquidity Option. For a discussion of the Liquidity Option and the effects of the option exercise, see Note 17 of the Notes to Consolidated Financial Statements included under Part II, Item 8 of this annual report.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obligated to spend up to an aggregate $270 million over a ten-year period ending in 2025 on specified midstream gathering assets for certain producers utilizing our EFS Midstream System. If constructed, these new assets would be owned by us and be a component of the EFS Midstream System. As of December 31, 2019, we have spent $151 million of the $270 million commitment. Due to the uncertain timing of the remaining potential capital expenditures, we have excluded this amount from the preceding table.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regarding our significant contractual obligations, see Note 17 of the Notes to Consolidated Financial Statements included under Part II, Item 8 of this annual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recent changes in our accounting for leases, see Note 2 of the Notes to Consolidated Financial Statements included under Part II, Item 8 of this annual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 off-balance sheet arrangements that have or are reasonably expected to have a material current or future effect on our financial position, results of operations and cash flows.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our related party transactions, see Note 15 of the Notes to Consolidated Financial Statements included under Part II, Item 8 of this annual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information regarding insurance matters, see Note 18 of the Notes to Consolidated Financial Statements included under Part II, Item 8 of this annual report.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7A. QUANTITATIVE AND QUALITATIVE DISCLOSURES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MARKET RISK.</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the normal course of our business operations, we are exposed to certain risks, including changes in interest rates and commodity prices. In order to manage risks associated with assets, liabilities and certain anticipated future transactions, we use derivative instruments such as futures, forward contracts, swaps and other instruments with similar characteristics. Substantially all of our derivatives are used for non-trading activities.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assess the risk associated with each of our derivative instrument portfolios using a sensitivity analysis model. This approach measures the change in fair value of the derivative instrument portfolio based on a hypothetical 10% change in the underlying interest rates or quoted market prices on a particular day. In addition to these variables, the fair value of each portfolio is influenced by changes in the notional amounts of the instruments outstanding and the discount rates used to determine the present values. The sensitivity analysis approach does not reflect the impact that the same hypothetical price movement would have on the hedged exposures to which they relate. Therefore, the impact on the fair value of a derivative instrument resulting from a change in interest rates or quoted market prices (as applicable) would normally be offset by a corresponding gain or loss on the hedged debt instrument, inventory value or forecasted transaction assuming:</w:t>
      </w:r>
    </w:p>
    <w:p>
      <w:pPr>
        <w:spacing w:after="0" w:line="216" w:lineRule="exact"/>
        <w:rPr>
          <w:sz w:val="20"/>
          <w:szCs w:val="20"/>
          <w:color w:val="auto"/>
        </w:rPr>
      </w:pPr>
    </w:p>
    <w:p>
      <w:pPr>
        <w:ind w:left="420" w:hanging="250"/>
        <w:spacing w:after="0"/>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derivative instrument functions effectively as a hedge of the underlying risk;</w:t>
      </w:r>
    </w:p>
    <w:p>
      <w:pPr>
        <w:spacing w:after="0" w:line="252" w:lineRule="exact"/>
        <w:rPr>
          <w:rFonts w:ascii="Arial" w:cs="Arial" w:eastAsia="Arial" w:hAnsi="Arial"/>
          <w:sz w:val="18"/>
          <w:szCs w:val="18"/>
          <w:color w:val="auto"/>
        </w:rPr>
      </w:pPr>
    </w:p>
    <w:p>
      <w:pPr>
        <w:ind w:left="420" w:hanging="250"/>
        <w:spacing w:after="0"/>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derivative instrument is not closed out in advance of its expected term; and</w:t>
      </w:r>
    </w:p>
    <w:p>
      <w:pPr>
        <w:spacing w:after="0" w:line="252" w:lineRule="exact"/>
        <w:rPr>
          <w:rFonts w:ascii="Arial" w:cs="Arial" w:eastAsia="Arial" w:hAnsi="Arial"/>
          <w:sz w:val="18"/>
          <w:szCs w:val="18"/>
          <w:color w:val="auto"/>
        </w:rPr>
      </w:pPr>
    </w:p>
    <w:p>
      <w:pPr>
        <w:ind w:left="420" w:hanging="250"/>
        <w:spacing w:after="0"/>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hedged forecasted transaction occurs within the expected time period.</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routinely review the effectiveness of our derivative instrument portfolios in light of current market conditions. Accordingly, the nature and volume of our derivative instruments may change depending on the specific exposure being managed.</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Note 14 of the Notes to Consolidated Financial Statements included under Part II, Item 8 of this annual report for additional information regarding our derivative instruments and hedging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Hedging Activities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prices of natural gas, NGLs, crude oil, petrochemicals and refined products are subject to fluctuations in response to changes in supply and demand, market conditions and a variety of additional factors that are beyond our control. In order to manage such price risks, we enter into commodity derivative instruments such as physical forward contracts, futures contracts, fixed-for-float swaps and basis swaps.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portfolio of commodity derivative instruments outstanding at December 31, 2019 (volume measures as noted):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Volume </w:t>
            </w:r>
            <w:r>
              <w:rPr>
                <w:rFonts w:ascii="Arial" w:cs="Arial" w:eastAsia="Arial" w:hAnsi="Arial"/>
                <w:sz w:val="14"/>
                <w:szCs w:val="14"/>
                <w:color w:val="auto"/>
              </w:rPr>
              <w:t>(1)</w:t>
            </w:r>
          </w:p>
        </w:tc>
        <w:tc>
          <w:tcPr>
            <w:tcW w:w="1740" w:type="dxa"/>
            <w:vAlign w:val="bottom"/>
          </w:tcPr>
          <w:p>
            <w:pPr>
              <w:jc w:val="center"/>
              <w:ind w:left="48"/>
              <w:spacing w:after="0"/>
              <w:rPr>
                <w:sz w:val="20"/>
                <w:szCs w:val="20"/>
                <w:color w:val="auto"/>
              </w:rPr>
            </w:pPr>
            <w:r>
              <w:rPr>
                <w:rFonts w:ascii="Arial" w:cs="Arial" w:eastAsia="Arial" w:hAnsi="Arial"/>
                <w:sz w:val="14"/>
                <w:szCs w:val="14"/>
                <w:b w:val="1"/>
                <w:bCs w:val="1"/>
                <w:color w:val="auto"/>
                <w:w w:val="90"/>
              </w:rPr>
              <w:t>Accounting</w:t>
            </w:r>
          </w:p>
        </w:tc>
      </w:tr>
      <w:tr>
        <w:trPr>
          <w:trHeight w:val="156"/>
        </w:trPr>
        <w:tc>
          <w:tcPr>
            <w:tcW w:w="20" w:type="dxa"/>
            <w:vAlign w:val="bottom"/>
          </w:tcPr>
          <w:p>
            <w:pPr>
              <w:spacing w:after="0"/>
              <w:rPr>
                <w:sz w:val="13"/>
                <w:szCs w:val="13"/>
                <w:color w:val="auto"/>
              </w:rPr>
            </w:pPr>
          </w:p>
        </w:tc>
        <w:tc>
          <w:tcPr>
            <w:tcW w:w="7020" w:type="dxa"/>
            <w:vAlign w:val="bottom"/>
            <w:tcBorders>
              <w:bottom w:val="single" w:sz="8" w:color="auto"/>
            </w:tcBorders>
          </w:tcPr>
          <w:p>
            <w:pPr>
              <w:ind w:left="2900"/>
              <w:spacing w:after="0" w:line="149" w:lineRule="exact"/>
              <w:rPr>
                <w:sz w:val="20"/>
                <w:szCs w:val="20"/>
                <w:color w:val="auto"/>
              </w:rPr>
            </w:pPr>
            <w:r>
              <w:rPr>
                <w:rFonts w:ascii="Arial" w:cs="Arial" w:eastAsia="Arial" w:hAnsi="Arial"/>
                <w:sz w:val="14"/>
                <w:szCs w:val="14"/>
                <w:b w:val="1"/>
                <w:bCs w:val="1"/>
                <w:color w:val="auto"/>
              </w:rPr>
              <w:t>Derivative Purpose</w:t>
            </w:r>
          </w:p>
        </w:tc>
        <w:tc>
          <w:tcPr>
            <w:tcW w:w="96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b w:val="1"/>
                <w:bCs w:val="1"/>
                <w:color w:val="auto"/>
              </w:rPr>
              <w:t xml:space="preserve">Current </w:t>
            </w:r>
            <w:r>
              <w:rPr>
                <w:rFonts w:ascii="Arial" w:cs="Arial" w:eastAsia="Arial" w:hAnsi="Arial"/>
                <w:sz w:val="14"/>
                <w:szCs w:val="14"/>
                <w:color w:val="auto"/>
              </w:rPr>
              <w:t>(2)</w:t>
            </w:r>
          </w:p>
        </w:tc>
        <w:tc>
          <w:tcPr>
            <w:tcW w:w="1680" w:type="dxa"/>
            <w:vAlign w:val="bottom"/>
            <w:tcBorders>
              <w:bottom w:val="single" w:sz="8" w:color="auto"/>
            </w:tcBorders>
          </w:tcPr>
          <w:p>
            <w:pPr>
              <w:ind w:left="560"/>
              <w:spacing w:after="0" w:line="149" w:lineRule="exact"/>
              <w:rPr>
                <w:sz w:val="20"/>
                <w:szCs w:val="20"/>
                <w:color w:val="auto"/>
              </w:rPr>
            </w:pPr>
            <w:r>
              <w:rPr>
                <w:rFonts w:ascii="Arial" w:cs="Arial" w:eastAsia="Arial" w:hAnsi="Arial"/>
                <w:sz w:val="14"/>
                <w:szCs w:val="14"/>
                <w:b w:val="1"/>
                <w:bCs w:val="1"/>
                <w:color w:val="auto"/>
              </w:rPr>
              <w:t xml:space="preserve">Long-Term </w:t>
            </w:r>
            <w:r>
              <w:rPr>
                <w:rFonts w:ascii="Arial" w:cs="Arial" w:eastAsia="Arial" w:hAnsi="Arial"/>
                <w:sz w:val="14"/>
                <w:szCs w:val="14"/>
                <w:color w:val="auto"/>
              </w:rPr>
              <w:t>(2)</w:t>
            </w:r>
          </w:p>
        </w:tc>
        <w:tc>
          <w:tcPr>
            <w:tcW w:w="1740" w:type="dxa"/>
            <w:vAlign w:val="bottom"/>
            <w:tcBorders>
              <w:bottom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4"/>
              </w:rPr>
              <w:t>Treatment</w:t>
            </w:r>
          </w:p>
        </w:tc>
      </w:tr>
      <w:tr>
        <w:trPr>
          <w:trHeight w:val="156"/>
        </w:trPr>
        <w:tc>
          <w:tcPr>
            <w:tcW w:w="20" w:type="dxa"/>
            <w:vAlign w:val="bottom"/>
          </w:tcPr>
          <w:p>
            <w:pPr>
              <w:spacing w:after="0"/>
              <w:rPr>
                <w:sz w:val="13"/>
                <w:szCs w:val="13"/>
                <w:color w:val="auto"/>
              </w:rPr>
            </w:pPr>
          </w:p>
        </w:tc>
        <w:tc>
          <w:tcPr>
            <w:tcW w:w="70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Derivatives designated as hedging instruments:</w:t>
            </w:r>
          </w:p>
        </w:tc>
        <w:tc>
          <w:tcPr>
            <w:tcW w:w="9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160"/>
              <w:spacing w:after="0"/>
              <w:rPr>
                <w:sz w:val="20"/>
                <w:szCs w:val="20"/>
                <w:color w:val="auto"/>
              </w:rPr>
            </w:pPr>
            <w:r>
              <w:rPr>
                <w:rFonts w:ascii="Arial" w:cs="Arial" w:eastAsia="Arial" w:hAnsi="Arial"/>
                <w:sz w:val="14"/>
                <w:szCs w:val="14"/>
                <w:color w:val="auto"/>
              </w:rPr>
              <w:t>Natural gas processing:</w:t>
            </w:r>
          </w:p>
        </w:tc>
        <w:tc>
          <w:tcPr>
            <w:tcW w:w="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Forecasted natural gas purchases for plant thermal reduction (Bcf)</w:t>
            </w:r>
          </w:p>
        </w:tc>
        <w:tc>
          <w:tcPr>
            <w:tcW w:w="960" w:type="dxa"/>
            <w:vAlign w:val="bottom"/>
            <w:shd w:val="clear" w:color="auto" w:fill="CCEEFF"/>
          </w:tcPr>
          <w:p>
            <w:pPr>
              <w:jc w:val="center"/>
              <w:ind w:left="388"/>
              <w:spacing w:after="0"/>
              <w:rPr>
                <w:sz w:val="20"/>
                <w:szCs w:val="20"/>
                <w:color w:val="auto"/>
              </w:rPr>
            </w:pPr>
            <w:r>
              <w:rPr>
                <w:rFonts w:ascii="Arial" w:cs="Arial" w:eastAsia="Arial" w:hAnsi="Arial"/>
                <w:sz w:val="14"/>
                <w:szCs w:val="14"/>
                <w:color w:val="auto"/>
                <w:w w:val="92"/>
              </w:rPr>
              <w:t>3.9</w:t>
            </w:r>
          </w:p>
        </w:tc>
        <w:tc>
          <w:tcPr>
            <w:tcW w:w="168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n/a</w:t>
            </w:r>
          </w:p>
        </w:tc>
        <w:tc>
          <w:tcPr>
            <w:tcW w:w="174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2"/>
              </w:rPr>
              <w:t>Cash flow hedge</w:t>
            </w:r>
          </w:p>
        </w:tc>
      </w:tr>
      <w:tr>
        <w:trPr>
          <w:trHeight w:val="216"/>
        </w:trPr>
        <w:tc>
          <w:tcPr>
            <w:tcW w:w="2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4"/>
                <w:szCs w:val="14"/>
                <w:color w:val="auto"/>
              </w:rPr>
              <w:t>Forecasted sales of NGLs (MMBbls)</w:t>
            </w:r>
          </w:p>
        </w:tc>
        <w:tc>
          <w:tcPr>
            <w:tcW w:w="960" w:type="dxa"/>
            <w:vAlign w:val="bottom"/>
          </w:tcPr>
          <w:p>
            <w:pPr>
              <w:jc w:val="center"/>
              <w:ind w:left="388"/>
              <w:spacing w:after="0"/>
              <w:rPr>
                <w:sz w:val="20"/>
                <w:szCs w:val="20"/>
                <w:color w:val="auto"/>
              </w:rPr>
            </w:pPr>
            <w:r>
              <w:rPr>
                <w:rFonts w:ascii="Arial" w:cs="Arial" w:eastAsia="Arial" w:hAnsi="Arial"/>
                <w:sz w:val="14"/>
                <w:szCs w:val="14"/>
                <w:color w:val="auto"/>
                <w:w w:val="92"/>
              </w:rPr>
              <w:t>0.8</w:t>
            </w:r>
          </w:p>
        </w:tc>
        <w:tc>
          <w:tcPr>
            <w:tcW w:w="1680" w:type="dxa"/>
            <w:vAlign w:val="bottom"/>
          </w:tcPr>
          <w:p>
            <w:pPr>
              <w:ind w:left="1100"/>
              <w:spacing w:after="0"/>
              <w:rPr>
                <w:sz w:val="20"/>
                <w:szCs w:val="20"/>
                <w:color w:val="auto"/>
              </w:rPr>
            </w:pPr>
            <w:r>
              <w:rPr>
                <w:rFonts w:ascii="Arial" w:cs="Arial" w:eastAsia="Arial" w:hAnsi="Arial"/>
                <w:sz w:val="14"/>
                <w:szCs w:val="14"/>
                <w:color w:val="auto"/>
              </w:rPr>
              <w:t>n/a</w:t>
            </w:r>
          </w:p>
        </w:tc>
        <w:tc>
          <w:tcPr>
            <w:tcW w:w="1740" w:type="dxa"/>
            <w:vAlign w:val="bottom"/>
          </w:tcPr>
          <w:p>
            <w:pPr>
              <w:jc w:val="center"/>
              <w:ind w:left="68"/>
              <w:spacing w:after="0"/>
              <w:rPr>
                <w:sz w:val="20"/>
                <w:szCs w:val="20"/>
                <w:color w:val="auto"/>
              </w:rPr>
            </w:pPr>
            <w:r>
              <w:rPr>
                <w:rFonts w:ascii="Arial" w:cs="Arial" w:eastAsia="Arial" w:hAnsi="Arial"/>
                <w:sz w:val="14"/>
                <w:szCs w:val="14"/>
                <w:color w:val="auto"/>
                <w:w w:val="92"/>
              </w:rPr>
              <w:t>Cash flow hedge</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Octane enhancement:</w:t>
            </w:r>
          </w:p>
        </w:tc>
        <w:tc>
          <w:tcPr>
            <w:tcW w:w="9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4"/>
                <w:szCs w:val="14"/>
                <w:color w:val="auto"/>
              </w:rPr>
              <w:t>Forecasted purchase of NGLs (MMBbls)</w:t>
            </w:r>
          </w:p>
        </w:tc>
        <w:tc>
          <w:tcPr>
            <w:tcW w:w="960" w:type="dxa"/>
            <w:vAlign w:val="bottom"/>
          </w:tcPr>
          <w:p>
            <w:pPr>
              <w:jc w:val="center"/>
              <w:ind w:left="388"/>
              <w:spacing w:after="0"/>
              <w:rPr>
                <w:sz w:val="20"/>
                <w:szCs w:val="20"/>
                <w:color w:val="auto"/>
              </w:rPr>
            </w:pPr>
            <w:r>
              <w:rPr>
                <w:rFonts w:ascii="Arial" w:cs="Arial" w:eastAsia="Arial" w:hAnsi="Arial"/>
                <w:sz w:val="14"/>
                <w:szCs w:val="14"/>
                <w:color w:val="auto"/>
                <w:w w:val="92"/>
              </w:rPr>
              <w:t>0.6</w:t>
            </w:r>
          </w:p>
        </w:tc>
        <w:tc>
          <w:tcPr>
            <w:tcW w:w="1680" w:type="dxa"/>
            <w:vAlign w:val="bottom"/>
          </w:tcPr>
          <w:p>
            <w:pPr>
              <w:ind w:left="1100"/>
              <w:spacing w:after="0"/>
              <w:rPr>
                <w:sz w:val="20"/>
                <w:szCs w:val="20"/>
                <w:color w:val="auto"/>
              </w:rPr>
            </w:pPr>
            <w:r>
              <w:rPr>
                <w:rFonts w:ascii="Arial" w:cs="Arial" w:eastAsia="Arial" w:hAnsi="Arial"/>
                <w:sz w:val="14"/>
                <w:szCs w:val="14"/>
                <w:color w:val="auto"/>
              </w:rPr>
              <w:t>n/a</w:t>
            </w:r>
          </w:p>
        </w:tc>
        <w:tc>
          <w:tcPr>
            <w:tcW w:w="1740" w:type="dxa"/>
            <w:vAlign w:val="bottom"/>
          </w:tcPr>
          <w:p>
            <w:pPr>
              <w:jc w:val="center"/>
              <w:ind w:left="68"/>
              <w:spacing w:after="0"/>
              <w:rPr>
                <w:sz w:val="20"/>
                <w:szCs w:val="20"/>
                <w:color w:val="auto"/>
              </w:rPr>
            </w:pPr>
            <w:r>
              <w:rPr>
                <w:rFonts w:ascii="Arial" w:cs="Arial" w:eastAsia="Arial" w:hAnsi="Arial"/>
                <w:sz w:val="14"/>
                <w:szCs w:val="14"/>
                <w:color w:val="auto"/>
                <w:w w:val="92"/>
              </w:rPr>
              <w:t>Cash flow hedge</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Forecasted sales of octane enhancement products (MMBbls)</w:t>
            </w:r>
          </w:p>
        </w:tc>
        <w:tc>
          <w:tcPr>
            <w:tcW w:w="960" w:type="dxa"/>
            <w:vAlign w:val="bottom"/>
            <w:shd w:val="clear" w:color="auto" w:fill="CCEEFF"/>
          </w:tcPr>
          <w:p>
            <w:pPr>
              <w:jc w:val="center"/>
              <w:ind w:left="368"/>
              <w:spacing w:after="0"/>
              <w:rPr>
                <w:sz w:val="20"/>
                <w:szCs w:val="20"/>
                <w:color w:val="auto"/>
              </w:rPr>
            </w:pPr>
            <w:r>
              <w:rPr>
                <w:rFonts w:ascii="Arial" w:cs="Arial" w:eastAsia="Arial" w:hAnsi="Arial"/>
                <w:sz w:val="14"/>
                <w:szCs w:val="14"/>
                <w:color w:val="auto"/>
                <w:w w:val="87"/>
              </w:rPr>
              <w:t>11.2</w:t>
            </w:r>
          </w:p>
        </w:tc>
        <w:tc>
          <w:tcPr>
            <w:tcW w:w="1680" w:type="dxa"/>
            <w:vAlign w:val="bottom"/>
            <w:shd w:val="clear" w:color="auto" w:fill="CCEEFF"/>
          </w:tcPr>
          <w:p>
            <w:pPr>
              <w:jc w:val="center"/>
              <w:ind w:left="628"/>
              <w:spacing w:after="0"/>
              <w:rPr>
                <w:sz w:val="20"/>
                <w:szCs w:val="20"/>
                <w:color w:val="auto"/>
              </w:rPr>
            </w:pPr>
            <w:r>
              <w:rPr>
                <w:rFonts w:ascii="Arial" w:cs="Arial" w:eastAsia="Arial" w:hAnsi="Arial"/>
                <w:sz w:val="14"/>
                <w:szCs w:val="14"/>
                <w:color w:val="auto"/>
                <w:w w:val="92"/>
              </w:rPr>
              <w:t>0.1</w:t>
            </w:r>
          </w:p>
        </w:tc>
        <w:tc>
          <w:tcPr>
            <w:tcW w:w="174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2"/>
              </w:rPr>
              <w:t>Cash flow hedge</w:t>
            </w: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4"/>
                <w:szCs w:val="14"/>
                <w:color w:val="auto"/>
              </w:rPr>
              <w:t>Natural gas marketing:</w:t>
            </w: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Forecasted purchases of natural gas (Bcf)</w:t>
            </w:r>
          </w:p>
        </w:tc>
        <w:tc>
          <w:tcPr>
            <w:tcW w:w="960" w:type="dxa"/>
            <w:vAlign w:val="bottom"/>
            <w:shd w:val="clear" w:color="auto" w:fill="CCEEFF"/>
          </w:tcPr>
          <w:p>
            <w:pPr>
              <w:jc w:val="center"/>
              <w:ind w:left="388"/>
              <w:spacing w:after="0"/>
              <w:rPr>
                <w:sz w:val="20"/>
                <w:szCs w:val="20"/>
                <w:color w:val="auto"/>
              </w:rPr>
            </w:pPr>
            <w:r>
              <w:rPr>
                <w:rFonts w:ascii="Arial" w:cs="Arial" w:eastAsia="Arial" w:hAnsi="Arial"/>
                <w:sz w:val="14"/>
                <w:szCs w:val="14"/>
                <w:color w:val="auto"/>
                <w:w w:val="92"/>
              </w:rPr>
              <w:t>1.1</w:t>
            </w:r>
          </w:p>
        </w:tc>
        <w:tc>
          <w:tcPr>
            <w:tcW w:w="168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n/a</w:t>
            </w:r>
          </w:p>
        </w:tc>
        <w:tc>
          <w:tcPr>
            <w:tcW w:w="174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2"/>
              </w:rPr>
              <w:t>Cash flow hedge</w:t>
            </w:r>
          </w:p>
        </w:tc>
      </w:tr>
      <w:tr>
        <w:trPr>
          <w:trHeight w:val="149"/>
        </w:trPr>
        <w:tc>
          <w:tcPr>
            <w:tcW w:w="20" w:type="dxa"/>
            <w:vAlign w:val="bottom"/>
          </w:tcPr>
          <w:p>
            <w:pPr>
              <w:spacing w:after="0"/>
              <w:rPr>
                <w:sz w:val="12"/>
                <w:szCs w:val="12"/>
                <w:color w:val="auto"/>
              </w:rPr>
            </w:pPr>
          </w:p>
        </w:tc>
        <w:tc>
          <w:tcPr>
            <w:tcW w:w="7020" w:type="dxa"/>
            <w:vAlign w:val="bottom"/>
          </w:tcPr>
          <w:p>
            <w:pPr>
              <w:ind w:left="320"/>
              <w:spacing w:after="0" w:line="149" w:lineRule="exact"/>
              <w:rPr>
                <w:sz w:val="20"/>
                <w:szCs w:val="20"/>
                <w:color w:val="auto"/>
              </w:rPr>
            </w:pPr>
            <w:r>
              <w:rPr>
                <w:rFonts w:ascii="Arial" w:cs="Arial" w:eastAsia="Arial" w:hAnsi="Arial"/>
                <w:sz w:val="14"/>
                <w:szCs w:val="14"/>
                <w:color w:val="auto"/>
              </w:rPr>
              <w:t>Natural gas storage inventory management activities (Bcf)</w:t>
            </w:r>
          </w:p>
        </w:tc>
        <w:tc>
          <w:tcPr>
            <w:tcW w:w="960" w:type="dxa"/>
            <w:vAlign w:val="bottom"/>
          </w:tcPr>
          <w:p>
            <w:pPr>
              <w:jc w:val="center"/>
              <w:ind w:left="388"/>
              <w:spacing w:after="0" w:line="149" w:lineRule="exact"/>
              <w:rPr>
                <w:sz w:val="20"/>
                <w:szCs w:val="20"/>
                <w:color w:val="auto"/>
              </w:rPr>
            </w:pPr>
            <w:r>
              <w:rPr>
                <w:rFonts w:ascii="Arial" w:cs="Arial" w:eastAsia="Arial" w:hAnsi="Arial"/>
                <w:sz w:val="14"/>
                <w:szCs w:val="14"/>
                <w:color w:val="auto"/>
                <w:w w:val="92"/>
              </w:rPr>
              <w:t>3.0</w:t>
            </w:r>
          </w:p>
        </w:tc>
        <w:tc>
          <w:tcPr>
            <w:tcW w:w="1680" w:type="dxa"/>
            <w:vAlign w:val="bottom"/>
          </w:tcPr>
          <w:p>
            <w:pPr>
              <w:ind w:left="1100"/>
              <w:spacing w:after="0" w:line="149" w:lineRule="exact"/>
              <w:rPr>
                <w:sz w:val="20"/>
                <w:szCs w:val="20"/>
                <w:color w:val="auto"/>
              </w:rPr>
            </w:pPr>
            <w:r>
              <w:rPr>
                <w:rFonts w:ascii="Arial" w:cs="Arial" w:eastAsia="Arial" w:hAnsi="Arial"/>
                <w:sz w:val="14"/>
                <w:szCs w:val="14"/>
                <w:color w:val="auto"/>
              </w:rPr>
              <w:t>n/a</w:t>
            </w:r>
          </w:p>
        </w:tc>
        <w:tc>
          <w:tcPr>
            <w:tcW w:w="1740" w:type="dxa"/>
            <w:vAlign w:val="bottom"/>
          </w:tcPr>
          <w:p>
            <w:pPr>
              <w:jc w:val="center"/>
              <w:ind w:left="68"/>
              <w:spacing w:after="0" w:line="149" w:lineRule="exact"/>
              <w:rPr>
                <w:sz w:val="20"/>
                <w:szCs w:val="20"/>
                <w:color w:val="auto"/>
              </w:rPr>
            </w:pPr>
            <w:r>
              <w:rPr>
                <w:rFonts w:ascii="Arial" w:cs="Arial" w:eastAsia="Arial" w:hAnsi="Arial"/>
                <w:sz w:val="14"/>
                <w:szCs w:val="14"/>
                <w:color w:val="auto"/>
                <w:w w:val="92"/>
              </w:rPr>
              <w:t>Fair value hedge</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NGL marketing:</w:t>
            </w:r>
          </w:p>
        </w:tc>
        <w:tc>
          <w:tcPr>
            <w:tcW w:w="9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149"/>
        </w:trPr>
        <w:tc>
          <w:tcPr>
            <w:tcW w:w="20" w:type="dxa"/>
            <w:vAlign w:val="bottom"/>
          </w:tcPr>
          <w:p>
            <w:pPr>
              <w:spacing w:after="0"/>
              <w:rPr>
                <w:sz w:val="12"/>
                <w:szCs w:val="12"/>
                <w:color w:val="auto"/>
              </w:rPr>
            </w:pPr>
          </w:p>
        </w:tc>
        <w:tc>
          <w:tcPr>
            <w:tcW w:w="7020" w:type="dxa"/>
            <w:vAlign w:val="bottom"/>
          </w:tcPr>
          <w:p>
            <w:pPr>
              <w:ind w:left="320"/>
              <w:spacing w:after="0" w:line="149" w:lineRule="exact"/>
              <w:rPr>
                <w:sz w:val="20"/>
                <w:szCs w:val="20"/>
                <w:color w:val="auto"/>
              </w:rPr>
            </w:pPr>
            <w:r>
              <w:rPr>
                <w:rFonts w:ascii="Arial" w:cs="Arial" w:eastAsia="Arial" w:hAnsi="Arial"/>
                <w:sz w:val="14"/>
                <w:szCs w:val="14"/>
                <w:color w:val="auto"/>
              </w:rPr>
              <w:t>Forecasted purchases of NGLs and related hydrocarbon products (MMBbls)</w:t>
            </w:r>
          </w:p>
        </w:tc>
        <w:tc>
          <w:tcPr>
            <w:tcW w:w="960" w:type="dxa"/>
            <w:vAlign w:val="bottom"/>
          </w:tcPr>
          <w:p>
            <w:pPr>
              <w:jc w:val="center"/>
              <w:ind w:left="368"/>
              <w:spacing w:after="0" w:line="149" w:lineRule="exact"/>
              <w:rPr>
                <w:sz w:val="20"/>
                <w:szCs w:val="20"/>
                <w:color w:val="auto"/>
              </w:rPr>
            </w:pPr>
            <w:r>
              <w:rPr>
                <w:rFonts w:ascii="Arial" w:cs="Arial" w:eastAsia="Arial" w:hAnsi="Arial"/>
                <w:sz w:val="14"/>
                <w:szCs w:val="14"/>
                <w:color w:val="auto"/>
                <w:w w:val="91"/>
              </w:rPr>
              <w:t>103.5</w:t>
            </w:r>
          </w:p>
        </w:tc>
        <w:tc>
          <w:tcPr>
            <w:tcW w:w="1680" w:type="dxa"/>
            <w:vAlign w:val="bottom"/>
          </w:tcPr>
          <w:p>
            <w:pPr>
              <w:ind w:left="1100"/>
              <w:spacing w:after="0" w:line="149" w:lineRule="exact"/>
              <w:rPr>
                <w:sz w:val="20"/>
                <w:szCs w:val="20"/>
                <w:color w:val="auto"/>
              </w:rPr>
            </w:pPr>
            <w:r>
              <w:rPr>
                <w:rFonts w:ascii="Arial" w:cs="Arial" w:eastAsia="Arial" w:hAnsi="Arial"/>
                <w:sz w:val="14"/>
                <w:szCs w:val="14"/>
                <w:color w:val="auto"/>
              </w:rPr>
              <w:t>n/a</w:t>
            </w:r>
          </w:p>
        </w:tc>
        <w:tc>
          <w:tcPr>
            <w:tcW w:w="1740" w:type="dxa"/>
            <w:vAlign w:val="bottom"/>
          </w:tcPr>
          <w:p>
            <w:pPr>
              <w:jc w:val="center"/>
              <w:ind w:left="68"/>
              <w:spacing w:after="0" w:line="149" w:lineRule="exact"/>
              <w:rPr>
                <w:sz w:val="20"/>
                <w:szCs w:val="20"/>
                <w:color w:val="auto"/>
              </w:rPr>
            </w:pPr>
            <w:r>
              <w:rPr>
                <w:rFonts w:ascii="Arial" w:cs="Arial" w:eastAsia="Arial" w:hAnsi="Arial"/>
                <w:sz w:val="14"/>
                <w:szCs w:val="14"/>
                <w:color w:val="auto"/>
                <w:w w:val="92"/>
              </w:rPr>
              <w:t>Cash flow hedge</w:t>
            </w:r>
          </w:p>
        </w:tc>
      </w:tr>
      <w:tr>
        <w:trPr>
          <w:trHeight w:val="149"/>
        </w:trPr>
        <w:tc>
          <w:tcPr>
            <w:tcW w:w="20" w:type="dxa"/>
            <w:vAlign w:val="bottom"/>
          </w:tcPr>
          <w:p>
            <w:pPr>
              <w:spacing w:after="0"/>
              <w:rPr>
                <w:sz w:val="12"/>
                <w:szCs w:val="12"/>
                <w:color w:val="auto"/>
              </w:rPr>
            </w:pPr>
          </w:p>
        </w:tc>
        <w:tc>
          <w:tcPr>
            <w:tcW w:w="70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Forecasted sales of NGLs and related hydrocarbon products (MMBbls)</w:t>
            </w:r>
          </w:p>
        </w:tc>
        <w:tc>
          <w:tcPr>
            <w:tcW w:w="960" w:type="dxa"/>
            <w:vAlign w:val="bottom"/>
            <w:shd w:val="clear" w:color="auto" w:fill="CCEEFF"/>
          </w:tcPr>
          <w:p>
            <w:pPr>
              <w:jc w:val="center"/>
              <w:ind w:left="368"/>
              <w:spacing w:after="0" w:line="149" w:lineRule="exact"/>
              <w:rPr>
                <w:sz w:val="20"/>
                <w:szCs w:val="20"/>
                <w:color w:val="auto"/>
              </w:rPr>
            </w:pPr>
            <w:r>
              <w:rPr>
                <w:rFonts w:ascii="Arial" w:cs="Arial" w:eastAsia="Arial" w:hAnsi="Arial"/>
                <w:sz w:val="14"/>
                <w:szCs w:val="14"/>
                <w:color w:val="auto"/>
                <w:w w:val="91"/>
              </w:rPr>
              <w:t>128.1</w:t>
            </w:r>
          </w:p>
        </w:tc>
        <w:tc>
          <w:tcPr>
            <w:tcW w:w="1680" w:type="dxa"/>
            <w:vAlign w:val="bottom"/>
            <w:shd w:val="clear" w:color="auto" w:fill="CCEEFF"/>
          </w:tcPr>
          <w:p>
            <w:pPr>
              <w:ind w:left="1100"/>
              <w:spacing w:after="0" w:line="149" w:lineRule="exact"/>
              <w:rPr>
                <w:sz w:val="20"/>
                <w:szCs w:val="20"/>
                <w:color w:val="auto"/>
              </w:rPr>
            </w:pPr>
            <w:r>
              <w:rPr>
                <w:rFonts w:ascii="Arial" w:cs="Arial" w:eastAsia="Arial" w:hAnsi="Arial"/>
                <w:sz w:val="14"/>
                <w:szCs w:val="14"/>
                <w:color w:val="auto"/>
              </w:rPr>
              <w:t>n/a</w:t>
            </w:r>
          </w:p>
        </w:tc>
        <w:tc>
          <w:tcPr>
            <w:tcW w:w="1740" w:type="dxa"/>
            <w:vAlign w:val="bottom"/>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2"/>
              </w:rPr>
              <w:t>Cash flow hedge</w:t>
            </w:r>
          </w:p>
        </w:tc>
      </w:tr>
      <w:tr>
        <w:trPr>
          <w:trHeight w:val="216"/>
        </w:trPr>
        <w:tc>
          <w:tcPr>
            <w:tcW w:w="2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4"/>
                <w:szCs w:val="14"/>
                <w:color w:val="auto"/>
              </w:rPr>
              <w:t>NGLs inventory management activities (MMBbls)</w:t>
            </w:r>
          </w:p>
        </w:tc>
        <w:tc>
          <w:tcPr>
            <w:tcW w:w="960" w:type="dxa"/>
            <w:vAlign w:val="bottom"/>
          </w:tcPr>
          <w:p>
            <w:pPr>
              <w:jc w:val="center"/>
              <w:ind w:left="388"/>
              <w:spacing w:after="0"/>
              <w:rPr>
                <w:sz w:val="20"/>
                <w:szCs w:val="20"/>
                <w:color w:val="auto"/>
              </w:rPr>
            </w:pPr>
            <w:r>
              <w:rPr>
                <w:rFonts w:ascii="Arial" w:cs="Arial" w:eastAsia="Arial" w:hAnsi="Arial"/>
                <w:sz w:val="14"/>
                <w:szCs w:val="14"/>
                <w:color w:val="auto"/>
                <w:w w:val="92"/>
              </w:rPr>
              <w:t>0.5</w:t>
            </w:r>
          </w:p>
        </w:tc>
        <w:tc>
          <w:tcPr>
            <w:tcW w:w="1680" w:type="dxa"/>
            <w:vAlign w:val="bottom"/>
          </w:tcPr>
          <w:p>
            <w:pPr>
              <w:ind w:left="1100"/>
              <w:spacing w:after="0"/>
              <w:rPr>
                <w:sz w:val="20"/>
                <w:szCs w:val="20"/>
                <w:color w:val="auto"/>
              </w:rPr>
            </w:pPr>
            <w:r>
              <w:rPr>
                <w:rFonts w:ascii="Arial" w:cs="Arial" w:eastAsia="Arial" w:hAnsi="Arial"/>
                <w:sz w:val="14"/>
                <w:szCs w:val="14"/>
                <w:color w:val="auto"/>
              </w:rPr>
              <w:t>n/a</w:t>
            </w:r>
          </w:p>
        </w:tc>
        <w:tc>
          <w:tcPr>
            <w:tcW w:w="1740" w:type="dxa"/>
            <w:vAlign w:val="bottom"/>
          </w:tcPr>
          <w:p>
            <w:pPr>
              <w:jc w:val="center"/>
              <w:ind w:left="68"/>
              <w:spacing w:after="0"/>
              <w:rPr>
                <w:sz w:val="20"/>
                <w:szCs w:val="20"/>
                <w:color w:val="auto"/>
              </w:rPr>
            </w:pPr>
            <w:r>
              <w:rPr>
                <w:rFonts w:ascii="Arial" w:cs="Arial" w:eastAsia="Arial" w:hAnsi="Arial"/>
                <w:sz w:val="14"/>
                <w:szCs w:val="14"/>
                <w:color w:val="auto"/>
                <w:w w:val="92"/>
              </w:rPr>
              <w:t>Fair value hedge</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Refined products marketing:</w:t>
            </w:r>
          </w:p>
        </w:tc>
        <w:tc>
          <w:tcPr>
            <w:tcW w:w="9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149"/>
        </w:trPr>
        <w:tc>
          <w:tcPr>
            <w:tcW w:w="20" w:type="dxa"/>
            <w:vAlign w:val="bottom"/>
          </w:tcPr>
          <w:p>
            <w:pPr>
              <w:spacing w:after="0"/>
              <w:rPr>
                <w:sz w:val="12"/>
                <w:szCs w:val="12"/>
                <w:color w:val="auto"/>
              </w:rPr>
            </w:pPr>
          </w:p>
        </w:tc>
        <w:tc>
          <w:tcPr>
            <w:tcW w:w="7020" w:type="dxa"/>
            <w:vAlign w:val="bottom"/>
          </w:tcPr>
          <w:p>
            <w:pPr>
              <w:ind w:left="320"/>
              <w:spacing w:after="0" w:line="149" w:lineRule="exact"/>
              <w:rPr>
                <w:sz w:val="20"/>
                <w:szCs w:val="20"/>
                <w:color w:val="auto"/>
              </w:rPr>
            </w:pPr>
            <w:r>
              <w:rPr>
                <w:rFonts w:ascii="Arial" w:cs="Arial" w:eastAsia="Arial" w:hAnsi="Arial"/>
                <w:sz w:val="14"/>
                <w:szCs w:val="14"/>
                <w:color w:val="auto"/>
              </w:rPr>
              <w:t>Forecasted purchases of refined products (MMBbls)</w:t>
            </w:r>
          </w:p>
        </w:tc>
        <w:tc>
          <w:tcPr>
            <w:tcW w:w="960" w:type="dxa"/>
            <w:vAlign w:val="bottom"/>
          </w:tcPr>
          <w:p>
            <w:pPr>
              <w:jc w:val="center"/>
              <w:ind w:left="388"/>
              <w:spacing w:after="0" w:line="149" w:lineRule="exact"/>
              <w:rPr>
                <w:sz w:val="20"/>
                <w:szCs w:val="20"/>
                <w:color w:val="auto"/>
              </w:rPr>
            </w:pPr>
            <w:r>
              <w:rPr>
                <w:rFonts w:ascii="Arial" w:cs="Arial" w:eastAsia="Arial" w:hAnsi="Arial"/>
                <w:sz w:val="14"/>
                <w:szCs w:val="14"/>
                <w:color w:val="auto"/>
                <w:w w:val="92"/>
              </w:rPr>
              <w:t>0.2</w:t>
            </w:r>
          </w:p>
        </w:tc>
        <w:tc>
          <w:tcPr>
            <w:tcW w:w="1680" w:type="dxa"/>
            <w:vAlign w:val="bottom"/>
          </w:tcPr>
          <w:p>
            <w:pPr>
              <w:ind w:left="1100"/>
              <w:spacing w:after="0" w:line="149" w:lineRule="exact"/>
              <w:rPr>
                <w:sz w:val="20"/>
                <w:szCs w:val="20"/>
                <w:color w:val="auto"/>
              </w:rPr>
            </w:pPr>
            <w:r>
              <w:rPr>
                <w:rFonts w:ascii="Arial" w:cs="Arial" w:eastAsia="Arial" w:hAnsi="Arial"/>
                <w:sz w:val="14"/>
                <w:szCs w:val="14"/>
                <w:color w:val="auto"/>
              </w:rPr>
              <w:t>n/a</w:t>
            </w:r>
          </w:p>
        </w:tc>
        <w:tc>
          <w:tcPr>
            <w:tcW w:w="1740" w:type="dxa"/>
            <w:vAlign w:val="bottom"/>
          </w:tcPr>
          <w:p>
            <w:pPr>
              <w:jc w:val="center"/>
              <w:ind w:left="68"/>
              <w:spacing w:after="0" w:line="149" w:lineRule="exact"/>
              <w:rPr>
                <w:sz w:val="20"/>
                <w:szCs w:val="20"/>
                <w:color w:val="auto"/>
              </w:rPr>
            </w:pPr>
            <w:r>
              <w:rPr>
                <w:rFonts w:ascii="Arial" w:cs="Arial" w:eastAsia="Arial" w:hAnsi="Arial"/>
                <w:sz w:val="14"/>
                <w:szCs w:val="14"/>
                <w:color w:val="auto"/>
                <w:w w:val="92"/>
              </w:rPr>
              <w:t>Cash flow hedge</w:t>
            </w:r>
          </w:p>
        </w:tc>
      </w:tr>
      <w:tr>
        <w:trPr>
          <w:trHeight w:val="149"/>
        </w:trPr>
        <w:tc>
          <w:tcPr>
            <w:tcW w:w="20" w:type="dxa"/>
            <w:vAlign w:val="bottom"/>
          </w:tcPr>
          <w:p>
            <w:pPr>
              <w:spacing w:after="0"/>
              <w:rPr>
                <w:sz w:val="12"/>
                <w:szCs w:val="12"/>
                <w:color w:val="auto"/>
              </w:rPr>
            </w:pPr>
          </w:p>
        </w:tc>
        <w:tc>
          <w:tcPr>
            <w:tcW w:w="70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Forecasted sales of refined products (MMBbls)</w:t>
            </w:r>
          </w:p>
        </w:tc>
        <w:tc>
          <w:tcPr>
            <w:tcW w:w="960" w:type="dxa"/>
            <w:vAlign w:val="bottom"/>
            <w:shd w:val="clear" w:color="auto" w:fill="CCEEFF"/>
          </w:tcPr>
          <w:p>
            <w:pPr>
              <w:jc w:val="center"/>
              <w:ind w:left="388"/>
              <w:spacing w:after="0" w:line="149" w:lineRule="exact"/>
              <w:rPr>
                <w:sz w:val="20"/>
                <w:szCs w:val="20"/>
                <w:color w:val="auto"/>
              </w:rPr>
            </w:pPr>
            <w:r>
              <w:rPr>
                <w:rFonts w:ascii="Arial" w:cs="Arial" w:eastAsia="Arial" w:hAnsi="Arial"/>
                <w:sz w:val="14"/>
                <w:szCs w:val="14"/>
                <w:color w:val="auto"/>
                <w:w w:val="92"/>
              </w:rPr>
              <w:t>0.2</w:t>
            </w:r>
          </w:p>
        </w:tc>
        <w:tc>
          <w:tcPr>
            <w:tcW w:w="1680" w:type="dxa"/>
            <w:vAlign w:val="bottom"/>
            <w:shd w:val="clear" w:color="auto" w:fill="CCEEFF"/>
          </w:tcPr>
          <w:p>
            <w:pPr>
              <w:ind w:left="1100"/>
              <w:spacing w:after="0" w:line="149" w:lineRule="exact"/>
              <w:rPr>
                <w:sz w:val="20"/>
                <w:szCs w:val="20"/>
                <w:color w:val="auto"/>
              </w:rPr>
            </w:pPr>
            <w:r>
              <w:rPr>
                <w:rFonts w:ascii="Arial" w:cs="Arial" w:eastAsia="Arial" w:hAnsi="Arial"/>
                <w:sz w:val="14"/>
                <w:szCs w:val="14"/>
                <w:color w:val="auto"/>
              </w:rPr>
              <w:t>n/a</w:t>
            </w:r>
          </w:p>
        </w:tc>
        <w:tc>
          <w:tcPr>
            <w:tcW w:w="1740" w:type="dxa"/>
            <w:vAlign w:val="bottom"/>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2"/>
              </w:rPr>
              <w:t>Cash flow hedge</w:t>
            </w: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4"/>
                <w:szCs w:val="14"/>
                <w:color w:val="auto"/>
              </w:rPr>
              <w:t>Crude oil marketing:</w:t>
            </w: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149"/>
        </w:trPr>
        <w:tc>
          <w:tcPr>
            <w:tcW w:w="20" w:type="dxa"/>
            <w:vAlign w:val="bottom"/>
          </w:tcPr>
          <w:p>
            <w:pPr>
              <w:spacing w:after="0"/>
              <w:rPr>
                <w:sz w:val="12"/>
                <w:szCs w:val="12"/>
                <w:color w:val="auto"/>
              </w:rPr>
            </w:pPr>
          </w:p>
        </w:tc>
        <w:tc>
          <w:tcPr>
            <w:tcW w:w="70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Forecasted purchases of crude oil (MMBbls)</w:t>
            </w:r>
          </w:p>
        </w:tc>
        <w:tc>
          <w:tcPr>
            <w:tcW w:w="960" w:type="dxa"/>
            <w:vAlign w:val="bottom"/>
            <w:shd w:val="clear" w:color="auto" w:fill="CCEEFF"/>
          </w:tcPr>
          <w:p>
            <w:pPr>
              <w:jc w:val="center"/>
              <w:ind w:left="388"/>
              <w:spacing w:after="0" w:line="149" w:lineRule="exact"/>
              <w:rPr>
                <w:sz w:val="20"/>
                <w:szCs w:val="20"/>
                <w:color w:val="auto"/>
              </w:rPr>
            </w:pPr>
            <w:r>
              <w:rPr>
                <w:rFonts w:ascii="Arial" w:cs="Arial" w:eastAsia="Arial" w:hAnsi="Arial"/>
                <w:sz w:val="14"/>
                <w:szCs w:val="14"/>
                <w:color w:val="auto"/>
                <w:w w:val="95"/>
              </w:rPr>
              <w:t>15.3</w:t>
            </w:r>
          </w:p>
        </w:tc>
        <w:tc>
          <w:tcPr>
            <w:tcW w:w="1680" w:type="dxa"/>
            <w:vAlign w:val="bottom"/>
            <w:shd w:val="clear" w:color="auto" w:fill="CCEEFF"/>
          </w:tcPr>
          <w:p>
            <w:pPr>
              <w:ind w:left="1100"/>
              <w:spacing w:after="0" w:line="149" w:lineRule="exact"/>
              <w:rPr>
                <w:sz w:val="20"/>
                <w:szCs w:val="20"/>
                <w:color w:val="auto"/>
              </w:rPr>
            </w:pPr>
            <w:r>
              <w:rPr>
                <w:rFonts w:ascii="Arial" w:cs="Arial" w:eastAsia="Arial" w:hAnsi="Arial"/>
                <w:sz w:val="14"/>
                <w:szCs w:val="14"/>
                <w:color w:val="auto"/>
              </w:rPr>
              <w:t>n/a</w:t>
            </w:r>
          </w:p>
        </w:tc>
        <w:tc>
          <w:tcPr>
            <w:tcW w:w="1740" w:type="dxa"/>
            <w:vAlign w:val="bottom"/>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2"/>
              </w:rPr>
              <w:t>Cash flow hedge</w:t>
            </w:r>
          </w:p>
        </w:tc>
      </w:tr>
      <w:tr>
        <w:trPr>
          <w:trHeight w:val="149"/>
        </w:trPr>
        <w:tc>
          <w:tcPr>
            <w:tcW w:w="20" w:type="dxa"/>
            <w:vAlign w:val="bottom"/>
          </w:tcPr>
          <w:p>
            <w:pPr>
              <w:spacing w:after="0"/>
              <w:rPr>
                <w:sz w:val="12"/>
                <w:szCs w:val="12"/>
                <w:color w:val="auto"/>
              </w:rPr>
            </w:pPr>
          </w:p>
        </w:tc>
        <w:tc>
          <w:tcPr>
            <w:tcW w:w="7020" w:type="dxa"/>
            <w:vAlign w:val="bottom"/>
          </w:tcPr>
          <w:p>
            <w:pPr>
              <w:ind w:left="320"/>
              <w:spacing w:after="0" w:line="149" w:lineRule="exact"/>
              <w:rPr>
                <w:sz w:val="20"/>
                <w:szCs w:val="20"/>
                <w:color w:val="auto"/>
              </w:rPr>
            </w:pPr>
            <w:r>
              <w:rPr>
                <w:rFonts w:ascii="Arial" w:cs="Arial" w:eastAsia="Arial" w:hAnsi="Arial"/>
                <w:sz w:val="14"/>
                <w:szCs w:val="14"/>
                <w:color w:val="auto"/>
              </w:rPr>
              <w:t>Forecasted sales of crude oil (MMBbls)</w:t>
            </w:r>
          </w:p>
        </w:tc>
        <w:tc>
          <w:tcPr>
            <w:tcW w:w="960" w:type="dxa"/>
            <w:vAlign w:val="bottom"/>
          </w:tcPr>
          <w:p>
            <w:pPr>
              <w:jc w:val="center"/>
              <w:ind w:left="388"/>
              <w:spacing w:after="0" w:line="149" w:lineRule="exact"/>
              <w:rPr>
                <w:sz w:val="20"/>
                <w:szCs w:val="20"/>
                <w:color w:val="auto"/>
              </w:rPr>
            </w:pPr>
            <w:r>
              <w:rPr>
                <w:rFonts w:ascii="Arial" w:cs="Arial" w:eastAsia="Arial" w:hAnsi="Arial"/>
                <w:sz w:val="14"/>
                <w:szCs w:val="14"/>
                <w:color w:val="auto"/>
                <w:w w:val="95"/>
              </w:rPr>
              <w:t>19.9</w:t>
            </w:r>
          </w:p>
        </w:tc>
        <w:tc>
          <w:tcPr>
            <w:tcW w:w="1680" w:type="dxa"/>
            <w:vAlign w:val="bottom"/>
          </w:tcPr>
          <w:p>
            <w:pPr>
              <w:ind w:left="1100"/>
              <w:spacing w:after="0" w:line="149" w:lineRule="exact"/>
              <w:rPr>
                <w:sz w:val="20"/>
                <w:szCs w:val="20"/>
                <w:color w:val="auto"/>
              </w:rPr>
            </w:pPr>
            <w:r>
              <w:rPr>
                <w:rFonts w:ascii="Arial" w:cs="Arial" w:eastAsia="Arial" w:hAnsi="Arial"/>
                <w:sz w:val="14"/>
                <w:szCs w:val="14"/>
                <w:color w:val="auto"/>
              </w:rPr>
              <w:t>n/a</w:t>
            </w:r>
          </w:p>
        </w:tc>
        <w:tc>
          <w:tcPr>
            <w:tcW w:w="1740" w:type="dxa"/>
            <w:vAlign w:val="bottom"/>
          </w:tcPr>
          <w:p>
            <w:pPr>
              <w:jc w:val="center"/>
              <w:ind w:left="68"/>
              <w:spacing w:after="0" w:line="149" w:lineRule="exact"/>
              <w:rPr>
                <w:sz w:val="20"/>
                <w:szCs w:val="20"/>
                <w:color w:val="auto"/>
              </w:rPr>
            </w:pPr>
            <w:r>
              <w:rPr>
                <w:rFonts w:ascii="Arial" w:cs="Arial" w:eastAsia="Arial" w:hAnsi="Arial"/>
                <w:sz w:val="14"/>
                <w:szCs w:val="14"/>
                <w:color w:val="auto"/>
                <w:w w:val="92"/>
              </w:rPr>
              <w:t>Cash flow hedge</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Propylene marketing:</w:t>
            </w:r>
          </w:p>
        </w:tc>
        <w:tc>
          <w:tcPr>
            <w:tcW w:w="9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4"/>
                <w:szCs w:val="14"/>
                <w:color w:val="auto"/>
              </w:rPr>
              <w:t>Forecasted sales of NGLs for propylene marketing activities (MMBbls)</w:t>
            </w:r>
          </w:p>
        </w:tc>
        <w:tc>
          <w:tcPr>
            <w:tcW w:w="960" w:type="dxa"/>
            <w:vAlign w:val="bottom"/>
          </w:tcPr>
          <w:p>
            <w:pPr>
              <w:jc w:val="center"/>
              <w:ind w:left="388"/>
              <w:spacing w:after="0"/>
              <w:rPr>
                <w:sz w:val="20"/>
                <w:szCs w:val="20"/>
                <w:color w:val="auto"/>
              </w:rPr>
            </w:pPr>
            <w:r>
              <w:rPr>
                <w:rFonts w:ascii="Arial" w:cs="Arial" w:eastAsia="Arial" w:hAnsi="Arial"/>
                <w:sz w:val="14"/>
                <w:szCs w:val="14"/>
                <w:color w:val="auto"/>
                <w:w w:val="92"/>
              </w:rPr>
              <w:t>0.5</w:t>
            </w:r>
          </w:p>
        </w:tc>
        <w:tc>
          <w:tcPr>
            <w:tcW w:w="1680" w:type="dxa"/>
            <w:vAlign w:val="bottom"/>
          </w:tcPr>
          <w:p>
            <w:pPr>
              <w:ind w:left="1100"/>
              <w:spacing w:after="0"/>
              <w:rPr>
                <w:sz w:val="20"/>
                <w:szCs w:val="20"/>
                <w:color w:val="auto"/>
              </w:rPr>
            </w:pPr>
            <w:r>
              <w:rPr>
                <w:rFonts w:ascii="Arial" w:cs="Arial" w:eastAsia="Arial" w:hAnsi="Arial"/>
                <w:sz w:val="14"/>
                <w:szCs w:val="14"/>
                <w:color w:val="auto"/>
              </w:rPr>
              <w:t>n/a</w:t>
            </w:r>
          </w:p>
        </w:tc>
        <w:tc>
          <w:tcPr>
            <w:tcW w:w="1740" w:type="dxa"/>
            <w:vAlign w:val="bottom"/>
          </w:tcPr>
          <w:p>
            <w:pPr>
              <w:jc w:val="center"/>
              <w:ind w:left="68"/>
              <w:spacing w:after="0"/>
              <w:rPr>
                <w:sz w:val="20"/>
                <w:szCs w:val="20"/>
                <w:color w:val="auto"/>
              </w:rPr>
            </w:pPr>
            <w:r>
              <w:rPr>
                <w:rFonts w:ascii="Arial" w:cs="Arial" w:eastAsia="Arial" w:hAnsi="Arial"/>
                <w:sz w:val="14"/>
                <w:szCs w:val="14"/>
                <w:color w:val="auto"/>
                <w:w w:val="92"/>
              </w:rPr>
              <w:t>Cash flow hedge</w:t>
            </w:r>
          </w:p>
        </w:tc>
      </w:tr>
      <w:tr>
        <w:trPr>
          <w:trHeight w:val="223"/>
        </w:trPr>
        <w:tc>
          <w:tcPr>
            <w:tcW w:w="20" w:type="dxa"/>
            <w:vAlign w:val="bottom"/>
          </w:tcPr>
          <w:p>
            <w:pPr>
              <w:spacing w:after="0"/>
              <w:rPr>
                <w:sz w:val="19"/>
                <w:szCs w:val="19"/>
                <w:color w:val="auto"/>
              </w:rPr>
            </w:pPr>
          </w:p>
        </w:tc>
        <w:tc>
          <w:tcPr>
            <w:tcW w:w="7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96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r>
      <w:tr>
        <w:trPr>
          <w:trHeight w:val="136"/>
        </w:trPr>
        <w:tc>
          <w:tcPr>
            <w:tcW w:w="20" w:type="dxa"/>
            <w:vAlign w:val="bottom"/>
          </w:tcPr>
          <w:p>
            <w:pPr>
              <w:spacing w:after="0"/>
              <w:rPr>
                <w:sz w:val="11"/>
                <w:szCs w:val="11"/>
                <w:color w:val="auto"/>
              </w:rPr>
            </w:pPr>
          </w:p>
        </w:tc>
        <w:tc>
          <w:tcPr>
            <w:tcW w:w="7020" w:type="dxa"/>
            <w:vAlign w:val="bottom"/>
          </w:tcPr>
          <w:p>
            <w:pPr>
              <w:ind w:left="160"/>
              <w:spacing w:after="0" w:line="136" w:lineRule="exact"/>
              <w:rPr>
                <w:sz w:val="20"/>
                <w:szCs w:val="20"/>
                <w:color w:val="auto"/>
              </w:rPr>
            </w:pPr>
            <w:r>
              <w:rPr>
                <w:rFonts w:ascii="Arial" w:cs="Arial" w:eastAsia="Arial" w:hAnsi="Arial"/>
                <w:sz w:val="14"/>
                <w:szCs w:val="14"/>
                <w:color w:val="auto"/>
              </w:rPr>
              <w:t>Natural gas risk management activities (Bcf) (3)</w:t>
            </w:r>
          </w:p>
        </w:tc>
        <w:tc>
          <w:tcPr>
            <w:tcW w:w="960" w:type="dxa"/>
            <w:vAlign w:val="bottom"/>
          </w:tcPr>
          <w:p>
            <w:pPr>
              <w:jc w:val="center"/>
              <w:ind w:left="388"/>
              <w:spacing w:after="0" w:line="136" w:lineRule="exact"/>
              <w:rPr>
                <w:sz w:val="20"/>
                <w:szCs w:val="20"/>
                <w:color w:val="auto"/>
              </w:rPr>
            </w:pPr>
            <w:r>
              <w:rPr>
                <w:rFonts w:ascii="Arial" w:cs="Arial" w:eastAsia="Arial" w:hAnsi="Arial"/>
                <w:sz w:val="14"/>
                <w:szCs w:val="14"/>
                <w:color w:val="auto"/>
                <w:w w:val="95"/>
              </w:rPr>
              <w:t>52.3</w:t>
            </w:r>
          </w:p>
        </w:tc>
        <w:tc>
          <w:tcPr>
            <w:tcW w:w="1680" w:type="dxa"/>
            <w:vAlign w:val="bottom"/>
          </w:tcPr>
          <w:p>
            <w:pPr>
              <w:jc w:val="center"/>
              <w:ind w:left="628"/>
              <w:spacing w:after="0" w:line="136" w:lineRule="exact"/>
              <w:rPr>
                <w:sz w:val="20"/>
                <w:szCs w:val="20"/>
                <w:color w:val="auto"/>
              </w:rPr>
            </w:pPr>
            <w:r>
              <w:rPr>
                <w:rFonts w:ascii="Arial" w:cs="Arial" w:eastAsia="Arial" w:hAnsi="Arial"/>
                <w:sz w:val="14"/>
                <w:szCs w:val="14"/>
                <w:color w:val="auto"/>
                <w:w w:val="92"/>
              </w:rPr>
              <w:t>0.2</w:t>
            </w:r>
          </w:p>
        </w:tc>
        <w:tc>
          <w:tcPr>
            <w:tcW w:w="1740" w:type="dxa"/>
            <w:vAlign w:val="bottom"/>
          </w:tcPr>
          <w:p>
            <w:pPr>
              <w:jc w:val="center"/>
              <w:ind w:left="68"/>
              <w:spacing w:after="0" w:line="136" w:lineRule="exact"/>
              <w:rPr>
                <w:sz w:val="20"/>
                <w:szCs w:val="20"/>
                <w:color w:val="auto"/>
              </w:rPr>
            </w:pPr>
            <w:r>
              <w:rPr>
                <w:rFonts w:ascii="Arial" w:cs="Arial" w:eastAsia="Arial" w:hAnsi="Arial"/>
                <w:sz w:val="14"/>
                <w:szCs w:val="14"/>
                <w:color w:val="auto"/>
                <w:w w:val="96"/>
              </w:rPr>
              <w:t>Mark-to-market</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NGL risk management activities (MMBbls) (3)</w:t>
            </w:r>
          </w:p>
        </w:tc>
        <w:tc>
          <w:tcPr>
            <w:tcW w:w="960" w:type="dxa"/>
            <w:vAlign w:val="bottom"/>
            <w:shd w:val="clear" w:color="auto" w:fill="CCEEFF"/>
          </w:tcPr>
          <w:p>
            <w:pPr>
              <w:jc w:val="center"/>
              <w:ind w:left="388"/>
              <w:spacing w:after="0"/>
              <w:rPr>
                <w:sz w:val="20"/>
                <w:szCs w:val="20"/>
                <w:color w:val="auto"/>
              </w:rPr>
            </w:pPr>
            <w:r>
              <w:rPr>
                <w:rFonts w:ascii="Arial" w:cs="Arial" w:eastAsia="Arial" w:hAnsi="Arial"/>
                <w:sz w:val="14"/>
                <w:szCs w:val="14"/>
                <w:color w:val="auto"/>
                <w:w w:val="92"/>
              </w:rPr>
              <w:t>6.5</w:t>
            </w:r>
          </w:p>
        </w:tc>
        <w:tc>
          <w:tcPr>
            <w:tcW w:w="168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n/a</w:t>
            </w:r>
          </w:p>
        </w:tc>
        <w:tc>
          <w:tcPr>
            <w:tcW w:w="174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6"/>
              </w:rPr>
              <w:t>Mark-to-market</w:t>
            </w: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4"/>
                <w:szCs w:val="14"/>
                <w:color w:val="auto"/>
              </w:rPr>
              <w:t>Refined products risk management activities (MMBbls) (3)</w:t>
            </w:r>
          </w:p>
        </w:tc>
        <w:tc>
          <w:tcPr>
            <w:tcW w:w="960" w:type="dxa"/>
            <w:vAlign w:val="bottom"/>
          </w:tcPr>
          <w:p>
            <w:pPr>
              <w:jc w:val="center"/>
              <w:ind w:left="388"/>
              <w:spacing w:after="0"/>
              <w:rPr>
                <w:sz w:val="20"/>
                <w:szCs w:val="20"/>
                <w:color w:val="auto"/>
              </w:rPr>
            </w:pPr>
            <w:r>
              <w:rPr>
                <w:rFonts w:ascii="Arial" w:cs="Arial" w:eastAsia="Arial" w:hAnsi="Arial"/>
                <w:sz w:val="14"/>
                <w:szCs w:val="14"/>
                <w:color w:val="auto"/>
                <w:w w:val="92"/>
              </w:rPr>
              <w:t>9.4</w:t>
            </w:r>
          </w:p>
        </w:tc>
        <w:tc>
          <w:tcPr>
            <w:tcW w:w="1680" w:type="dxa"/>
            <w:vAlign w:val="bottom"/>
          </w:tcPr>
          <w:p>
            <w:pPr>
              <w:ind w:left="1100"/>
              <w:spacing w:after="0"/>
              <w:rPr>
                <w:sz w:val="20"/>
                <w:szCs w:val="20"/>
                <w:color w:val="auto"/>
              </w:rPr>
            </w:pPr>
            <w:r>
              <w:rPr>
                <w:rFonts w:ascii="Arial" w:cs="Arial" w:eastAsia="Arial" w:hAnsi="Arial"/>
                <w:sz w:val="14"/>
                <w:szCs w:val="14"/>
                <w:color w:val="auto"/>
              </w:rPr>
              <w:t>n/a</w:t>
            </w:r>
          </w:p>
        </w:tc>
        <w:tc>
          <w:tcPr>
            <w:tcW w:w="1740" w:type="dxa"/>
            <w:vAlign w:val="bottom"/>
          </w:tcPr>
          <w:p>
            <w:pPr>
              <w:jc w:val="center"/>
              <w:ind w:left="68"/>
              <w:spacing w:after="0"/>
              <w:rPr>
                <w:sz w:val="20"/>
                <w:szCs w:val="20"/>
                <w:color w:val="auto"/>
              </w:rPr>
            </w:pPr>
            <w:r>
              <w:rPr>
                <w:rFonts w:ascii="Arial" w:cs="Arial" w:eastAsia="Arial" w:hAnsi="Arial"/>
                <w:sz w:val="14"/>
                <w:szCs w:val="14"/>
                <w:color w:val="auto"/>
                <w:w w:val="96"/>
              </w:rPr>
              <w:t>Mark-to-market</w:t>
            </w:r>
          </w:p>
        </w:tc>
      </w:tr>
      <w:tr>
        <w:trPr>
          <w:trHeight w:val="149"/>
        </w:trPr>
        <w:tc>
          <w:tcPr>
            <w:tcW w:w="20" w:type="dxa"/>
            <w:vAlign w:val="bottom"/>
          </w:tcPr>
          <w:p>
            <w:pPr>
              <w:spacing w:after="0"/>
              <w:rPr>
                <w:sz w:val="12"/>
                <w:szCs w:val="12"/>
                <w:color w:val="auto"/>
              </w:rPr>
            </w:pPr>
          </w:p>
        </w:tc>
        <w:tc>
          <w:tcPr>
            <w:tcW w:w="70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Crude oil risk management activities (MMBbls) (3)</w:t>
            </w:r>
          </w:p>
        </w:tc>
        <w:tc>
          <w:tcPr>
            <w:tcW w:w="960" w:type="dxa"/>
            <w:vAlign w:val="bottom"/>
            <w:shd w:val="clear" w:color="auto" w:fill="CCEEFF"/>
          </w:tcPr>
          <w:p>
            <w:pPr>
              <w:jc w:val="center"/>
              <w:ind w:left="388"/>
              <w:spacing w:after="0" w:line="149" w:lineRule="exact"/>
              <w:rPr>
                <w:sz w:val="20"/>
                <w:szCs w:val="20"/>
                <w:color w:val="auto"/>
              </w:rPr>
            </w:pPr>
            <w:r>
              <w:rPr>
                <w:rFonts w:ascii="Arial" w:cs="Arial" w:eastAsia="Arial" w:hAnsi="Arial"/>
                <w:sz w:val="14"/>
                <w:szCs w:val="14"/>
                <w:color w:val="auto"/>
                <w:w w:val="95"/>
              </w:rPr>
              <w:t>27.3</w:t>
            </w:r>
          </w:p>
        </w:tc>
        <w:tc>
          <w:tcPr>
            <w:tcW w:w="1680" w:type="dxa"/>
            <w:vAlign w:val="bottom"/>
            <w:shd w:val="clear" w:color="auto" w:fill="CCEEFF"/>
          </w:tcPr>
          <w:p>
            <w:pPr>
              <w:jc w:val="center"/>
              <w:ind w:left="608"/>
              <w:spacing w:after="0" w:line="149" w:lineRule="exact"/>
              <w:rPr>
                <w:sz w:val="20"/>
                <w:szCs w:val="20"/>
                <w:color w:val="auto"/>
              </w:rPr>
            </w:pPr>
            <w:r>
              <w:rPr>
                <w:rFonts w:ascii="Arial" w:cs="Arial" w:eastAsia="Arial" w:hAnsi="Arial"/>
                <w:sz w:val="14"/>
                <w:szCs w:val="14"/>
                <w:color w:val="auto"/>
                <w:w w:val="87"/>
              </w:rPr>
              <w:t>11.0</w:t>
            </w:r>
          </w:p>
        </w:tc>
        <w:tc>
          <w:tcPr>
            <w:tcW w:w="1740" w:type="dxa"/>
            <w:vAlign w:val="bottom"/>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6"/>
              </w:rPr>
              <w:t>Mark-to-market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420" w:right="20" w:hanging="412"/>
        <w:spacing w:after="0" w:line="230" w:lineRule="auto"/>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Volume for derivatives designated as hedging instruments reflects the total amount of volumes hedged whereas volume for derivatives not designated as hedging instruments reflects the absolute value of derivative notional volumes.</w:t>
      </w:r>
    </w:p>
    <w:p>
      <w:pPr>
        <w:ind w:left="420" w:hanging="412"/>
        <w:spacing w:after="0" w:line="221" w:lineRule="auto"/>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maximum term for derivatives designated as cash flow hedges, derivatives designated as fair value hedges and derivatives not designated as hedging instruments is January 2021, April 2020 and December 2022, respectively.</w:t>
      </w:r>
    </w:p>
    <w:p>
      <w:pPr>
        <w:ind w:left="420" w:hanging="412"/>
        <w:spacing w:after="0"/>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Reflects the use of derivative instruments to manage risks associated with transportation, processing and storage assets.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2019, our predominant commodity hedging strategies consisted of (i) hedging anticipated future purchases and sales of commodity products associated with transportation, storage and blending activities, (ii) hedging natural gas processing margins and (iii) hedging the fair value of commodity products held in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Analysis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show the effect of hypothetical price movements on the estimated fair values of our principal commodity derivative instrument portfolios at the dates indicated (dollars in millions).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fair value information presented in the sensitivity analysis tables excludes the impact of applying Chicago Mercantile Exchange (“CME”) Rule 814, which deems that financial instruments cleared by the CME are settled daily in connection with variation margin payments. As a result of this exchange rule, CME-related derivatives are considered to have no fair value at the balance sheet date for financial reporting purposes; however, the derivatives remain outstanding and subject to future commodity price fluctuations until they are settled in accordance with their contractual terms. Derivative transactions cleared on exchanges other than the CME (e.g., the Intercontinental Exchange or ICE) continue to be reported on a gross basis.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Natural gas marketing portfolio</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060" w:type="dxa"/>
            <w:vAlign w:val="bottom"/>
            <w:vMerge w:val="restart"/>
          </w:tcPr>
          <w:p>
            <w:pPr>
              <w:jc w:val="center"/>
              <w:ind w:right="528"/>
              <w:spacing w:after="0"/>
              <w:rPr>
                <w:sz w:val="20"/>
                <w:szCs w:val="20"/>
                <w:color w:val="auto"/>
              </w:rPr>
            </w:pPr>
            <w:r>
              <w:rPr>
                <w:rFonts w:ascii="Arial" w:cs="Arial" w:eastAsia="Arial" w:hAnsi="Arial"/>
                <w:sz w:val="14"/>
                <w:szCs w:val="14"/>
                <w:b w:val="1"/>
                <w:bCs w:val="1"/>
                <w:color w:val="auto"/>
                <w:w w:val="90"/>
              </w:rPr>
              <w:t>Resulting</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5"/>
              </w:rPr>
              <w:t>Portfolio Fair Value at</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24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Scenario</w:t>
            </w:r>
          </w:p>
        </w:tc>
        <w:tc>
          <w:tcPr>
            <w:tcW w:w="30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jc w:val="right"/>
              <w:ind w:right="168"/>
              <w:spacing w:after="0" w:line="126"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0"/>
                <w:szCs w:val="10"/>
                <w:color w:val="auto"/>
              </w:rPr>
            </w:pPr>
          </w:p>
        </w:tc>
        <w:tc>
          <w:tcPr>
            <w:tcW w:w="1040" w:type="dxa"/>
            <w:vAlign w:val="bottom"/>
          </w:tcPr>
          <w:p>
            <w:pPr>
              <w:jc w:val="center"/>
              <w:ind w:right="148"/>
              <w:spacing w:after="0" w:line="126" w:lineRule="exact"/>
              <w:rPr>
                <w:sz w:val="20"/>
                <w:szCs w:val="20"/>
                <w:color w:val="auto"/>
              </w:rPr>
            </w:pPr>
            <w:r>
              <w:rPr>
                <w:rFonts w:ascii="Arial" w:cs="Arial" w:eastAsia="Arial" w:hAnsi="Arial"/>
                <w:sz w:val="14"/>
                <w:szCs w:val="14"/>
                <w:b w:val="1"/>
                <w:bCs w:val="1"/>
                <w:color w:val="auto"/>
                <w:w w:val="95"/>
              </w:rPr>
              <w:t>January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40" w:type="dxa"/>
            <w:vAlign w:val="bottom"/>
            <w:tcBorders>
              <w:bottom w:val="single" w:sz="8" w:color="auto"/>
            </w:tcBorders>
            <w:vMerge w:val="continue"/>
          </w:tcPr>
          <w:p>
            <w:pPr>
              <w:spacing w:after="0"/>
              <w:rPr>
                <w:sz w:val="15"/>
                <w:szCs w:val="15"/>
                <w:color w:val="auto"/>
              </w:rPr>
            </w:pPr>
          </w:p>
        </w:tc>
        <w:tc>
          <w:tcPr>
            <w:tcW w:w="3060" w:type="dxa"/>
            <w:vAlign w:val="bottom"/>
            <w:tcBorders>
              <w:bottom w:val="single" w:sz="8" w:color="auto"/>
            </w:tcBorders>
          </w:tcPr>
          <w:p>
            <w:pPr>
              <w:jc w:val="center"/>
              <w:ind w:right="508"/>
              <w:spacing w:after="0"/>
              <w:rPr>
                <w:sz w:val="20"/>
                <w:szCs w:val="20"/>
                <w:color w:val="auto"/>
              </w:rPr>
            </w:pPr>
            <w:r>
              <w:rPr>
                <w:rFonts w:ascii="Arial" w:cs="Arial" w:eastAsia="Arial" w:hAnsi="Arial"/>
                <w:sz w:val="14"/>
                <w:szCs w:val="14"/>
                <w:b w:val="1"/>
                <w:bCs w:val="1"/>
                <w:color w:val="auto"/>
                <w:w w:val="92"/>
              </w:rPr>
              <w:t>Classification</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Fair value assuming no change in underlying commodity</w:t>
            </w:r>
          </w:p>
        </w:tc>
        <w:tc>
          <w:tcPr>
            <w:tcW w:w="3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prices</w:t>
            </w:r>
          </w:p>
        </w:tc>
        <w:tc>
          <w:tcPr>
            <w:tcW w:w="3060" w:type="dxa"/>
            <w:vAlign w:val="bottom"/>
            <w:shd w:val="clear" w:color="auto" w:fill="CCEEFF"/>
          </w:tcPr>
          <w:p>
            <w:pPr>
              <w:jc w:val="center"/>
              <w:ind w:right="508"/>
              <w:spacing w:after="0"/>
              <w:rPr>
                <w:sz w:val="20"/>
                <w:szCs w:val="20"/>
                <w:color w:val="auto"/>
              </w:rPr>
            </w:pPr>
            <w:r>
              <w:rPr>
                <w:rFonts w:ascii="Arial" w:cs="Arial" w:eastAsia="Arial" w:hAnsi="Arial"/>
                <w:sz w:val="14"/>
                <w:szCs w:val="14"/>
                <w:i w:val="1"/>
                <w:iCs w:val="1"/>
                <w:color w:val="auto"/>
                <w:w w:val="96"/>
              </w:rPr>
              <w:t>Asset (Liability)</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40" w:type="dxa"/>
            <w:vAlign w:val="bottom"/>
          </w:tcPr>
          <w:p>
            <w:pPr>
              <w:spacing w:after="0" w:line="130" w:lineRule="exact"/>
              <w:rPr>
                <w:sz w:val="20"/>
                <w:szCs w:val="20"/>
                <w:color w:val="auto"/>
              </w:rPr>
            </w:pPr>
            <w:r>
              <w:rPr>
                <w:rFonts w:ascii="Arial" w:cs="Arial" w:eastAsia="Arial" w:hAnsi="Arial"/>
                <w:sz w:val="14"/>
                <w:szCs w:val="14"/>
                <w:color w:val="auto"/>
              </w:rPr>
              <w:t>Fair value assuming 10% increase in underlying commodity</w:t>
            </w:r>
          </w:p>
        </w:tc>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tcPr>
          <w:p>
            <w:pPr>
              <w:ind w:left="160"/>
              <w:spacing w:after="0"/>
              <w:rPr>
                <w:sz w:val="20"/>
                <w:szCs w:val="20"/>
                <w:color w:val="auto"/>
              </w:rPr>
            </w:pPr>
            <w:r>
              <w:rPr>
                <w:rFonts w:ascii="Arial" w:cs="Arial" w:eastAsia="Arial" w:hAnsi="Arial"/>
                <w:sz w:val="14"/>
                <w:szCs w:val="14"/>
                <w:color w:val="auto"/>
              </w:rPr>
              <w:t>prices</w:t>
            </w:r>
          </w:p>
        </w:tc>
        <w:tc>
          <w:tcPr>
            <w:tcW w:w="3060" w:type="dxa"/>
            <w:vAlign w:val="bottom"/>
          </w:tcPr>
          <w:p>
            <w:pPr>
              <w:jc w:val="center"/>
              <w:ind w:right="508"/>
              <w:spacing w:after="0"/>
              <w:rPr>
                <w:sz w:val="20"/>
                <w:szCs w:val="20"/>
                <w:color w:val="auto"/>
              </w:rPr>
            </w:pPr>
            <w:r>
              <w:rPr>
                <w:rFonts w:ascii="Arial" w:cs="Arial" w:eastAsia="Arial" w:hAnsi="Arial"/>
                <w:sz w:val="14"/>
                <w:szCs w:val="14"/>
                <w:i w:val="1"/>
                <w:iCs w:val="1"/>
                <w:color w:val="auto"/>
                <w:w w:val="96"/>
              </w:rPr>
              <w:t>Asset (Liability)</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(4.3)</w:t>
            </w:r>
          </w:p>
        </w:tc>
        <w:tc>
          <w:tcPr>
            <w:tcW w:w="22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Fair value assuming 10% decrease in underlying commodity</w:t>
            </w:r>
          </w:p>
        </w:tc>
        <w:tc>
          <w:tcPr>
            <w:tcW w:w="3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prices</w:t>
            </w:r>
          </w:p>
        </w:tc>
        <w:tc>
          <w:tcPr>
            <w:tcW w:w="3060" w:type="dxa"/>
            <w:vAlign w:val="bottom"/>
            <w:shd w:val="clear" w:color="auto" w:fill="CCEEFF"/>
          </w:tcPr>
          <w:p>
            <w:pPr>
              <w:jc w:val="center"/>
              <w:ind w:right="508"/>
              <w:spacing w:after="0"/>
              <w:rPr>
                <w:sz w:val="20"/>
                <w:szCs w:val="20"/>
                <w:color w:val="auto"/>
              </w:rPr>
            </w:pPr>
            <w:r>
              <w:rPr>
                <w:rFonts w:ascii="Arial" w:cs="Arial" w:eastAsia="Arial" w:hAnsi="Arial"/>
                <w:sz w:val="14"/>
                <w:szCs w:val="14"/>
                <w:i w:val="1"/>
                <w:iCs w:val="1"/>
                <w:color w:val="auto"/>
                <w:w w:val="96"/>
              </w:rPr>
              <w:t>Asset (Liability)</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NGL and refined products marketing, natural gas processing and octane enhancement portfolio</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060" w:type="dxa"/>
            <w:vAlign w:val="bottom"/>
            <w:vMerge w:val="restart"/>
          </w:tcPr>
          <w:p>
            <w:pPr>
              <w:jc w:val="center"/>
              <w:ind w:right="528"/>
              <w:spacing w:after="0"/>
              <w:rPr>
                <w:sz w:val="20"/>
                <w:szCs w:val="20"/>
                <w:color w:val="auto"/>
              </w:rPr>
            </w:pPr>
            <w:r>
              <w:rPr>
                <w:rFonts w:ascii="Arial" w:cs="Arial" w:eastAsia="Arial" w:hAnsi="Arial"/>
                <w:sz w:val="14"/>
                <w:szCs w:val="14"/>
                <w:b w:val="1"/>
                <w:bCs w:val="1"/>
                <w:color w:val="auto"/>
                <w:w w:val="90"/>
              </w:rPr>
              <w:t>Resulting</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5"/>
              </w:rPr>
              <w:t>Portfolio Fair Value at</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24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Scenario</w:t>
            </w:r>
          </w:p>
        </w:tc>
        <w:tc>
          <w:tcPr>
            <w:tcW w:w="30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jc w:val="right"/>
              <w:ind w:right="168"/>
              <w:spacing w:after="0" w:line="126"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0"/>
                <w:szCs w:val="10"/>
                <w:color w:val="auto"/>
              </w:rPr>
            </w:pPr>
          </w:p>
        </w:tc>
        <w:tc>
          <w:tcPr>
            <w:tcW w:w="1040" w:type="dxa"/>
            <w:vAlign w:val="bottom"/>
          </w:tcPr>
          <w:p>
            <w:pPr>
              <w:jc w:val="right"/>
              <w:ind w:right="188"/>
              <w:spacing w:after="0" w:line="126" w:lineRule="exact"/>
              <w:rPr>
                <w:sz w:val="20"/>
                <w:szCs w:val="20"/>
                <w:color w:val="auto"/>
              </w:rPr>
            </w:pPr>
            <w:r>
              <w:rPr>
                <w:rFonts w:ascii="Arial" w:cs="Arial" w:eastAsia="Arial" w:hAnsi="Arial"/>
                <w:sz w:val="14"/>
                <w:szCs w:val="14"/>
                <w:b w:val="1"/>
                <w:bCs w:val="1"/>
                <w:color w:val="auto"/>
                <w:w w:val="98"/>
              </w:rPr>
              <w:t>January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40" w:type="dxa"/>
            <w:vAlign w:val="bottom"/>
            <w:tcBorders>
              <w:bottom w:val="single" w:sz="8" w:color="auto"/>
            </w:tcBorders>
            <w:vMerge w:val="continue"/>
          </w:tcPr>
          <w:p>
            <w:pPr>
              <w:spacing w:after="0"/>
              <w:rPr>
                <w:sz w:val="15"/>
                <w:szCs w:val="15"/>
                <w:color w:val="auto"/>
              </w:rPr>
            </w:pPr>
          </w:p>
        </w:tc>
        <w:tc>
          <w:tcPr>
            <w:tcW w:w="3060" w:type="dxa"/>
            <w:vAlign w:val="bottom"/>
            <w:tcBorders>
              <w:bottom w:val="single" w:sz="8" w:color="auto"/>
            </w:tcBorders>
          </w:tcPr>
          <w:p>
            <w:pPr>
              <w:jc w:val="center"/>
              <w:ind w:right="508"/>
              <w:spacing w:after="0"/>
              <w:rPr>
                <w:sz w:val="20"/>
                <w:szCs w:val="20"/>
                <w:color w:val="auto"/>
              </w:rPr>
            </w:pPr>
            <w:r>
              <w:rPr>
                <w:rFonts w:ascii="Arial" w:cs="Arial" w:eastAsia="Arial" w:hAnsi="Arial"/>
                <w:sz w:val="14"/>
                <w:szCs w:val="14"/>
                <w:b w:val="1"/>
                <w:bCs w:val="1"/>
                <w:color w:val="auto"/>
                <w:w w:val="92"/>
              </w:rPr>
              <w:t>Classification</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Fair value assuming no change in underlying commodity</w:t>
            </w:r>
          </w:p>
        </w:tc>
        <w:tc>
          <w:tcPr>
            <w:tcW w:w="3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prices</w:t>
            </w:r>
          </w:p>
        </w:tc>
        <w:tc>
          <w:tcPr>
            <w:tcW w:w="3060" w:type="dxa"/>
            <w:vAlign w:val="bottom"/>
            <w:shd w:val="clear" w:color="auto" w:fill="CCEEFF"/>
          </w:tcPr>
          <w:p>
            <w:pPr>
              <w:jc w:val="center"/>
              <w:ind w:right="508"/>
              <w:spacing w:after="0"/>
              <w:rPr>
                <w:sz w:val="20"/>
                <w:szCs w:val="20"/>
                <w:color w:val="auto"/>
              </w:rPr>
            </w:pPr>
            <w:r>
              <w:rPr>
                <w:rFonts w:ascii="Arial" w:cs="Arial" w:eastAsia="Arial" w:hAnsi="Arial"/>
                <w:sz w:val="14"/>
                <w:szCs w:val="14"/>
                <w:i w:val="1"/>
                <w:iCs w:val="1"/>
                <w:color w:val="auto"/>
                <w:w w:val="96"/>
              </w:rPr>
              <w:t>Asset (Liability)</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40" w:type="dxa"/>
            <w:vAlign w:val="bottom"/>
          </w:tcPr>
          <w:p>
            <w:pPr>
              <w:spacing w:after="0" w:line="130" w:lineRule="exact"/>
              <w:rPr>
                <w:sz w:val="20"/>
                <w:szCs w:val="20"/>
                <w:color w:val="auto"/>
              </w:rPr>
            </w:pPr>
            <w:r>
              <w:rPr>
                <w:rFonts w:ascii="Arial" w:cs="Arial" w:eastAsia="Arial" w:hAnsi="Arial"/>
                <w:sz w:val="14"/>
                <w:szCs w:val="14"/>
                <w:color w:val="auto"/>
              </w:rPr>
              <w:t>Fair value assuming 10% increase in underlying commodity</w:t>
            </w:r>
          </w:p>
        </w:tc>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tcPr>
          <w:p>
            <w:pPr>
              <w:ind w:left="160"/>
              <w:spacing w:after="0"/>
              <w:rPr>
                <w:sz w:val="20"/>
                <w:szCs w:val="20"/>
                <w:color w:val="auto"/>
              </w:rPr>
            </w:pPr>
            <w:r>
              <w:rPr>
                <w:rFonts w:ascii="Arial" w:cs="Arial" w:eastAsia="Arial" w:hAnsi="Arial"/>
                <w:sz w:val="14"/>
                <w:szCs w:val="14"/>
                <w:color w:val="auto"/>
              </w:rPr>
              <w:t>prices</w:t>
            </w:r>
          </w:p>
        </w:tc>
        <w:tc>
          <w:tcPr>
            <w:tcW w:w="3060" w:type="dxa"/>
            <w:vAlign w:val="bottom"/>
          </w:tcPr>
          <w:p>
            <w:pPr>
              <w:jc w:val="center"/>
              <w:ind w:right="508"/>
              <w:spacing w:after="0"/>
              <w:rPr>
                <w:sz w:val="20"/>
                <w:szCs w:val="20"/>
                <w:color w:val="auto"/>
              </w:rPr>
            </w:pPr>
            <w:r>
              <w:rPr>
                <w:rFonts w:ascii="Arial" w:cs="Arial" w:eastAsia="Arial" w:hAnsi="Arial"/>
                <w:sz w:val="14"/>
                <w:szCs w:val="14"/>
                <w:i w:val="1"/>
                <w:iCs w:val="1"/>
                <w:color w:val="auto"/>
                <w:w w:val="96"/>
              </w:rPr>
              <w:t>Asset (Liability)</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(19.0)</w:t>
            </w:r>
          </w:p>
        </w:tc>
        <w:tc>
          <w:tcPr>
            <w:tcW w:w="22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Fair value assuming 10% decrease in underlying commodity</w:t>
            </w:r>
          </w:p>
        </w:tc>
        <w:tc>
          <w:tcPr>
            <w:tcW w:w="3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prices</w:t>
            </w:r>
          </w:p>
        </w:tc>
        <w:tc>
          <w:tcPr>
            <w:tcW w:w="3060" w:type="dxa"/>
            <w:vAlign w:val="bottom"/>
            <w:shd w:val="clear" w:color="auto" w:fill="CCEEFF"/>
          </w:tcPr>
          <w:p>
            <w:pPr>
              <w:jc w:val="center"/>
              <w:ind w:right="508"/>
              <w:spacing w:after="0"/>
              <w:rPr>
                <w:sz w:val="20"/>
                <w:szCs w:val="20"/>
                <w:color w:val="auto"/>
              </w:rPr>
            </w:pPr>
            <w:r>
              <w:rPr>
                <w:rFonts w:ascii="Arial" w:cs="Arial" w:eastAsia="Arial" w:hAnsi="Arial"/>
                <w:sz w:val="14"/>
                <w:szCs w:val="14"/>
                <w:i w:val="1"/>
                <w:iCs w:val="1"/>
                <w:color w:val="auto"/>
                <w:w w:val="96"/>
              </w:rPr>
              <w:t>Asset (Liability)</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106.4</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118.1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Crude oil marketing portfolio</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060" w:type="dxa"/>
            <w:vAlign w:val="bottom"/>
            <w:vMerge w:val="restart"/>
          </w:tcPr>
          <w:p>
            <w:pPr>
              <w:jc w:val="center"/>
              <w:ind w:right="528"/>
              <w:spacing w:after="0"/>
              <w:rPr>
                <w:sz w:val="20"/>
                <w:szCs w:val="20"/>
                <w:color w:val="auto"/>
              </w:rPr>
            </w:pPr>
            <w:r>
              <w:rPr>
                <w:rFonts w:ascii="Arial" w:cs="Arial" w:eastAsia="Arial" w:hAnsi="Arial"/>
                <w:sz w:val="14"/>
                <w:szCs w:val="14"/>
                <w:b w:val="1"/>
                <w:bCs w:val="1"/>
                <w:color w:val="auto"/>
                <w:w w:val="90"/>
              </w:rPr>
              <w:t>Resulting</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5"/>
              </w:rPr>
              <w:t>Portfolio Fair Value at</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24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Scenario</w:t>
            </w:r>
          </w:p>
        </w:tc>
        <w:tc>
          <w:tcPr>
            <w:tcW w:w="30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right"/>
              <w:ind w:right="268"/>
              <w:spacing w:after="0" w:line="126"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0"/>
                <w:szCs w:val="10"/>
                <w:color w:val="auto"/>
              </w:rPr>
            </w:pPr>
          </w:p>
        </w:tc>
        <w:tc>
          <w:tcPr>
            <w:tcW w:w="116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0"/>
                <w:szCs w:val="10"/>
                <w:color w:val="auto"/>
              </w:rPr>
            </w:pPr>
          </w:p>
        </w:tc>
        <w:tc>
          <w:tcPr>
            <w:tcW w:w="1040" w:type="dxa"/>
            <w:vAlign w:val="bottom"/>
          </w:tcPr>
          <w:p>
            <w:pPr>
              <w:jc w:val="right"/>
              <w:ind w:right="188"/>
              <w:spacing w:after="0" w:line="126" w:lineRule="exact"/>
              <w:rPr>
                <w:sz w:val="20"/>
                <w:szCs w:val="20"/>
                <w:color w:val="auto"/>
              </w:rPr>
            </w:pPr>
            <w:r>
              <w:rPr>
                <w:rFonts w:ascii="Arial" w:cs="Arial" w:eastAsia="Arial" w:hAnsi="Arial"/>
                <w:sz w:val="14"/>
                <w:szCs w:val="14"/>
                <w:b w:val="1"/>
                <w:bCs w:val="1"/>
                <w:color w:val="auto"/>
                <w:w w:val="98"/>
              </w:rPr>
              <w:t>January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40" w:type="dxa"/>
            <w:vAlign w:val="bottom"/>
            <w:tcBorders>
              <w:bottom w:val="single" w:sz="8" w:color="auto"/>
            </w:tcBorders>
            <w:vMerge w:val="continue"/>
          </w:tcPr>
          <w:p>
            <w:pPr>
              <w:spacing w:after="0"/>
              <w:rPr>
                <w:sz w:val="15"/>
                <w:szCs w:val="15"/>
                <w:color w:val="auto"/>
              </w:rPr>
            </w:pPr>
          </w:p>
        </w:tc>
        <w:tc>
          <w:tcPr>
            <w:tcW w:w="3060" w:type="dxa"/>
            <w:vAlign w:val="bottom"/>
            <w:tcBorders>
              <w:bottom w:val="single" w:sz="8" w:color="auto"/>
            </w:tcBorders>
          </w:tcPr>
          <w:p>
            <w:pPr>
              <w:jc w:val="center"/>
              <w:ind w:right="508"/>
              <w:spacing w:after="0"/>
              <w:rPr>
                <w:sz w:val="20"/>
                <w:szCs w:val="20"/>
                <w:color w:val="auto"/>
              </w:rPr>
            </w:pPr>
            <w:r>
              <w:rPr>
                <w:rFonts w:ascii="Arial" w:cs="Arial" w:eastAsia="Arial" w:hAnsi="Arial"/>
                <w:sz w:val="14"/>
                <w:szCs w:val="14"/>
                <w:b w:val="1"/>
                <w:bCs w:val="1"/>
                <w:color w:val="auto"/>
                <w:w w:val="92"/>
              </w:rPr>
              <w:t>Classification</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Fair value assuming no change in underlying commodity</w:t>
            </w:r>
          </w:p>
        </w:tc>
        <w:tc>
          <w:tcPr>
            <w:tcW w:w="3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prices</w:t>
            </w:r>
          </w:p>
        </w:tc>
        <w:tc>
          <w:tcPr>
            <w:tcW w:w="3060" w:type="dxa"/>
            <w:vAlign w:val="bottom"/>
            <w:shd w:val="clear" w:color="auto" w:fill="CCEEFF"/>
          </w:tcPr>
          <w:p>
            <w:pPr>
              <w:jc w:val="center"/>
              <w:ind w:right="508"/>
              <w:spacing w:after="0"/>
              <w:rPr>
                <w:sz w:val="20"/>
                <w:szCs w:val="20"/>
                <w:color w:val="auto"/>
              </w:rPr>
            </w:pPr>
            <w:r>
              <w:rPr>
                <w:rFonts w:ascii="Arial" w:cs="Arial" w:eastAsia="Arial" w:hAnsi="Arial"/>
                <w:sz w:val="14"/>
                <w:szCs w:val="14"/>
                <w:i w:val="1"/>
                <w:iCs w:val="1"/>
                <w:color w:val="auto"/>
                <w:w w:val="96"/>
              </w:rPr>
              <w:t>Asset (Liability)</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40" w:type="dxa"/>
            <w:vAlign w:val="bottom"/>
          </w:tcPr>
          <w:p>
            <w:pPr>
              <w:spacing w:after="0" w:line="130" w:lineRule="exact"/>
              <w:rPr>
                <w:sz w:val="20"/>
                <w:szCs w:val="20"/>
                <w:color w:val="auto"/>
              </w:rPr>
            </w:pPr>
            <w:r>
              <w:rPr>
                <w:rFonts w:ascii="Arial" w:cs="Arial" w:eastAsia="Arial" w:hAnsi="Arial"/>
                <w:sz w:val="14"/>
                <w:szCs w:val="14"/>
                <w:color w:val="auto"/>
              </w:rPr>
              <w:t>Fair value assuming 10% increase in underlying commodity</w:t>
            </w:r>
          </w:p>
        </w:tc>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tcPr>
          <w:p>
            <w:pPr>
              <w:ind w:left="160"/>
              <w:spacing w:after="0"/>
              <w:rPr>
                <w:sz w:val="20"/>
                <w:szCs w:val="20"/>
                <w:color w:val="auto"/>
              </w:rPr>
            </w:pPr>
            <w:r>
              <w:rPr>
                <w:rFonts w:ascii="Arial" w:cs="Arial" w:eastAsia="Arial" w:hAnsi="Arial"/>
                <w:sz w:val="14"/>
                <w:szCs w:val="14"/>
                <w:color w:val="auto"/>
              </w:rPr>
              <w:t>prices</w:t>
            </w:r>
          </w:p>
        </w:tc>
        <w:tc>
          <w:tcPr>
            <w:tcW w:w="3060" w:type="dxa"/>
            <w:vAlign w:val="bottom"/>
          </w:tcPr>
          <w:p>
            <w:pPr>
              <w:jc w:val="center"/>
              <w:ind w:right="508"/>
              <w:spacing w:after="0"/>
              <w:rPr>
                <w:sz w:val="20"/>
                <w:szCs w:val="20"/>
                <w:color w:val="auto"/>
              </w:rPr>
            </w:pPr>
            <w:r>
              <w:rPr>
                <w:rFonts w:ascii="Arial" w:cs="Arial" w:eastAsia="Arial" w:hAnsi="Arial"/>
                <w:sz w:val="14"/>
                <w:szCs w:val="14"/>
                <w:i w:val="1"/>
                <w:iCs w:val="1"/>
                <w:color w:val="auto"/>
                <w:w w:val="96"/>
              </w:rPr>
              <w:t>Asset (Liability)</w:t>
            </w:r>
          </w:p>
        </w:tc>
        <w:tc>
          <w:tcPr>
            <w:tcW w:w="2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(88.6)</w:t>
            </w:r>
          </w:p>
        </w:tc>
        <w:tc>
          <w:tcPr>
            <w:tcW w:w="1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(50.6)</w:t>
            </w:r>
          </w:p>
        </w:tc>
        <w:tc>
          <w:tcPr>
            <w:tcW w:w="22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Fair value assuming 10% decrease in underlying commodity</w:t>
            </w:r>
          </w:p>
        </w:tc>
        <w:tc>
          <w:tcPr>
            <w:tcW w:w="3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prices</w:t>
            </w:r>
          </w:p>
        </w:tc>
        <w:tc>
          <w:tcPr>
            <w:tcW w:w="3060" w:type="dxa"/>
            <w:vAlign w:val="bottom"/>
            <w:shd w:val="clear" w:color="auto" w:fill="CCEEFF"/>
          </w:tcPr>
          <w:p>
            <w:pPr>
              <w:jc w:val="center"/>
              <w:ind w:right="508"/>
              <w:spacing w:after="0"/>
              <w:rPr>
                <w:sz w:val="20"/>
                <w:szCs w:val="20"/>
                <w:color w:val="auto"/>
              </w:rPr>
            </w:pPr>
            <w:r>
              <w:rPr>
                <w:rFonts w:ascii="Arial" w:cs="Arial" w:eastAsia="Arial" w:hAnsi="Arial"/>
                <w:sz w:val="14"/>
                <w:szCs w:val="14"/>
                <w:i w:val="1"/>
                <w:iCs w:val="1"/>
                <w:color w:val="auto"/>
                <w:w w:val="96"/>
              </w:rPr>
              <w:t>Asset (Liability)</w:t>
            </w: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35.6</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31.5</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94.7</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Hedging Activities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utilize interest rate swaps, forward-starting swaps, options to enter into forward-starting swaps (“swaptions”), and similar derivative instruments to manage our exposure to changes in interest rates charged on borrowings under certain consolidated debt agreements. This strategy may be used in controlling our overall cost of capital associated with such borrowings.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8" w:name="page109"/>
    <w:bookmarkEnd w:id="10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Analysis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the tabular data below, the portfolio’s estimated economic value at a given date is based on a number of factors, including the number and types of derivatives outstanding at that date, the notional value of the swaps and associated interest rates. At December 31, 2019, our interest rate hedging portfolio consisted of 12 forward-starting swaps.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Forward-starting swaps hedge the risk of an increase in underlying benchmark interest rates during the period of time between the inception date of the swap agreement and the future date of a debt issuance. Under the terms of the forward-starting swaps, we pay to the counterparties (at the expected settlement dates of the instruments) amounts based on a fixed interest rate applied to a notional amount and receive from the counterparties an amount equal to a variable interest rate (based on LIBOR or an equivalent index rate) on the same notional amount.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portfolio of forward-starting swaps at December 31, 2019 (dollars in millions).</w:t>
      </w:r>
    </w:p>
    <w:p>
      <w:pPr>
        <w:spacing w:after="0" w:line="23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2480" w:type="dxa"/>
            <w:vAlign w:val="bottom"/>
          </w:tcPr>
          <w:p>
            <w:pPr>
              <w:jc w:val="center"/>
              <w:ind w:left="128"/>
              <w:spacing w:after="0"/>
              <w:rPr>
                <w:sz w:val="20"/>
                <w:szCs w:val="20"/>
                <w:color w:val="auto"/>
              </w:rPr>
            </w:pPr>
            <w:r>
              <w:rPr>
                <w:rFonts w:ascii="Arial" w:cs="Arial" w:eastAsia="Arial" w:hAnsi="Arial"/>
                <w:sz w:val="14"/>
                <w:szCs w:val="14"/>
                <w:b w:val="1"/>
                <w:bCs w:val="1"/>
                <w:color w:val="auto"/>
                <w:w w:val="94"/>
              </w:rPr>
              <w:t>Number and Type</w:t>
            </w:r>
          </w:p>
        </w:tc>
        <w:tc>
          <w:tcPr>
            <w:tcW w:w="14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Notional</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Expected</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104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49"/>
        </w:trPr>
        <w:tc>
          <w:tcPr>
            <w:tcW w:w="2020" w:type="dxa"/>
            <w:vAlign w:val="bottom"/>
            <w:vMerge w:val="restart"/>
          </w:tcPr>
          <w:p>
            <w:pPr>
              <w:spacing w:after="0"/>
              <w:rPr>
                <w:sz w:val="20"/>
                <w:szCs w:val="20"/>
                <w:color w:val="auto"/>
              </w:rPr>
            </w:pPr>
            <w:r>
              <w:rPr>
                <w:rFonts w:ascii="Arial" w:cs="Arial" w:eastAsia="Arial" w:hAnsi="Arial"/>
                <w:sz w:val="14"/>
                <w:szCs w:val="14"/>
                <w:b w:val="1"/>
                <w:bCs w:val="1"/>
                <w:color w:val="auto"/>
              </w:rPr>
              <w:t>Hedged Transaction</w:t>
            </w:r>
          </w:p>
        </w:tc>
        <w:tc>
          <w:tcPr>
            <w:tcW w:w="248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1"/>
              </w:rPr>
              <w:t>of Derivatives</w:t>
            </w:r>
          </w:p>
        </w:tc>
        <w:tc>
          <w:tcPr>
            <w:tcW w:w="1480" w:type="dxa"/>
            <w:vAlign w:val="bottom"/>
            <w:vMerge w:val="continue"/>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Settlement</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Fixed Rate</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20" w:type="dxa"/>
            <w:vAlign w:val="bottom"/>
            <w:vMerge w:val="continue"/>
          </w:tcPr>
          <w:p>
            <w:pPr>
              <w:spacing w:after="0"/>
              <w:rPr>
                <w:sz w:val="16"/>
                <w:szCs w:val="16"/>
                <w:color w:val="auto"/>
              </w:rPr>
            </w:pPr>
          </w:p>
        </w:tc>
        <w:tc>
          <w:tcPr>
            <w:tcW w:w="248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Outstanding</w:t>
            </w:r>
          </w:p>
        </w:tc>
        <w:tc>
          <w:tcPr>
            <w:tcW w:w="1480" w:type="dxa"/>
            <w:vAlign w:val="bottom"/>
          </w:tcPr>
          <w:p>
            <w:pPr>
              <w:ind w:left="580"/>
              <w:spacing w:after="0"/>
              <w:rPr>
                <w:sz w:val="20"/>
                <w:szCs w:val="20"/>
                <w:color w:val="auto"/>
              </w:rPr>
            </w:pPr>
            <w:r>
              <w:rPr>
                <w:rFonts w:ascii="Arial" w:cs="Arial" w:eastAsia="Arial" w:hAnsi="Arial"/>
                <w:sz w:val="14"/>
                <w:szCs w:val="14"/>
                <w:b w:val="1"/>
                <w:bCs w:val="1"/>
                <w:color w:val="auto"/>
              </w:rPr>
              <w:t>Amount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Locked</w:t>
            </w:r>
          </w:p>
        </w:tc>
        <w:tc>
          <w:tcPr>
            <w:tcW w:w="104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117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rPr>
          <w:sz w:val="20"/>
          <w:szCs w:val="20"/>
          <w:color w:val="auto"/>
        </w:rPr>
      </w:pPr>
      <w:r>
        <w:rPr>
          <w:rFonts w:ascii="Arial" w:cs="Arial" w:eastAsia="Arial" w:hAnsi="Arial"/>
          <w:sz w:val="13"/>
          <w:szCs w:val="13"/>
          <w:color w:val="auto"/>
        </w:rPr>
        <w:t>Future long-term debt offering</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Future long-term debt offering</w:t>
      </w:r>
    </w:p>
    <w:p>
      <w:pPr>
        <w:spacing w:after="0"/>
        <w:rPr>
          <w:sz w:val="20"/>
          <w:szCs w:val="20"/>
          <w:color w:val="auto"/>
        </w:rPr>
      </w:pPr>
      <w:r>
        <w:rPr>
          <w:rFonts w:ascii="Arial" w:cs="Arial" w:eastAsia="Arial" w:hAnsi="Arial"/>
          <w:sz w:val="13"/>
          <w:szCs w:val="13"/>
          <w:color w:val="auto"/>
        </w:rPr>
        <w:t>Future long-term debt offering</w:t>
      </w:r>
    </w:p>
    <w:p>
      <w:pPr>
        <w:spacing w:after="0"/>
        <w:rPr>
          <w:sz w:val="20"/>
          <w:szCs w:val="20"/>
          <w:color w:val="auto"/>
        </w:rPr>
      </w:pPr>
      <w:r>
        <w:rPr>
          <w:rFonts w:ascii="Arial" w:cs="Arial" w:eastAsia="Arial" w:hAnsi="Arial"/>
          <w:sz w:val="13"/>
          <w:szCs w:val="13"/>
          <w:color w:val="auto"/>
        </w:rPr>
        <w:t>Future long-term debt offering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2120" w:type="dxa"/>
            <w:vAlign w:val="bottom"/>
          </w:tcPr>
          <w:p>
            <w:pPr>
              <w:jc w:val="center"/>
              <w:ind w:right="408"/>
              <w:spacing w:after="0" w:line="142" w:lineRule="exact"/>
              <w:rPr>
                <w:sz w:val="20"/>
                <w:szCs w:val="20"/>
                <w:color w:val="auto"/>
              </w:rPr>
            </w:pPr>
            <w:r>
              <w:rPr>
                <w:rFonts w:ascii="Arial" w:cs="Arial" w:eastAsia="Arial" w:hAnsi="Arial"/>
                <w:sz w:val="14"/>
                <w:szCs w:val="14"/>
                <w:color w:val="auto"/>
                <w:w w:val="93"/>
              </w:rPr>
              <w:t>1 forward-starting swap (1)</w:t>
            </w:r>
          </w:p>
        </w:tc>
        <w:tc>
          <w:tcPr>
            <w:tcW w:w="1340" w:type="dxa"/>
            <w:vAlign w:val="bottom"/>
          </w:tcPr>
          <w:p>
            <w:pPr>
              <w:jc w:val="center"/>
              <w:spacing w:after="0" w:line="142" w:lineRule="exact"/>
              <w:rPr>
                <w:sz w:val="20"/>
                <w:szCs w:val="20"/>
                <w:color w:val="auto"/>
              </w:rPr>
            </w:pPr>
            <w:r>
              <w:rPr>
                <w:rFonts w:ascii="Arial" w:cs="Arial" w:eastAsia="Arial" w:hAnsi="Arial"/>
                <w:sz w:val="14"/>
                <w:szCs w:val="14"/>
                <w:color w:val="auto"/>
                <w:w w:val="96"/>
              </w:rPr>
              <w:t>$75.0</w:t>
            </w:r>
          </w:p>
        </w:tc>
        <w:tc>
          <w:tcPr>
            <w:tcW w:w="1500" w:type="dxa"/>
            <w:vAlign w:val="bottom"/>
          </w:tcPr>
          <w:p>
            <w:pPr>
              <w:jc w:val="right"/>
              <w:ind w:right="548"/>
              <w:spacing w:after="0" w:line="142" w:lineRule="exact"/>
              <w:rPr>
                <w:sz w:val="20"/>
                <w:szCs w:val="20"/>
                <w:color w:val="auto"/>
              </w:rPr>
            </w:pPr>
            <w:r>
              <w:rPr>
                <w:rFonts w:ascii="Arial" w:cs="Arial" w:eastAsia="Arial" w:hAnsi="Arial"/>
                <w:sz w:val="14"/>
                <w:szCs w:val="14"/>
                <w:color w:val="auto"/>
              </w:rPr>
              <w:t>9/2020</w:t>
            </w:r>
          </w:p>
        </w:tc>
        <w:tc>
          <w:tcPr>
            <w:tcW w:w="1460" w:type="dxa"/>
            <w:vAlign w:val="bottom"/>
          </w:tcPr>
          <w:p>
            <w:pPr>
              <w:jc w:val="right"/>
              <w:ind w:right="408"/>
              <w:spacing w:after="0" w:line="142" w:lineRule="exact"/>
              <w:rPr>
                <w:sz w:val="20"/>
                <w:szCs w:val="20"/>
                <w:color w:val="auto"/>
              </w:rPr>
            </w:pPr>
            <w:r>
              <w:rPr>
                <w:rFonts w:ascii="Arial" w:cs="Arial" w:eastAsia="Arial" w:hAnsi="Arial"/>
                <w:sz w:val="14"/>
                <w:szCs w:val="14"/>
                <w:color w:val="auto"/>
              </w:rPr>
              <w:t>2.39%</w:t>
            </w:r>
          </w:p>
        </w:tc>
        <w:tc>
          <w:tcPr>
            <w:tcW w:w="1440" w:type="dxa"/>
            <w:vAlign w:val="bottom"/>
          </w:tcPr>
          <w:p>
            <w:pPr>
              <w:ind w:left="480"/>
              <w:spacing w:after="0" w:line="142" w:lineRule="exact"/>
              <w:rPr>
                <w:sz w:val="20"/>
                <w:szCs w:val="20"/>
                <w:color w:val="auto"/>
              </w:rPr>
            </w:pPr>
            <w:r>
              <w:rPr>
                <w:rFonts w:ascii="Arial" w:cs="Arial" w:eastAsia="Arial" w:hAnsi="Arial"/>
                <w:sz w:val="14"/>
                <w:szCs w:val="14"/>
                <w:color w:val="auto"/>
                <w:w w:val="90"/>
              </w:rPr>
              <w:t>Cash flow hedge</w:t>
            </w:r>
          </w:p>
        </w:tc>
      </w:tr>
      <w:tr>
        <w:trPr>
          <w:trHeight w:val="149"/>
        </w:trPr>
        <w:tc>
          <w:tcPr>
            <w:tcW w:w="2120" w:type="dxa"/>
            <w:vAlign w:val="bottom"/>
          </w:tcPr>
          <w:p>
            <w:pPr>
              <w:jc w:val="center"/>
              <w:ind w:right="408"/>
              <w:spacing w:after="0" w:line="149" w:lineRule="exact"/>
              <w:rPr>
                <w:sz w:val="20"/>
                <w:szCs w:val="20"/>
                <w:color w:val="auto"/>
              </w:rPr>
            </w:pPr>
            <w:r>
              <w:rPr>
                <w:rFonts w:ascii="Arial" w:cs="Arial" w:eastAsia="Arial" w:hAnsi="Arial"/>
                <w:sz w:val="14"/>
                <w:szCs w:val="14"/>
                <w:color w:val="auto"/>
                <w:w w:val="93"/>
              </w:rPr>
              <w:t>1 forward-starting swap (1)</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6"/>
              </w:rPr>
              <w:t>$75.0</w:t>
            </w:r>
          </w:p>
        </w:tc>
        <w:tc>
          <w:tcPr>
            <w:tcW w:w="150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4/2021</w:t>
            </w:r>
          </w:p>
        </w:tc>
        <w:tc>
          <w:tcPr>
            <w:tcW w:w="146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2.41%</w:t>
            </w:r>
          </w:p>
        </w:tc>
        <w:tc>
          <w:tcPr>
            <w:tcW w:w="1440" w:type="dxa"/>
            <w:vAlign w:val="bottom"/>
          </w:tcPr>
          <w:p>
            <w:pPr>
              <w:ind w:left="480"/>
              <w:spacing w:after="0" w:line="149" w:lineRule="exact"/>
              <w:rPr>
                <w:sz w:val="20"/>
                <w:szCs w:val="20"/>
                <w:color w:val="auto"/>
              </w:rPr>
            </w:pPr>
            <w:r>
              <w:rPr>
                <w:rFonts w:ascii="Arial" w:cs="Arial" w:eastAsia="Arial" w:hAnsi="Arial"/>
                <w:sz w:val="14"/>
                <w:szCs w:val="14"/>
                <w:color w:val="auto"/>
                <w:w w:val="90"/>
              </w:rPr>
              <w:t>Cash flow hedge</w:t>
            </w:r>
          </w:p>
        </w:tc>
      </w:tr>
      <w:tr>
        <w:trPr>
          <w:trHeight w:val="149"/>
        </w:trPr>
        <w:tc>
          <w:tcPr>
            <w:tcW w:w="2120" w:type="dxa"/>
            <w:vAlign w:val="bottom"/>
          </w:tcPr>
          <w:p>
            <w:pPr>
              <w:jc w:val="center"/>
              <w:ind w:right="408"/>
              <w:spacing w:after="0" w:line="149" w:lineRule="exact"/>
              <w:rPr>
                <w:sz w:val="20"/>
                <w:szCs w:val="20"/>
                <w:color w:val="auto"/>
              </w:rPr>
            </w:pPr>
            <w:r>
              <w:rPr>
                <w:rFonts w:ascii="Arial" w:cs="Arial" w:eastAsia="Arial" w:hAnsi="Arial"/>
                <w:sz w:val="14"/>
                <w:szCs w:val="14"/>
                <w:color w:val="auto"/>
                <w:w w:val="94"/>
              </w:rPr>
              <w:t>5 forward-starting swaps (2)</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88"/>
              </w:rPr>
              <w:t>$500.0</w:t>
            </w:r>
          </w:p>
        </w:tc>
        <w:tc>
          <w:tcPr>
            <w:tcW w:w="150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9/2020</w:t>
            </w:r>
          </w:p>
        </w:tc>
        <w:tc>
          <w:tcPr>
            <w:tcW w:w="146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2.12%</w:t>
            </w:r>
          </w:p>
        </w:tc>
        <w:tc>
          <w:tcPr>
            <w:tcW w:w="1440" w:type="dxa"/>
            <w:vAlign w:val="bottom"/>
          </w:tcPr>
          <w:p>
            <w:pPr>
              <w:ind w:left="480"/>
              <w:spacing w:after="0" w:line="149" w:lineRule="exact"/>
              <w:rPr>
                <w:sz w:val="20"/>
                <w:szCs w:val="20"/>
                <w:color w:val="auto"/>
              </w:rPr>
            </w:pPr>
            <w:r>
              <w:rPr>
                <w:rFonts w:ascii="Arial" w:cs="Arial" w:eastAsia="Arial" w:hAnsi="Arial"/>
                <w:sz w:val="14"/>
                <w:szCs w:val="14"/>
                <w:color w:val="auto"/>
                <w:w w:val="90"/>
              </w:rPr>
              <w:t>Cash flow hedge</w:t>
            </w:r>
          </w:p>
        </w:tc>
      </w:tr>
      <w:tr>
        <w:trPr>
          <w:trHeight w:val="182"/>
        </w:trPr>
        <w:tc>
          <w:tcPr>
            <w:tcW w:w="2120" w:type="dxa"/>
            <w:vAlign w:val="bottom"/>
          </w:tcPr>
          <w:p>
            <w:pPr>
              <w:jc w:val="center"/>
              <w:ind w:right="408"/>
              <w:spacing w:after="0"/>
              <w:rPr>
                <w:sz w:val="20"/>
                <w:szCs w:val="20"/>
                <w:color w:val="auto"/>
              </w:rPr>
            </w:pPr>
            <w:r>
              <w:rPr>
                <w:rFonts w:ascii="Arial" w:cs="Arial" w:eastAsia="Arial" w:hAnsi="Arial"/>
                <w:sz w:val="14"/>
                <w:szCs w:val="14"/>
                <w:color w:val="auto"/>
                <w:w w:val="94"/>
              </w:rPr>
              <w:t>5 forward-starting swaps (2)</w:t>
            </w:r>
          </w:p>
        </w:tc>
        <w:tc>
          <w:tcPr>
            <w:tcW w:w="1340" w:type="dxa"/>
            <w:vAlign w:val="bottom"/>
          </w:tcPr>
          <w:p>
            <w:pPr>
              <w:jc w:val="center"/>
              <w:spacing w:after="0"/>
              <w:rPr>
                <w:sz w:val="20"/>
                <w:szCs w:val="20"/>
                <w:color w:val="auto"/>
              </w:rPr>
            </w:pPr>
            <w:r>
              <w:rPr>
                <w:rFonts w:ascii="Arial" w:cs="Arial" w:eastAsia="Arial" w:hAnsi="Arial"/>
                <w:sz w:val="14"/>
                <w:szCs w:val="14"/>
                <w:color w:val="auto"/>
                <w:w w:val="88"/>
              </w:rPr>
              <w:t>$500.0</w:t>
            </w:r>
          </w:p>
        </w:tc>
        <w:tc>
          <w:tcPr>
            <w:tcW w:w="1500" w:type="dxa"/>
            <w:vAlign w:val="bottom"/>
          </w:tcPr>
          <w:p>
            <w:pPr>
              <w:jc w:val="right"/>
              <w:ind w:right="548"/>
              <w:spacing w:after="0"/>
              <w:rPr>
                <w:sz w:val="20"/>
                <w:szCs w:val="20"/>
                <w:color w:val="auto"/>
              </w:rPr>
            </w:pPr>
            <w:r>
              <w:rPr>
                <w:rFonts w:ascii="Arial" w:cs="Arial" w:eastAsia="Arial" w:hAnsi="Arial"/>
                <w:sz w:val="14"/>
                <w:szCs w:val="14"/>
                <w:color w:val="auto"/>
              </w:rPr>
              <w:t>4/2021</w:t>
            </w:r>
          </w:p>
        </w:tc>
        <w:tc>
          <w:tcPr>
            <w:tcW w:w="1460" w:type="dxa"/>
            <w:vAlign w:val="bottom"/>
          </w:tcPr>
          <w:p>
            <w:pPr>
              <w:jc w:val="right"/>
              <w:ind w:right="408"/>
              <w:spacing w:after="0"/>
              <w:rPr>
                <w:sz w:val="20"/>
                <w:szCs w:val="20"/>
                <w:color w:val="auto"/>
              </w:rPr>
            </w:pPr>
            <w:r>
              <w:rPr>
                <w:rFonts w:ascii="Arial" w:cs="Arial" w:eastAsia="Arial" w:hAnsi="Arial"/>
                <w:sz w:val="14"/>
                <w:szCs w:val="14"/>
                <w:color w:val="auto"/>
              </w:rPr>
              <w:t>2.13%</w:t>
            </w:r>
          </w:p>
        </w:tc>
        <w:tc>
          <w:tcPr>
            <w:tcW w:w="1440" w:type="dxa"/>
            <w:vAlign w:val="bottom"/>
          </w:tcPr>
          <w:p>
            <w:pPr>
              <w:ind w:left="480"/>
              <w:spacing w:after="0"/>
              <w:rPr>
                <w:sz w:val="20"/>
                <w:szCs w:val="20"/>
                <w:color w:val="auto"/>
              </w:rPr>
            </w:pPr>
            <w:r>
              <w:rPr>
                <w:rFonts w:ascii="Arial" w:cs="Arial" w:eastAsia="Arial" w:hAnsi="Arial"/>
                <w:sz w:val="14"/>
                <w:szCs w:val="14"/>
                <w:color w:val="auto"/>
                <w:w w:val="90"/>
              </w:rPr>
              <w:t>Cash flow hedge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-197485</wp:posOffset>
            </wp:positionV>
            <wp:extent cx="7246620" cy="946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144780</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720"/>
            <w:col w:w="8180"/>
          </w:cols>
          <w:pgMar w:left="240" w:top="121" w:right="239" w:bottom="1440" w:gutter="0" w:footer="0" w:header="0"/>
          <w:type w:val="continuous"/>
        </w:sectPr>
      </w:pPr>
    </w:p>
    <w:p>
      <w:pPr>
        <w:spacing w:after="0" w:line="36"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swaps were entered into in May 2019.</w:t>
      </w:r>
    </w:p>
    <w:p>
      <w:pPr>
        <w:ind w:left="340" w:hanging="332"/>
        <w:spacing w:after="0" w:line="237"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swaps were entered into in September 2019 as a result of the exercise of swaptions. See “Interest Rate Hedging Activities” under Note 14 of the Notes to Consolidated Financial Statements included under Part II, Item 8 of this annual report for additional information regarding the swaption exercise and related loss at inception.</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January 2020, six forward-starting swaps having an aggregate notional amount of $575 million were terminated in connection with EPO’s issuance of $3.0 billion aggregate principal amount of senior notes. On January 31, 2020, we entered into two new forward-starting swaps (cash flow hedges) having an aggregate notional amount of $150 million, expected settlement dates in February 2022 and weighted-average fixed rates of approximately 1.7%.</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effect of hypothetical price movements (a sensitivity analysis) on the estimated economic value of our forward-starting swap portfolio at the dates indicated (dollars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Forward-Starting Swap</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300" w:type="dxa"/>
            <w:vAlign w:val="bottom"/>
          </w:tcPr>
          <w:p>
            <w:pPr>
              <w:spacing w:after="0"/>
              <w:rPr>
                <w:sz w:val="15"/>
                <w:szCs w:val="15"/>
                <w:color w:val="auto"/>
              </w:rPr>
            </w:pPr>
          </w:p>
        </w:tc>
        <w:tc>
          <w:tcPr>
            <w:tcW w:w="3020" w:type="dxa"/>
            <w:vAlign w:val="bottom"/>
            <w:vMerge w:val="restart"/>
          </w:tcPr>
          <w:p>
            <w:pPr>
              <w:jc w:val="center"/>
              <w:ind w:right="568"/>
              <w:spacing w:after="0"/>
              <w:rPr>
                <w:sz w:val="20"/>
                <w:szCs w:val="20"/>
                <w:color w:val="auto"/>
              </w:rPr>
            </w:pPr>
            <w:r>
              <w:rPr>
                <w:rFonts w:ascii="Arial" w:cs="Arial" w:eastAsia="Arial" w:hAnsi="Arial"/>
                <w:sz w:val="14"/>
                <w:szCs w:val="14"/>
                <w:b w:val="1"/>
                <w:bCs w:val="1"/>
                <w:color w:val="auto"/>
                <w:w w:val="90"/>
              </w:rPr>
              <w:t>Resulting</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w w:val="95"/>
              </w:rPr>
              <w:t>Portfolio Fair Value at</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30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Scenario</w:t>
            </w:r>
          </w:p>
        </w:tc>
        <w:tc>
          <w:tcPr>
            <w:tcW w:w="30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jc w:val="center"/>
              <w:ind w:right="168"/>
              <w:spacing w:after="0" w:line="126" w:lineRule="exact"/>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0"/>
                <w:szCs w:val="10"/>
                <w:color w:val="auto"/>
              </w:rPr>
            </w:pPr>
          </w:p>
        </w:tc>
        <w:tc>
          <w:tcPr>
            <w:tcW w:w="1220" w:type="dxa"/>
            <w:vAlign w:val="bottom"/>
          </w:tcPr>
          <w:p>
            <w:pPr>
              <w:jc w:val="right"/>
              <w:ind w:right="288"/>
              <w:spacing w:after="0" w:line="126"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0"/>
                <w:szCs w:val="10"/>
                <w:color w:val="auto"/>
              </w:rPr>
            </w:pPr>
          </w:p>
        </w:tc>
        <w:tc>
          <w:tcPr>
            <w:tcW w:w="1040" w:type="dxa"/>
            <w:vAlign w:val="bottom"/>
          </w:tcPr>
          <w:p>
            <w:pPr>
              <w:jc w:val="center"/>
              <w:ind w:right="148"/>
              <w:spacing w:after="0" w:line="126" w:lineRule="exact"/>
              <w:rPr>
                <w:sz w:val="20"/>
                <w:szCs w:val="20"/>
                <w:color w:val="auto"/>
              </w:rPr>
            </w:pPr>
            <w:r>
              <w:rPr>
                <w:rFonts w:ascii="Arial" w:cs="Arial" w:eastAsia="Arial" w:hAnsi="Arial"/>
                <w:sz w:val="14"/>
                <w:szCs w:val="14"/>
                <w:b w:val="1"/>
                <w:bCs w:val="1"/>
                <w:color w:val="auto"/>
                <w:w w:val="95"/>
              </w:rPr>
              <w:t>January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300" w:type="dxa"/>
            <w:vAlign w:val="bottom"/>
            <w:tcBorders>
              <w:bottom w:val="single" w:sz="8" w:color="auto"/>
            </w:tcBorders>
            <w:vMerge w:val="continue"/>
          </w:tcPr>
          <w:p>
            <w:pPr>
              <w:spacing w:after="0"/>
              <w:rPr>
                <w:sz w:val="15"/>
                <w:szCs w:val="15"/>
                <w:color w:val="auto"/>
              </w:rPr>
            </w:pPr>
          </w:p>
        </w:tc>
        <w:tc>
          <w:tcPr>
            <w:tcW w:w="3020" w:type="dxa"/>
            <w:vAlign w:val="bottom"/>
            <w:tcBorders>
              <w:bottom w:val="single" w:sz="8" w:color="auto"/>
            </w:tcBorders>
          </w:tcPr>
          <w:p>
            <w:pPr>
              <w:jc w:val="center"/>
              <w:ind w:right="548"/>
              <w:spacing w:after="0"/>
              <w:rPr>
                <w:sz w:val="20"/>
                <w:szCs w:val="20"/>
                <w:color w:val="auto"/>
              </w:rPr>
            </w:pPr>
            <w:r>
              <w:rPr>
                <w:rFonts w:ascii="Arial" w:cs="Arial" w:eastAsia="Arial" w:hAnsi="Arial"/>
                <w:sz w:val="14"/>
                <w:szCs w:val="14"/>
                <w:b w:val="1"/>
                <w:bCs w:val="1"/>
                <w:color w:val="auto"/>
                <w:w w:val="92"/>
              </w:rPr>
              <w:t>Classification</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Fair value assuming no change in underlying interest rates</w:t>
            </w:r>
          </w:p>
        </w:tc>
        <w:tc>
          <w:tcPr>
            <w:tcW w:w="3020" w:type="dxa"/>
            <w:vAlign w:val="bottom"/>
            <w:shd w:val="clear" w:color="auto" w:fill="CCEEFF"/>
          </w:tcPr>
          <w:p>
            <w:pPr>
              <w:jc w:val="center"/>
              <w:ind w:right="548"/>
              <w:spacing w:after="0"/>
              <w:rPr>
                <w:sz w:val="20"/>
                <w:szCs w:val="20"/>
                <w:color w:val="auto"/>
              </w:rPr>
            </w:pPr>
            <w:r>
              <w:rPr>
                <w:rFonts w:ascii="Arial" w:cs="Arial" w:eastAsia="Arial" w:hAnsi="Arial"/>
                <w:sz w:val="14"/>
                <w:szCs w:val="14"/>
                <w:i w:val="1"/>
                <w:iCs w:val="1"/>
                <w:color w:val="auto"/>
                <w:w w:val="96"/>
              </w:rPr>
              <w:t>Asset (Liability)</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1000"/>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4"/>
                <w:szCs w:val="14"/>
                <w:color w:val="auto"/>
              </w:rPr>
              <w:t>Fair value assuming 10% increase in underlying interest rates</w:t>
            </w:r>
          </w:p>
        </w:tc>
        <w:tc>
          <w:tcPr>
            <w:tcW w:w="3020" w:type="dxa"/>
            <w:vAlign w:val="bottom"/>
          </w:tcPr>
          <w:p>
            <w:pPr>
              <w:jc w:val="center"/>
              <w:ind w:right="548"/>
              <w:spacing w:after="0"/>
              <w:rPr>
                <w:sz w:val="20"/>
                <w:szCs w:val="20"/>
                <w:color w:val="auto"/>
              </w:rPr>
            </w:pPr>
            <w:r>
              <w:rPr>
                <w:rFonts w:ascii="Arial" w:cs="Arial" w:eastAsia="Arial" w:hAnsi="Arial"/>
                <w:sz w:val="14"/>
                <w:szCs w:val="14"/>
                <w:i w:val="1"/>
                <w:iCs w:val="1"/>
                <w:color w:val="auto"/>
                <w:w w:val="96"/>
              </w:rPr>
              <w:t>Asset (Liability)</w:t>
            </w:r>
          </w:p>
        </w:tc>
        <w:tc>
          <w:tcPr>
            <w:tcW w:w="220" w:type="dxa"/>
            <w:vAlign w:val="bottom"/>
          </w:tcPr>
          <w:p>
            <w:pPr>
              <w:spacing w:after="0"/>
              <w:rPr>
                <w:sz w:val="18"/>
                <w:szCs w:val="18"/>
                <w:color w:val="auto"/>
              </w:rPr>
            </w:pPr>
          </w:p>
        </w:tc>
        <w:tc>
          <w:tcPr>
            <w:tcW w:w="1080" w:type="dxa"/>
            <w:vAlign w:val="bottom"/>
          </w:tcPr>
          <w:p>
            <w:pPr>
              <w:ind w:left="1000"/>
              <w:spacing w:after="0"/>
              <w:rPr>
                <w:sz w:val="20"/>
                <w:szCs w:val="20"/>
                <w:color w:val="auto"/>
              </w:rPr>
            </w:pPr>
            <w:r>
              <w:rPr>
                <w:rFonts w:ascii="Arial" w:cs="Arial" w:eastAsia="Arial" w:hAnsi="Arial"/>
                <w:sz w:val="14"/>
                <w:szCs w:val="14"/>
                <w:color w:val="auto"/>
                <w:w w:val="76"/>
              </w:rPr>
              <w:t>–</w:t>
            </w:r>
          </w:p>
        </w:tc>
        <w:tc>
          <w:tcPr>
            <w:tcW w:w="280" w:type="dxa"/>
            <w:vAlign w:val="bottom"/>
          </w:tcPr>
          <w:p>
            <w:pPr>
              <w:spacing w:after="0"/>
              <w:rPr>
                <w:sz w:val="18"/>
                <w:szCs w:val="18"/>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38.2</w:t>
            </w: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Fair value assuming 10% decrease in underlying interest rates</w:t>
            </w:r>
          </w:p>
        </w:tc>
        <w:tc>
          <w:tcPr>
            <w:tcW w:w="3020" w:type="dxa"/>
            <w:vAlign w:val="bottom"/>
            <w:shd w:val="clear" w:color="auto" w:fill="CCEEFF"/>
          </w:tcPr>
          <w:p>
            <w:pPr>
              <w:jc w:val="center"/>
              <w:ind w:right="548"/>
              <w:spacing w:after="0"/>
              <w:rPr>
                <w:sz w:val="20"/>
                <w:szCs w:val="20"/>
                <w:color w:val="auto"/>
              </w:rPr>
            </w:pPr>
            <w:r>
              <w:rPr>
                <w:rFonts w:ascii="Arial" w:cs="Arial" w:eastAsia="Arial" w:hAnsi="Arial"/>
                <w:sz w:val="14"/>
                <w:szCs w:val="14"/>
                <w:i w:val="1"/>
                <w:iCs w:val="1"/>
                <w:color w:val="auto"/>
                <w:w w:val="96"/>
              </w:rPr>
              <w:t>Asset (Liability)</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ind w:left="1000"/>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$54.3 million change in the fair value of this portfolio from December 31, 2019 to January 31, 2020 was primarily due to declining interest rates relative to the fixed rates specified in the swap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LIBOR phase-out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variable rates referenced in interest rate swap agreements often reference the </w:t>
      </w:r>
      <w:r>
        <w:rPr>
          <w:rFonts w:ascii="Arial" w:cs="Arial" w:eastAsia="Arial" w:hAnsi="Arial"/>
          <w:sz w:val="18"/>
          <w:szCs w:val="18"/>
          <w:color w:val="212529"/>
        </w:rPr>
        <w:t>London Interbank Offered Rate (“LIBOR”). In July 2017, the Financial</w:t>
      </w:r>
      <w:r>
        <w:rPr>
          <w:rFonts w:ascii="Arial" w:cs="Arial" w:eastAsia="Arial" w:hAnsi="Arial"/>
          <w:sz w:val="18"/>
          <w:szCs w:val="18"/>
          <w:color w:val="auto"/>
        </w:rPr>
        <w:t xml:space="preserve"> </w:t>
      </w:r>
      <w:r>
        <w:rPr>
          <w:rFonts w:ascii="Arial" w:cs="Arial" w:eastAsia="Arial" w:hAnsi="Arial"/>
          <w:sz w:val="18"/>
          <w:szCs w:val="18"/>
          <w:color w:val="212529"/>
        </w:rPr>
        <w:t>Conduct Authority in the U.K. announced a desire to phase out LIBOR as a benchmark by the end of 2021. Financial industry working groups are developing replacement rates and methodologies to transition existing agreements that depend on LIBOR as a reference rate.</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12529"/>
        </w:rPr>
        <w:t>We currently do not expect the transition from LIBOR to have a material impact on us. However, if clear market standards and transition methodologies have not developed by the time LIBOR becomes unavailable, we may have difficulty reaching agreement on acceptable replacement rates. If we are unable to negotiate replacement rates on favorable terms, it could have an adverse effect on our results of operations and cash flows.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9" w:name="page110"/>
    <w:bookmarkEnd w:id="10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Purchase Obligations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long-term purchase commitments for natural gas, NGLs, crude oil, petrochemicals and refined products. For additional information regarding these commitments, see “</w:t>
      </w:r>
      <w:r>
        <w:rPr>
          <w:rFonts w:ascii="Arial" w:cs="Arial" w:eastAsia="Arial" w:hAnsi="Arial"/>
          <w:sz w:val="18"/>
          <w:szCs w:val="18"/>
          <w:i w:val="1"/>
          <w:iCs w:val="1"/>
          <w:color w:val="auto"/>
        </w:rPr>
        <w:t>Other Matters – Contractual Obligations</w:t>
      </w:r>
      <w:r>
        <w:rPr>
          <w:rFonts w:ascii="Arial" w:cs="Arial" w:eastAsia="Arial" w:hAnsi="Arial"/>
          <w:sz w:val="18"/>
          <w:szCs w:val="18"/>
          <w:color w:val="auto"/>
        </w:rPr>
        <w:t>” under Part II, Item 7 of this annual report.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Our audited consolidated financial statements begin on page F-1 of this annual report.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 CHANGES IN AND DISAGREEMENTS WITH ACCOUNTANTS 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ACCOUNTING AND FINANCIAL DISCLOSURE.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9A. CONTROLS AND PROCEDURES.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the end of the period covered by this annual report, our management carried out an evaluation, with the participation of (i) A. James Teague, Co-Chief Executive Officer of Enterprise GP and (ii) W. Randall Fowler, Co-Chief Executive Officer and Chief Financial Officer of Enterprise GP, of the effectiveness of our disclosure controls and procedures pursuant to Rule 13a-15 of the Securities Exchange Act of 1934. Mr. Teague is our co-principal executive officer (together with Mr. Fowler) and Mr. Fowler is our other co-principal executive officer and our principal financial officer. Based on this evaluation, as of the end of the period covered by this annual report, Messrs. Teague and Fowler concluded:</w:t>
      </w:r>
    </w:p>
    <w:p>
      <w:pPr>
        <w:spacing w:after="0" w:line="200" w:lineRule="exact"/>
        <w:rPr>
          <w:sz w:val="20"/>
          <w:szCs w:val="20"/>
          <w:color w:val="auto"/>
        </w:rPr>
      </w:pPr>
    </w:p>
    <w:p>
      <w:pPr>
        <w:jc w:val="both"/>
        <w:ind w:left="340" w:hanging="332"/>
        <w:spacing w:after="0" w:line="259"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our disclosure controls and procedures are designed to ensure that information required to be disclosed by us in the reports that we file or submit under the Securities Exchange Act of 1934 is recorded, processed, summarized and reported within the time periods specified in the SEC’s rules and forms, and that such information is accumulated and communicated to our management, including our principal executive and financial officers, as appropriate to allow for timely decisions regarding required disclosures; and</w:t>
      </w:r>
    </w:p>
    <w:p>
      <w:pPr>
        <w:spacing w:after="0" w:line="213" w:lineRule="exact"/>
        <w:rPr>
          <w:rFonts w:ascii="Arial" w:cs="Arial" w:eastAsia="Arial" w:hAnsi="Arial"/>
          <w:sz w:val="18"/>
          <w:szCs w:val="18"/>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our disclosure controls and procedures are effective.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were no changes in our internal controls over financial reporting (as defined in Rule 13a-15(f) under the Securities Exchange Act of 1934) during the fourth quarter of 2019, that have materially affected, or are reasonably likely to materially affect, our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302 and 906 Certifications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required certifications of Messrs. Teague and Fowler under Sections 302 and 906 of the Sarbanes-Oxley Act of 2002 are included as exhibits to this annual report (see Exhibits 31 and 32 under Part IV, Item 15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ANNUAL REPORT ON INTERNAL CONTROL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 FINANCIAL REPORTING AS OF DECEMBER 31, 2019</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management of Enterprise Products Partners L.P. and its consolidated subsidiaries, including its Co-Chief Executive Officer and its Co-Chief Executive Officer and Chief Financial Officer, is responsible for establishing and maintaining adequate internal control over financial reporting, as defined in Rules 13a-15(f) and 15d-15(f) of the Securities Exchange Act of 1934, as amended. Our internal control system was designed to provide reasonable assurance to the management of Enterprise Products Partners L.P. and the Board of Directors of its general partner regarding the preparation and fair presentation of Enterprise Products Partners L.P.’s published financial statements.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management assessed the effectiveness of Enterprise Products Partners L.P.’s internal control over financial reporting as of December 31, 2019.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This assessment included a review of the design and operating effectiveness of internal controls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as well as the safeguarding of assets. Based on our assessment, we believe that, as of December 31, 2019, Enterprise Products Partners L.P.’s internal control over financial reporting is effective based on those criteria.</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Audit and Conflicts Committee is comprised of independent directors who are not officers or employees of our general partner. This committee meets regularly with members of management, internal audit staff and representatives of Deloitte &amp; Touche LLP, which is our independent registered public accounting firm, to discuss the adequacy of Enterprise Products Partners L.P.’s internal controls over financial reporting, consolidated financial statements and the nature, extent and results of the audit effort. Management reviews all of Enterprise Products Partners L.P.’s significant accounting policies and assumptions that affect its results of operations with the Audit and Conflicts Committee. Both the independent registered public accounting firm and our internal auditors have direct access to the Audit and Conflicts Committee without the presence of management.</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Deloitte &amp; Touche LLP has issued its attestation report regarding our internal control over financial reporting. That report is included within this Part II, Item 9A (see “Report of Independent Registered Public Accounting Firm”).</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requirements of Rules 13a-15(f) and 15d-15(f) of the Securities Exchange Act of 1934, as amended, this annual report on Internal Control Over Financial Reporting has been signed below by the following persons on behalf of the registrant and in their respective capacities indicated below on February 28, 2020.</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20" w:type="dxa"/>
            <w:vAlign w:val="bottom"/>
            <w:gridSpan w:val="4"/>
          </w:tcPr>
          <w:p>
            <w:pPr>
              <w:spacing w:after="0"/>
              <w:rPr>
                <w:sz w:val="20"/>
                <w:szCs w:val="20"/>
                <w:color w:val="auto"/>
              </w:rPr>
            </w:pPr>
            <w:r>
              <w:rPr>
                <w:rFonts w:ascii="Arial" w:cs="Arial" w:eastAsia="Arial" w:hAnsi="Arial"/>
                <w:sz w:val="18"/>
                <w:szCs w:val="18"/>
                <w:i w:val="1"/>
                <w:iCs w:val="1"/>
                <w:color w:val="auto"/>
              </w:rPr>
              <w:t>/s/ A. James Teague</w:t>
            </w:r>
          </w:p>
        </w:tc>
        <w:tc>
          <w:tcPr>
            <w:tcW w:w="5600" w:type="dxa"/>
            <w:vAlign w:val="bottom"/>
            <w:gridSpan w:val="2"/>
          </w:tcPr>
          <w:p>
            <w:pPr>
              <w:spacing w:after="0"/>
              <w:rPr>
                <w:sz w:val="20"/>
                <w:szCs w:val="20"/>
                <w:color w:val="auto"/>
              </w:rPr>
            </w:pPr>
            <w:r>
              <w:rPr>
                <w:rFonts w:ascii="Arial" w:cs="Arial" w:eastAsia="Arial" w:hAnsi="Arial"/>
                <w:sz w:val="18"/>
                <w:szCs w:val="18"/>
                <w:i w:val="1"/>
                <w:iCs w:val="1"/>
                <w:color w:val="auto"/>
              </w:rPr>
              <w:t>/s/ W. Randall Fowler</w:t>
            </w:r>
          </w:p>
        </w:tc>
      </w:tr>
      <w:tr>
        <w:trPr>
          <w:trHeight w:val="202"/>
        </w:trPr>
        <w:tc>
          <w:tcPr>
            <w:tcW w:w="20" w:type="dxa"/>
            <w:vAlign w:val="bottom"/>
          </w:tcPr>
          <w:p>
            <w:pPr>
              <w:spacing w:after="0"/>
              <w:rPr>
                <w:sz w:val="17"/>
                <w:szCs w:val="17"/>
                <w:color w:val="auto"/>
              </w:rPr>
            </w:pPr>
          </w:p>
        </w:tc>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4800" w:type="dxa"/>
            <w:vAlign w:val="bottom"/>
            <w:tcBorders>
              <w:top w:val="single" w:sz="8" w:color="auto"/>
            </w:tcBorders>
          </w:tcPr>
          <w:p>
            <w:pPr>
              <w:ind w:left="240"/>
              <w:spacing w:after="0" w:line="201" w:lineRule="exact"/>
              <w:rPr>
                <w:sz w:val="20"/>
                <w:szCs w:val="20"/>
                <w:color w:val="auto"/>
              </w:rPr>
            </w:pPr>
            <w:r>
              <w:rPr>
                <w:rFonts w:ascii="Arial" w:cs="Arial" w:eastAsia="Arial" w:hAnsi="Arial"/>
                <w:sz w:val="18"/>
                <w:szCs w:val="18"/>
                <w:color w:val="auto"/>
              </w:rPr>
              <w:t>A. James Teague</w:t>
            </w:r>
          </w:p>
        </w:tc>
        <w:tc>
          <w:tcPr>
            <w:tcW w:w="300" w:type="dxa"/>
            <w:vAlign w:val="bottom"/>
          </w:tcPr>
          <w:p>
            <w:pPr>
              <w:spacing w:after="0"/>
              <w:rPr>
                <w:sz w:val="17"/>
                <w:szCs w:val="17"/>
                <w:color w:val="auto"/>
              </w:rPr>
            </w:pPr>
          </w:p>
        </w:tc>
        <w:tc>
          <w:tcPr>
            <w:tcW w:w="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4880" w:type="dxa"/>
            <w:vAlign w:val="bottom"/>
            <w:tcBorders>
              <w:top w:val="single" w:sz="8" w:color="auto"/>
            </w:tcBorders>
          </w:tcPr>
          <w:p>
            <w:pPr>
              <w:ind w:left="220"/>
              <w:spacing w:after="0" w:line="201" w:lineRule="exact"/>
              <w:rPr>
                <w:sz w:val="20"/>
                <w:szCs w:val="20"/>
                <w:color w:val="auto"/>
              </w:rPr>
            </w:pPr>
            <w:r>
              <w:rPr>
                <w:rFonts w:ascii="Arial" w:cs="Arial" w:eastAsia="Arial" w:hAnsi="Arial"/>
                <w:sz w:val="18"/>
                <w:szCs w:val="18"/>
                <w:color w:val="auto"/>
              </w:rPr>
              <w:t>W. Randall Fowler</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Title:</w:t>
            </w:r>
          </w:p>
        </w:tc>
        <w:tc>
          <w:tcPr>
            <w:tcW w:w="5100" w:type="dxa"/>
            <w:vAlign w:val="bottom"/>
            <w:gridSpan w:val="2"/>
          </w:tcPr>
          <w:p>
            <w:pPr>
              <w:ind w:left="240"/>
              <w:spacing w:after="0"/>
              <w:rPr>
                <w:sz w:val="20"/>
                <w:szCs w:val="20"/>
                <w:color w:val="auto"/>
              </w:rPr>
            </w:pPr>
            <w:r>
              <w:rPr>
                <w:rFonts w:ascii="Arial" w:cs="Arial" w:eastAsia="Arial" w:hAnsi="Arial"/>
                <w:sz w:val="18"/>
                <w:szCs w:val="18"/>
                <w:color w:val="auto"/>
              </w:rPr>
              <w:t>Co-Chief Executive Officer</w:t>
            </w:r>
          </w:p>
        </w:tc>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ind w:left="220"/>
              <w:spacing w:after="0"/>
              <w:rPr>
                <w:sz w:val="20"/>
                <w:szCs w:val="20"/>
                <w:color w:val="auto"/>
              </w:rPr>
            </w:pPr>
            <w:r>
              <w:rPr>
                <w:rFonts w:ascii="Arial" w:cs="Arial" w:eastAsia="Arial" w:hAnsi="Arial"/>
                <w:sz w:val="18"/>
                <w:szCs w:val="18"/>
                <w:color w:val="auto"/>
              </w:rPr>
              <w:t>Co-Chief Executive Officer</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of Enterprise Products Holdings LLC</w:t>
            </w:r>
          </w:p>
        </w:tc>
        <w:tc>
          <w:tcPr>
            <w:tcW w:w="7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and Chief Financial Officer</w:t>
            </w: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of Enterprise Products Holdings LLC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Enterprise Products Holdings LLC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Unitholders of Enterprise Products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Enterprise Products Partners L.P. and subsidiaries (the “Company”)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2019, based on the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COSO.</w:t>
      </w:r>
    </w:p>
    <w:p>
      <w:pPr>
        <w:spacing w:after="0" w:line="3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2019, of the Company and our report dated February 28, 2020, expressed an unqualified opinion on those financial statements.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as of December 31, 2019.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18"/>
          <w:szCs w:val="18"/>
          <w:color w:val="auto"/>
        </w:rPr>
        <w:t>DELOITTE &amp; TOUCHE LLP</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2" w:name="page113"/>
    <w:bookmarkEnd w:id="1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9B. OTHER INFORMATION.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10. DIRECTORS, EXECUTIVE OFFICERS AND PARTNERSHIP GOVERNANCE.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Management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2, 2020, Dan Duncan LLC, the sole member of Enterprise GP, re-elected the following individuals to the Board of Directors (the “Board”) of Enterprise GP: Richard H. Bachmann, Carin M. Barth, Murray E. Brasseux, W. Randall Fowler, James T. Hackett, William C. Montgomery, John R. Rutherford, Richard S. Snell, A. James Teague, Harry P. Weitzel and Randa Duncan Williams. Ms. Duncan Williams continues to serve as the non-executive Chairman of the Board, and Mr. Bachmann continues to serve as the non-executive Vice Chairman of the Board. Charles E. McMahen (who served as a director prior to January 2, 2020) was not re-elected to the Board.</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Dr. Ralph S. Cunningham, Larry J. Casey and Edwin C. Smith serve as “advisory directors” for Enterprise GP, and O.S. Andras serves as an “honorary director.” Service as an advisory or honorary director does not confer any of the rights, obligations, liabilities or responsibilities of a director of Enterprise GP (including any power or authority to vote on any matters as a director).</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is commonly the case with publicly traded limited partnerships, we do not directly employ any of the persons responsible for our management, administrative or operating functions. Pursuant to the ASA with EPCO, these roles are performed by employees of EPCO, which are under the direction of the Board and executive officers of Enterprise GP. The executive officers of Enterprise GP are elected for one-year terms and may be removed, with or without cause, only by the Board. Our unitholders do not elect the officers or directors of Enterprise GP. The DD LLC Trustees, through their control of Enterprise GP, have the ability to elect, remove and replace at any time, the officers and directors of Enterprise GP. Each member of the Board of Enterprise GP serves until such member’s death, resignation or removal. The employees of EPCO who served as directors of Enterprise GP during 2019 were Ms. Duncan Williams and Messrs. Bachmann, Fowler, Teague and Weitzel.</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any contractual limitation on its obligations or duties, Enterprise GP is liable for all debts we incur (to the extent not paid by us), except to the extent that such indebtedness or other obligations are non-recourse to Enterprise GP. Whenever possible, Enterprise GP intends to make any such indebtedness or other obligations non-recourse to itself.</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our limited partnership agreement and subject to specified limitations, we will indemnify to the fullest extent permitted by Delaware law, from and against all losses, claims, damages or similar events, any director or officer, or while serving as director or officer, any person who is or was serving as a tax matters member or as a director, officer, tax matters member, employee, partner, manager, fiduciary or trustee of our partnership or any of our affiliates. Additionally, we will indemnify to the fullest extent permitted by law, from and against all losses, claims, damages or similar events, any person who is or was an employee (other than an officer) or agent of Enterprise 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of the Chairman</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Office of the Chairman is a management oversight group comprised of four individuals: Ms. Duncan Williams (as Chairman of the Board), Mr. Bachmann (as Vice Chairman of the Board), Mr. Teague (as Co-Chief Executive Officer (“Co-CEO”)) and Mr. Fowler (as Co-CEO and Chief Financial Officer (“CFO”)). The purpose of the Office of the Chairman is for the group to serve collectively as a liaison between the Board and senior management with respect to, and to provide the Chairman, Vice-Chairman, Co-CEO, and Co-CEO/CFO a venue to discuss, certain matters including:</w:t>
      </w:r>
    </w:p>
    <w:p>
      <w:pPr>
        <w:spacing w:after="0" w:line="95" w:lineRule="exact"/>
        <w:rPr>
          <w:sz w:val="20"/>
          <w:szCs w:val="20"/>
          <w:color w:val="auto"/>
        </w:rPr>
      </w:pPr>
    </w:p>
    <w:p>
      <w:pPr>
        <w:ind w:left="500" w:hanging="330"/>
        <w:spacing w:after="0"/>
        <w:tabs>
          <w:tab w:leader="none" w:pos="500" w:val="left"/>
        </w:tabs>
        <w:numPr>
          <w:ilvl w:val="0"/>
          <w:numId w:val="65"/>
        </w:numPr>
        <w:rPr>
          <w:rFonts w:ascii="Arial" w:cs="Arial" w:eastAsia="Arial" w:hAnsi="Arial"/>
          <w:sz w:val="29"/>
          <w:szCs w:val="29"/>
          <w:color w:val="auto"/>
          <w:vertAlign w:val="superscript"/>
        </w:rPr>
      </w:pPr>
      <w:r>
        <w:rPr>
          <w:rFonts w:ascii="Arial" w:cs="Arial" w:eastAsia="Arial" w:hAnsi="Arial"/>
          <w:sz w:val="18"/>
          <w:szCs w:val="18"/>
          <w:color w:val="auto"/>
        </w:rPr>
        <w:t>the strategic direction of Enterprise (including business opportunities through organic growth and acquisitions);</w:t>
      </w:r>
    </w:p>
    <w:p>
      <w:pPr>
        <w:spacing w:after="0" w:line="139" w:lineRule="exact"/>
        <w:rPr>
          <w:rFonts w:ascii="Arial" w:cs="Arial" w:eastAsia="Arial" w:hAnsi="Arial"/>
          <w:sz w:val="29"/>
          <w:szCs w:val="29"/>
          <w:color w:val="auto"/>
          <w:vertAlign w:val="superscript"/>
        </w:rPr>
      </w:pPr>
    </w:p>
    <w:p>
      <w:pPr>
        <w:ind w:left="500" w:hanging="330"/>
        <w:spacing w:after="0" w:line="229" w:lineRule="auto"/>
        <w:tabs>
          <w:tab w:leader="none" w:pos="500" w:val="left"/>
        </w:tabs>
        <w:numPr>
          <w:ilvl w:val="0"/>
          <w:numId w:val="65"/>
        </w:numPr>
        <w:rPr>
          <w:rFonts w:ascii="Arial" w:cs="Arial" w:eastAsia="Arial" w:hAnsi="Arial"/>
          <w:sz w:val="29"/>
          <w:szCs w:val="29"/>
          <w:color w:val="auto"/>
          <w:vertAlign w:val="superscript"/>
        </w:rPr>
      </w:pPr>
      <w:r>
        <w:rPr>
          <w:rFonts w:ascii="Arial" w:cs="Arial" w:eastAsia="Arial" w:hAnsi="Arial"/>
          <w:sz w:val="18"/>
          <w:szCs w:val="18"/>
          <w:color w:val="auto"/>
        </w:rPr>
        <w:t>the vision, leadership and development of the management team;</w:t>
      </w:r>
    </w:p>
    <w:p>
      <w:pPr>
        <w:spacing w:after="0" w:line="140" w:lineRule="exact"/>
        <w:rPr>
          <w:rFonts w:ascii="Arial" w:cs="Arial" w:eastAsia="Arial" w:hAnsi="Arial"/>
          <w:sz w:val="29"/>
          <w:szCs w:val="29"/>
          <w:color w:val="auto"/>
          <w:vertAlign w:val="superscript"/>
        </w:rPr>
      </w:pPr>
    </w:p>
    <w:p>
      <w:pPr>
        <w:ind w:left="500" w:hanging="330"/>
        <w:spacing w:after="0" w:line="229" w:lineRule="auto"/>
        <w:tabs>
          <w:tab w:leader="none" w:pos="500" w:val="left"/>
        </w:tabs>
        <w:numPr>
          <w:ilvl w:val="0"/>
          <w:numId w:val="65"/>
        </w:numPr>
        <w:rPr>
          <w:rFonts w:ascii="Arial" w:cs="Arial" w:eastAsia="Arial" w:hAnsi="Arial"/>
          <w:sz w:val="29"/>
          <w:szCs w:val="29"/>
          <w:color w:val="auto"/>
          <w:vertAlign w:val="superscript"/>
        </w:rPr>
      </w:pPr>
      <w:r>
        <w:rPr>
          <w:rFonts w:ascii="Arial" w:cs="Arial" w:eastAsia="Arial" w:hAnsi="Arial"/>
          <w:sz w:val="18"/>
          <w:szCs w:val="18"/>
          <w:color w:val="auto"/>
        </w:rPr>
        <w:t>business goals and operational performance; and</w:t>
      </w:r>
    </w:p>
    <w:p>
      <w:pPr>
        <w:spacing w:after="0" w:line="140" w:lineRule="exact"/>
        <w:rPr>
          <w:rFonts w:ascii="Arial" w:cs="Arial" w:eastAsia="Arial" w:hAnsi="Arial"/>
          <w:sz w:val="29"/>
          <w:szCs w:val="29"/>
          <w:color w:val="auto"/>
          <w:vertAlign w:val="superscript"/>
        </w:rPr>
      </w:pPr>
    </w:p>
    <w:p>
      <w:pPr>
        <w:ind w:left="500" w:hanging="330"/>
        <w:spacing w:after="0" w:line="229" w:lineRule="auto"/>
        <w:tabs>
          <w:tab w:leader="none" w:pos="500" w:val="left"/>
        </w:tabs>
        <w:numPr>
          <w:ilvl w:val="0"/>
          <w:numId w:val="65"/>
        </w:numPr>
        <w:rPr>
          <w:rFonts w:ascii="Arial" w:cs="Arial" w:eastAsia="Arial" w:hAnsi="Arial"/>
          <w:sz w:val="29"/>
          <w:szCs w:val="29"/>
          <w:color w:val="auto"/>
          <w:vertAlign w:val="superscript"/>
        </w:rPr>
      </w:pPr>
      <w:r>
        <w:rPr>
          <w:rFonts w:ascii="Arial" w:cs="Arial" w:eastAsia="Arial" w:hAnsi="Arial"/>
          <w:sz w:val="18"/>
          <w:szCs w:val="18"/>
          <w:color w:val="auto"/>
        </w:rPr>
        <w:t>strategies to preserve our financial strength.</w:t>
      </w: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Office of the Chairman assists the Board and its Governance Committee in identifying director education opportunities and in determining the size and composition of the Board and recruitment of new members. The Office of the Chairman also oversees policies that (i) reflect our values and business goals and (ii) enhance the effectiveness of our governance structure. The Office of the Chairman also collectively oversees and provides strategic direction for our legal and human resources departments.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her role as Chairman of the Board (a non-executive role), Ms. Duncan Williams is responsible for, among other things: (i) presiding over and setting the agendas for meetings of the Board, with due consideration of our values and business goals and an effective governance structure; (ii) overseeing the appropriate flow of information to the Board; (iii) acting as a liaison between the Board and senior management; and (iv) meeting regularly with the Board to review our strategic direction.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his role as Vice Chairman of the Board (a non-executive role), Mr. Bachmann is responsible for, among other things: (i) assisting the Chairman of the Board in the execution of the Chairman of the Board’s functions and responsibilities, as requested from time to time by the Chairman of the Board; and (ii) meeting regularly with the Board to review our strategic direction.</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his role as Co-CEO, Mr. Teague is our co-principal executive officer and is responsible for, among other things: (i) managing our overall business and financial strategy and day-to-day operations; (ii) a principal focus area of overseeing and providing strategic direction for us, subject to Board approval, in the areas of operations, commercial activities, business development, and health and safety; and (iii) providing the required certifications as co-principal executive officer of Enterprise GP (together with Mr. Fowler) in connection with our disclosure controls and procedures and internal control over financial reporting.</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his role as Co-CEO/CFO, Mr. Fowler is our co-principal executive officer and our principal financial officer and is responsible for, among other things: (i) managing our overall business and financial strategy; (ii) a principal focus are of overseeing and providing strategic direction for us, subject to Board approval, in the areas of accounting, risk management, finance, treasury and cash management, information technology, investor relations, and public relations and (iii) providing the required certifications as both (a) a co-principal executive officer of Enterprise GP (together with Mr. Teague) and (b) the principal financial officer of Enterprise GP in connection with our disclosure controls and procedures and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Enterprise GP</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table sets forth the name, age and position of each of the directors, excluding advisory or honorary directors, and executive officers of Enterprise GP at February 28, 2020. Each executive officer holds the same respective office shown below in the managing member of EPO.</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tcBorders>
              <w:bottom w:val="single" w:sz="8" w:color="auto"/>
            </w:tcBorders>
          </w:tcPr>
          <w:p>
            <w:pPr>
              <w:jc w:val="center"/>
              <w:ind w:left="688"/>
              <w:spacing w:after="0"/>
              <w:rPr>
                <w:sz w:val="20"/>
                <w:szCs w:val="20"/>
                <w:color w:val="auto"/>
              </w:rPr>
            </w:pPr>
            <w:r>
              <w:rPr>
                <w:rFonts w:ascii="Arial" w:cs="Arial" w:eastAsia="Arial" w:hAnsi="Arial"/>
                <w:sz w:val="14"/>
                <w:szCs w:val="14"/>
                <w:b w:val="1"/>
                <w:bCs w:val="1"/>
                <w:color w:val="auto"/>
                <w:w w:val="90"/>
              </w:rPr>
              <w:t>Age</w:t>
            </w:r>
          </w:p>
        </w:tc>
        <w:tc>
          <w:tcPr>
            <w:tcW w:w="73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Position with Enterprise GP</w:t>
            </w: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Randa Duncan Williams (1,2,6)</w:t>
            </w:r>
          </w:p>
        </w:tc>
        <w:tc>
          <w:tcPr>
            <w:tcW w:w="1280" w:type="dxa"/>
            <w:vAlign w:val="bottom"/>
            <w:shd w:val="clear" w:color="auto" w:fill="CCEEFF"/>
          </w:tcPr>
          <w:p>
            <w:pPr>
              <w:jc w:val="center"/>
              <w:ind w:left="668"/>
              <w:spacing w:after="0" w:line="149" w:lineRule="exact"/>
              <w:rPr>
                <w:sz w:val="20"/>
                <w:szCs w:val="20"/>
                <w:color w:val="auto"/>
              </w:rPr>
            </w:pPr>
            <w:r>
              <w:rPr>
                <w:rFonts w:ascii="Arial" w:cs="Arial" w:eastAsia="Arial" w:hAnsi="Arial"/>
                <w:sz w:val="14"/>
                <w:szCs w:val="14"/>
                <w:color w:val="auto"/>
                <w:w w:val="89"/>
              </w:rPr>
              <w:t>58</w:t>
            </w:r>
          </w:p>
        </w:tc>
        <w:tc>
          <w:tcPr>
            <w:tcW w:w="7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Director and Chairman of the Board</w:t>
            </w: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Richard H. Bachmann (1,6)</w:t>
            </w:r>
          </w:p>
        </w:tc>
        <w:tc>
          <w:tcPr>
            <w:tcW w:w="1280" w:type="dxa"/>
            <w:vAlign w:val="bottom"/>
          </w:tcPr>
          <w:p>
            <w:pPr>
              <w:jc w:val="center"/>
              <w:ind w:left="668"/>
              <w:spacing w:after="0" w:line="149" w:lineRule="exact"/>
              <w:rPr>
                <w:sz w:val="20"/>
                <w:szCs w:val="20"/>
                <w:color w:val="auto"/>
              </w:rPr>
            </w:pPr>
            <w:r>
              <w:rPr>
                <w:rFonts w:ascii="Arial" w:cs="Arial" w:eastAsia="Arial" w:hAnsi="Arial"/>
                <w:sz w:val="14"/>
                <w:szCs w:val="14"/>
                <w:color w:val="auto"/>
                <w:w w:val="89"/>
              </w:rPr>
              <w:t>67</w:t>
            </w:r>
          </w:p>
        </w:tc>
        <w:tc>
          <w:tcPr>
            <w:tcW w:w="7360" w:type="dxa"/>
            <w:vAlign w:val="bottom"/>
          </w:tcPr>
          <w:p>
            <w:pPr>
              <w:ind w:left="140"/>
              <w:spacing w:after="0" w:line="149" w:lineRule="exact"/>
              <w:rPr>
                <w:sz w:val="20"/>
                <w:szCs w:val="20"/>
                <w:color w:val="auto"/>
              </w:rPr>
            </w:pPr>
            <w:r>
              <w:rPr>
                <w:rFonts w:ascii="Arial" w:cs="Arial" w:eastAsia="Arial" w:hAnsi="Arial"/>
                <w:sz w:val="14"/>
                <w:szCs w:val="14"/>
                <w:color w:val="auto"/>
              </w:rPr>
              <w:t>Director and Vice Chairman of the Board</w:t>
            </w: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 James Teague (1,6,7,8)</w:t>
            </w:r>
          </w:p>
        </w:tc>
        <w:tc>
          <w:tcPr>
            <w:tcW w:w="1280" w:type="dxa"/>
            <w:vAlign w:val="bottom"/>
            <w:shd w:val="clear" w:color="auto" w:fill="CCEEFF"/>
          </w:tcPr>
          <w:p>
            <w:pPr>
              <w:jc w:val="center"/>
              <w:ind w:left="668"/>
              <w:spacing w:after="0" w:line="149" w:lineRule="exact"/>
              <w:rPr>
                <w:sz w:val="20"/>
                <w:szCs w:val="20"/>
                <w:color w:val="auto"/>
              </w:rPr>
            </w:pPr>
            <w:r>
              <w:rPr>
                <w:rFonts w:ascii="Arial" w:cs="Arial" w:eastAsia="Arial" w:hAnsi="Arial"/>
                <w:sz w:val="14"/>
                <w:szCs w:val="14"/>
                <w:color w:val="auto"/>
                <w:w w:val="89"/>
              </w:rPr>
              <w:t>74</w:t>
            </w:r>
          </w:p>
        </w:tc>
        <w:tc>
          <w:tcPr>
            <w:tcW w:w="7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Director and Co-CEO</w:t>
            </w: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W. Randall Fowler (1,6,7,8)</w:t>
            </w:r>
          </w:p>
        </w:tc>
        <w:tc>
          <w:tcPr>
            <w:tcW w:w="1280" w:type="dxa"/>
            <w:vAlign w:val="bottom"/>
          </w:tcPr>
          <w:p>
            <w:pPr>
              <w:jc w:val="center"/>
              <w:ind w:left="668"/>
              <w:spacing w:after="0" w:line="149" w:lineRule="exact"/>
              <w:rPr>
                <w:sz w:val="20"/>
                <w:szCs w:val="20"/>
                <w:color w:val="auto"/>
              </w:rPr>
            </w:pPr>
            <w:r>
              <w:rPr>
                <w:rFonts w:ascii="Arial" w:cs="Arial" w:eastAsia="Arial" w:hAnsi="Arial"/>
                <w:sz w:val="14"/>
                <w:szCs w:val="14"/>
                <w:color w:val="auto"/>
                <w:w w:val="89"/>
              </w:rPr>
              <w:t>63</w:t>
            </w:r>
          </w:p>
        </w:tc>
        <w:tc>
          <w:tcPr>
            <w:tcW w:w="7360" w:type="dxa"/>
            <w:vAlign w:val="bottom"/>
          </w:tcPr>
          <w:p>
            <w:pPr>
              <w:ind w:left="140"/>
              <w:spacing w:after="0" w:line="149" w:lineRule="exact"/>
              <w:rPr>
                <w:sz w:val="20"/>
                <w:szCs w:val="20"/>
                <w:color w:val="auto"/>
              </w:rPr>
            </w:pPr>
            <w:r>
              <w:rPr>
                <w:rFonts w:ascii="Arial" w:cs="Arial" w:eastAsia="Arial" w:hAnsi="Arial"/>
                <w:sz w:val="14"/>
                <w:szCs w:val="14"/>
                <w:color w:val="auto"/>
              </w:rPr>
              <w:t>Director, Co-CEO and CFO</w:t>
            </w: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Carin M. Barth (2,6)</w:t>
            </w:r>
          </w:p>
        </w:tc>
        <w:tc>
          <w:tcPr>
            <w:tcW w:w="1280" w:type="dxa"/>
            <w:vAlign w:val="bottom"/>
            <w:shd w:val="clear" w:color="auto" w:fill="CCEEFF"/>
          </w:tcPr>
          <w:p>
            <w:pPr>
              <w:jc w:val="center"/>
              <w:ind w:left="668"/>
              <w:spacing w:after="0" w:line="149" w:lineRule="exact"/>
              <w:rPr>
                <w:sz w:val="20"/>
                <w:szCs w:val="20"/>
                <w:color w:val="auto"/>
              </w:rPr>
            </w:pPr>
            <w:r>
              <w:rPr>
                <w:rFonts w:ascii="Arial" w:cs="Arial" w:eastAsia="Arial" w:hAnsi="Arial"/>
                <w:sz w:val="14"/>
                <w:szCs w:val="14"/>
                <w:color w:val="auto"/>
                <w:w w:val="89"/>
              </w:rPr>
              <w:t>57</w:t>
            </w:r>
          </w:p>
        </w:tc>
        <w:tc>
          <w:tcPr>
            <w:tcW w:w="7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Director</w:t>
            </w: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Murray E. Brasseux (4)</w:t>
            </w:r>
          </w:p>
        </w:tc>
        <w:tc>
          <w:tcPr>
            <w:tcW w:w="1280" w:type="dxa"/>
            <w:vAlign w:val="bottom"/>
          </w:tcPr>
          <w:p>
            <w:pPr>
              <w:jc w:val="center"/>
              <w:ind w:left="668"/>
              <w:spacing w:after="0" w:line="149" w:lineRule="exact"/>
              <w:rPr>
                <w:sz w:val="20"/>
                <w:szCs w:val="20"/>
                <w:color w:val="auto"/>
              </w:rPr>
            </w:pPr>
            <w:r>
              <w:rPr>
                <w:rFonts w:ascii="Arial" w:cs="Arial" w:eastAsia="Arial" w:hAnsi="Arial"/>
                <w:sz w:val="14"/>
                <w:szCs w:val="14"/>
                <w:color w:val="auto"/>
                <w:w w:val="89"/>
              </w:rPr>
              <w:t>70</w:t>
            </w:r>
          </w:p>
        </w:tc>
        <w:tc>
          <w:tcPr>
            <w:tcW w:w="7360" w:type="dxa"/>
            <w:vAlign w:val="bottom"/>
          </w:tcPr>
          <w:p>
            <w:pPr>
              <w:ind w:left="140"/>
              <w:spacing w:after="0" w:line="149" w:lineRule="exact"/>
              <w:rPr>
                <w:sz w:val="20"/>
                <w:szCs w:val="20"/>
                <w:color w:val="auto"/>
              </w:rPr>
            </w:pPr>
            <w:r>
              <w:rPr>
                <w:rFonts w:ascii="Arial" w:cs="Arial" w:eastAsia="Arial" w:hAnsi="Arial"/>
                <w:sz w:val="14"/>
                <w:szCs w:val="14"/>
                <w:color w:val="auto"/>
              </w:rPr>
              <w:t>Director</w:t>
            </w: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James T. Hackett (2,3,6)</w:t>
            </w:r>
          </w:p>
        </w:tc>
        <w:tc>
          <w:tcPr>
            <w:tcW w:w="1280" w:type="dxa"/>
            <w:vAlign w:val="bottom"/>
            <w:shd w:val="clear" w:color="auto" w:fill="CCEEFF"/>
          </w:tcPr>
          <w:p>
            <w:pPr>
              <w:jc w:val="center"/>
              <w:ind w:left="668"/>
              <w:spacing w:after="0" w:line="149" w:lineRule="exact"/>
              <w:rPr>
                <w:sz w:val="20"/>
                <w:szCs w:val="20"/>
                <w:color w:val="auto"/>
              </w:rPr>
            </w:pPr>
            <w:r>
              <w:rPr>
                <w:rFonts w:ascii="Arial" w:cs="Arial" w:eastAsia="Arial" w:hAnsi="Arial"/>
                <w:sz w:val="14"/>
                <w:szCs w:val="14"/>
                <w:color w:val="auto"/>
                <w:w w:val="89"/>
              </w:rPr>
              <w:t>66</w:t>
            </w:r>
          </w:p>
        </w:tc>
        <w:tc>
          <w:tcPr>
            <w:tcW w:w="7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Director</w:t>
            </w: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William C. Montgomery (4,5)</w:t>
            </w:r>
          </w:p>
        </w:tc>
        <w:tc>
          <w:tcPr>
            <w:tcW w:w="1280" w:type="dxa"/>
            <w:vAlign w:val="bottom"/>
          </w:tcPr>
          <w:p>
            <w:pPr>
              <w:jc w:val="center"/>
              <w:ind w:left="668"/>
              <w:spacing w:after="0" w:line="149" w:lineRule="exact"/>
              <w:rPr>
                <w:sz w:val="20"/>
                <w:szCs w:val="20"/>
                <w:color w:val="auto"/>
              </w:rPr>
            </w:pPr>
            <w:r>
              <w:rPr>
                <w:rFonts w:ascii="Arial" w:cs="Arial" w:eastAsia="Arial" w:hAnsi="Arial"/>
                <w:sz w:val="14"/>
                <w:szCs w:val="14"/>
                <w:color w:val="auto"/>
                <w:w w:val="89"/>
              </w:rPr>
              <w:t>58</w:t>
            </w:r>
          </w:p>
        </w:tc>
        <w:tc>
          <w:tcPr>
            <w:tcW w:w="7360" w:type="dxa"/>
            <w:vAlign w:val="bottom"/>
          </w:tcPr>
          <w:p>
            <w:pPr>
              <w:ind w:left="140"/>
              <w:spacing w:after="0" w:line="149" w:lineRule="exact"/>
              <w:rPr>
                <w:sz w:val="20"/>
                <w:szCs w:val="20"/>
                <w:color w:val="auto"/>
              </w:rPr>
            </w:pPr>
            <w:r>
              <w:rPr>
                <w:rFonts w:ascii="Arial" w:cs="Arial" w:eastAsia="Arial" w:hAnsi="Arial"/>
                <w:sz w:val="14"/>
                <w:szCs w:val="14"/>
                <w:color w:val="auto"/>
              </w:rPr>
              <w:t>Director</w:t>
            </w: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John R. Rutherford (4)</w:t>
            </w:r>
          </w:p>
        </w:tc>
        <w:tc>
          <w:tcPr>
            <w:tcW w:w="1280" w:type="dxa"/>
            <w:vAlign w:val="bottom"/>
            <w:shd w:val="clear" w:color="auto" w:fill="CCEEFF"/>
          </w:tcPr>
          <w:p>
            <w:pPr>
              <w:jc w:val="center"/>
              <w:ind w:left="668"/>
              <w:spacing w:after="0" w:line="149" w:lineRule="exact"/>
              <w:rPr>
                <w:sz w:val="20"/>
                <w:szCs w:val="20"/>
                <w:color w:val="auto"/>
              </w:rPr>
            </w:pPr>
            <w:r>
              <w:rPr>
                <w:rFonts w:ascii="Arial" w:cs="Arial" w:eastAsia="Arial" w:hAnsi="Arial"/>
                <w:sz w:val="14"/>
                <w:szCs w:val="14"/>
                <w:color w:val="auto"/>
                <w:w w:val="89"/>
              </w:rPr>
              <w:t>59</w:t>
            </w:r>
          </w:p>
        </w:tc>
        <w:tc>
          <w:tcPr>
            <w:tcW w:w="7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Director</w:t>
            </w: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Richard S. Snell (4,6)</w:t>
            </w:r>
          </w:p>
        </w:tc>
        <w:tc>
          <w:tcPr>
            <w:tcW w:w="1280" w:type="dxa"/>
            <w:vAlign w:val="bottom"/>
          </w:tcPr>
          <w:p>
            <w:pPr>
              <w:jc w:val="center"/>
              <w:ind w:left="668"/>
              <w:spacing w:after="0" w:line="149" w:lineRule="exact"/>
              <w:rPr>
                <w:sz w:val="20"/>
                <w:szCs w:val="20"/>
                <w:color w:val="auto"/>
              </w:rPr>
            </w:pPr>
            <w:r>
              <w:rPr>
                <w:rFonts w:ascii="Arial" w:cs="Arial" w:eastAsia="Arial" w:hAnsi="Arial"/>
                <w:sz w:val="14"/>
                <w:szCs w:val="14"/>
                <w:color w:val="auto"/>
                <w:w w:val="89"/>
              </w:rPr>
              <w:t>77</w:t>
            </w:r>
          </w:p>
        </w:tc>
        <w:tc>
          <w:tcPr>
            <w:tcW w:w="7360" w:type="dxa"/>
            <w:vAlign w:val="bottom"/>
          </w:tcPr>
          <w:p>
            <w:pPr>
              <w:ind w:left="140"/>
              <w:spacing w:after="0" w:line="149" w:lineRule="exact"/>
              <w:rPr>
                <w:sz w:val="20"/>
                <w:szCs w:val="20"/>
                <w:color w:val="auto"/>
              </w:rPr>
            </w:pPr>
            <w:r>
              <w:rPr>
                <w:rFonts w:ascii="Arial" w:cs="Arial" w:eastAsia="Arial" w:hAnsi="Arial"/>
                <w:sz w:val="14"/>
                <w:szCs w:val="14"/>
                <w:color w:val="auto"/>
              </w:rPr>
              <w:t>Director</w:t>
            </w: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Harry P. Weitzel (6,8)</w:t>
            </w:r>
          </w:p>
        </w:tc>
        <w:tc>
          <w:tcPr>
            <w:tcW w:w="1280" w:type="dxa"/>
            <w:vAlign w:val="bottom"/>
            <w:shd w:val="clear" w:color="auto" w:fill="CCEEFF"/>
          </w:tcPr>
          <w:p>
            <w:pPr>
              <w:jc w:val="center"/>
              <w:ind w:left="668"/>
              <w:spacing w:after="0" w:line="149" w:lineRule="exact"/>
              <w:rPr>
                <w:sz w:val="20"/>
                <w:szCs w:val="20"/>
                <w:color w:val="auto"/>
              </w:rPr>
            </w:pPr>
            <w:r>
              <w:rPr>
                <w:rFonts w:ascii="Arial" w:cs="Arial" w:eastAsia="Arial" w:hAnsi="Arial"/>
                <w:sz w:val="14"/>
                <w:szCs w:val="14"/>
                <w:color w:val="auto"/>
                <w:w w:val="89"/>
              </w:rPr>
              <w:t>55</w:t>
            </w:r>
          </w:p>
        </w:tc>
        <w:tc>
          <w:tcPr>
            <w:tcW w:w="7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Director and Executive Vice President, General Counsel and Secretary</w:t>
            </w: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Graham W. Bacon (8)</w:t>
            </w:r>
          </w:p>
        </w:tc>
        <w:tc>
          <w:tcPr>
            <w:tcW w:w="1280" w:type="dxa"/>
            <w:vAlign w:val="bottom"/>
          </w:tcPr>
          <w:p>
            <w:pPr>
              <w:jc w:val="center"/>
              <w:ind w:left="668"/>
              <w:spacing w:after="0" w:line="149" w:lineRule="exact"/>
              <w:rPr>
                <w:sz w:val="20"/>
                <w:szCs w:val="20"/>
                <w:color w:val="auto"/>
              </w:rPr>
            </w:pPr>
            <w:r>
              <w:rPr>
                <w:rFonts w:ascii="Arial" w:cs="Arial" w:eastAsia="Arial" w:hAnsi="Arial"/>
                <w:sz w:val="14"/>
                <w:szCs w:val="14"/>
                <w:color w:val="auto"/>
                <w:w w:val="89"/>
              </w:rPr>
              <w:t>56</w:t>
            </w:r>
          </w:p>
        </w:tc>
        <w:tc>
          <w:tcPr>
            <w:tcW w:w="7360" w:type="dxa"/>
            <w:vAlign w:val="bottom"/>
          </w:tcPr>
          <w:p>
            <w:pPr>
              <w:ind w:left="140"/>
              <w:spacing w:after="0" w:line="149" w:lineRule="exact"/>
              <w:rPr>
                <w:sz w:val="20"/>
                <w:szCs w:val="20"/>
                <w:color w:val="auto"/>
              </w:rPr>
            </w:pPr>
            <w:r>
              <w:rPr>
                <w:rFonts w:ascii="Arial" w:cs="Arial" w:eastAsia="Arial" w:hAnsi="Arial"/>
                <w:sz w:val="14"/>
                <w:szCs w:val="14"/>
                <w:color w:val="auto"/>
              </w:rPr>
              <w:t>Executive Vice President and Chief Operating Officer</w:t>
            </w: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 Daniel Boss (8)</w:t>
            </w:r>
          </w:p>
        </w:tc>
        <w:tc>
          <w:tcPr>
            <w:tcW w:w="1280" w:type="dxa"/>
            <w:vAlign w:val="bottom"/>
            <w:shd w:val="clear" w:color="auto" w:fill="CCEEFF"/>
          </w:tcPr>
          <w:p>
            <w:pPr>
              <w:jc w:val="center"/>
              <w:ind w:left="668"/>
              <w:spacing w:after="0" w:line="149" w:lineRule="exact"/>
              <w:rPr>
                <w:sz w:val="20"/>
                <w:szCs w:val="20"/>
                <w:color w:val="auto"/>
              </w:rPr>
            </w:pPr>
            <w:r>
              <w:rPr>
                <w:rFonts w:ascii="Arial" w:cs="Arial" w:eastAsia="Arial" w:hAnsi="Arial"/>
                <w:sz w:val="14"/>
                <w:szCs w:val="14"/>
                <w:color w:val="auto"/>
                <w:w w:val="89"/>
              </w:rPr>
              <w:t>44</w:t>
            </w:r>
          </w:p>
        </w:tc>
        <w:tc>
          <w:tcPr>
            <w:tcW w:w="7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Executive Vice President – Accounting, Risk Control and Information Technology</w:t>
            </w: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Christian M. Nelly (8)</w:t>
            </w:r>
          </w:p>
        </w:tc>
        <w:tc>
          <w:tcPr>
            <w:tcW w:w="1280" w:type="dxa"/>
            <w:vAlign w:val="bottom"/>
          </w:tcPr>
          <w:p>
            <w:pPr>
              <w:jc w:val="center"/>
              <w:ind w:left="668"/>
              <w:spacing w:after="0" w:line="149" w:lineRule="exact"/>
              <w:rPr>
                <w:sz w:val="20"/>
                <w:szCs w:val="20"/>
                <w:color w:val="auto"/>
              </w:rPr>
            </w:pPr>
            <w:r>
              <w:rPr>
                <w:rFonts w:ascii="Arial" w:cs="Arial" w:eastAsia="Arial" w:hAnsi="Arial"/>
                <w:sz w:val="14"/>
                <w:szCs w:val="14"/>
                <w:color w:val="auto"/>
                <w:w w:val="89"/>
              </w:rPr>
              <w:t>44</w:t>
            </w:r>
          </w:p>
        </w:tc>
        <w:tc>
          <w:tcPr>
            <w:tcW w:w="7360" w:type="dxa"/>
            <w:vAlign w:val="bottom"/>
          </w:tcPr>
          <w:p>
            <w:pPr>
              <w:ind w:left="140"/>
              <w:spacing w:after="0" w:line="149" w:lineRule="exact"/>
              <w:rPr>
                <w:sz w:val="20"/>
                <w:szCs w:val="20"/>
                <w:color w:val="auto"/>
              </w:rPr>
            </w:pPr>
            <w:r>
              <w:rPr>
                <w:rFonts w:ascii="Arial" w:cs="Arial" w:eastAsia="Arial" w:hAnsi="Arial"/>
                <w:sz w:val="14"/>
                <w:szCs w:val="14"/>
                <w:color w:val="auto"/>
              </w:rPr>
              <w:t>Executive Vice President – Finance and Treasurer</w:t>
            </w: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Robert D. Sanders (8)</w:t>
            </w:r>
          </w:p>
        </w:tc>
        <w:tc>
          <w:tcPr>
            <w:tcW w:w="1280" w:type="dxa"/>
            <w:vAlign w:val="bottom"/>
            <w:shd w:val="clear" w:color="auto" w:fill="CCEEFF"/>
          </w:tcPr>
          <w:p>
            <w:pPr>
              <w:jc w:val="center"/>
              <w:ind w:left="668"/>
              <w:spacing w:after="0" w:line="149" w:lineRule="exact"/>
              <w:rPr>
                <w:sz w:val="20"/>
                <w:szCs w:val="20"/>
                <w:color w:val="auto"/>
              </w:rPr>
            </w:pPr>
            <w:r>
              <w:rPr>
                <w:rFonts w:ascii="Arial" w:cs="Arial" w:eastAsia="Arial" w:hAnsi="Arial"/>
                <w:sz w:val="14"/>
                <w:szCs w:val="14"/>
                <w:color w:val="auto"/>
                <w:w w:val="89"/>
              </w:rPr>
              <w:t>67</w:t>
            </w:r>
          </w:p>
        </w:tc>
        <w:tc>
          <w:tcPr>
            <w:tcW w:w="7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Executive Vice President, Asset Optimization</w:t>
            </w: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Brent B. Secrest (8)</w:t>
            </w:r>
          </w:p>
        </w:tc>
        <w:tc>
          <w:tcPr>
            <w:tcW w:w="1280" w:type="dxa"/>
            <w:vAlign w:val="bottom"/>
          </w:tcPr>
          <w:p>
            <w:pPr>
              <w:jc w:val="center"/>
              <w:ind w:left="668"/>
              <w:spacing w:after="0" w:line="149" w:lineRule="exact"/>
              <w:rPr>
                <w:sz w:val="20"/>
                <w:szCs w:val="20"/>
                <w:color w:val="auto"/>
              </w:rPr>
            </w:pPr>
            <w:r>
              <w:rPr>
                <w:rFonts w:ascii="Arial" w:cs="Arial" w:eastAsia="Arial" w:hAnsi="Arial"/>
                <w:sz w:val="14"/>
                <w:szCs w:val="14"/>
                <w:color w:val="auto"/>
                <w:w w:val="89"/>
              </w:rPr>
              <w:t>47</w:t>
            </w:r>
          </w:p>
        </w:tc>
        <w:tc>
          <w:tcPr>
            <w:tcW w:w="7360" w:type="dxa"/>
            <w:vAlign w:val="bottom"/>
          </w:tcPr>
          <w:p>
            <w:pPr>
              <w:ind w:left="140"/>
              <w:spacing w:after="0" w:line="149" w:lineRule="exact"/>
              <w:rPr>
                <w:sz w:val="20"/>
                <w:szCs w:val="20"/>
                <w:color w:val="auto"/>
              </w:rPr>
            </w:pPr>
            <w:r>
              <w:rPr>
                <w:rFonts w:ascii="Arial" w:cs="Arial" w:eastAsia="Arial" w:hAnsi="Arial"/>
                <w:sz w:val="14"/>
                <w:szCs w:val="14"/>
                <w:color w:val="auto"/>
              </w:rPr>
              <w:t>Executive Vice President and Chief Commercial Officer</w:t>
            </w: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Michael W. Hanson (8)</w:t>
            </w:r>
          </w:p>
        </w:tc>
        <w:tc>
          <w:tcPr>
            <w:tcW w:w="1280" w:type="dxa"/>
            <w:vAlign w:val="bottom"/>
            <w:shd w:val="clear" w:color="auto" w:fill="CCEEFF"/>
          </w:tcPr>
          <w:p>
            <w:pPr>
              <w:jc w:val="center"/>
              <w:ind w:left="668"/>
              <w:spacing w:after="0" w:line="149" w:lineRule="exact"/>
              <w:rPr>
                <w:sz w:val="20"/>
                <w:szCs w:val="20"/>
                <w:color w:val="auto"/>
              </w:rPr>
            </w:pPr>
            <w:r>
              <w:rPr>
                <w:rFonts w:ascii="Arial" w:cs="Arial" w:eastAsia="Arial" w:hAnsi="Arial"/>
                <w:sz w:val="14"/>
                <w:szCs w:val="14"/>
                <w:color w:val="auto"/>
                <w:w w:val="89"/>
              </w:rPr>
              <w:t>52</w:t>
            </w:r>
          </w:p>
        </w:tc>
        <w:tc>
          <w:tcPr>
            <w:tcW w:w="7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Vice President and 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Member of Office of the Chairman</w:t>
      </w:r>
    </w:p>
    <w:p>
      <w:pPr>
        <w:ind w:left="460" w:hanging="452"/>
        <w:spacing w:after="0" w:line="221" w:lineRule="auto"/>
        <w:tabs>
          <w:tab w:leader="none" w:pos="4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Member of the Governance Committee</w:t>
      </w:r>
    </w:p>
    <w:p>
      <w:pPr>
        <w:ind w:left="460" w:hanging="452"/>
        <w:spacing w:after="0" w:line="221" w:lineRule="auto"/>
        <w:tabs>
          <w:tab w:leader="none" w:pos="4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Chairman of the Governance Committee</w:t>
      </w:r>
    </w:p>
    <w:p>
      <w:pPr>
        <w:ind w:left="460" w:hanging="452"/>
        <w:spacing w:after="0" w:line="221" w:lineRule="auto"/>
        <w:tabs>
          <w:tab w:leader="none" w:pos="4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Member of the Audit and Conflicts Committee</w:t>
      </w:r>
    </w:p>
    <w:p>
      <w:pPr>
        <w:ind w:left="460" w:hanging="452"/>
        <w:spacing w:after="0" w:line="221" w:lineRule="auto"/>
        <w:tabs>
          <w:tab w:leader="none" w:pos="4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Chairman of the Audit and Conflicts Committee</w:t>
      </w:r>
    </w:p>
    <w:p>
      <w:pPr>
        <w:ind w:left="460" w:hanging="452"/>
        <w:spacing w:after="0" w:line="221" w:lineRule="auto"/>
        <w:tabs>
          <w:tab w:leader="none" w:pos="4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Member of the Capital Projects Committee</w:t>
      </w:r>
    </w:p>
    <w:p>
      <w:pPr>
        <w:ind w:left="460" w:hanging="452"/>
        <w:spacing w:after="0" w:line="221" w:lineRule="auto"/>
        <w:tabs>
          <w:tab w:leader="none" w:pos="4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Co-Chairman of the Capital Projects Committee</w:t>
      </w:r>
    </w:p>
    <w:p>
      <w:pPr>
        <w:ind w:left="460" w:hanging="452"/>
        <w:spacing w:after="0"/>
        <w:tabs>
          <w:tab w:leader="none" w:pos="4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presents a brief description of the business experience of our directors and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Randa Duncan Williams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Ms. Duncan Williams was elected Chairman of the Board of Enterprise GP in February 2013 and a director of Enterprise GP in November 2010. She was elected Chairman of EPCO in May 2010, having previously served as Group Co-Chairman since 1994. Ms. Duncan Williams has served as a member of Enterprise GP’s Governance Committee since April 2014 and Capital Projects Committee since November 2016.</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Ms. Duncan Williams has served as a director of EPCO since February 1991. She also served as a director of the general partner of Enterprise GP Holdings L.P. (“Holdings GP”) from May 2007 to November 2010.</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joining EPCO in 1994, Ms. Duncan Williams practiced law with the firms Butler &amp; Binion and Brown, Sims, Wise &amp; White. Ms. Duncan Williams previously served on the board of directors of Encore Bancshares from July 2007 until July 2012. She currently serves on the board of trustees for numerous charitable organizations. Ms. Duncan Williams is the daughter of the late Mr. Dan L Duncan, our founder.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Richard H. Bachmann</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Mr. Bachmann was elected a director and Vice Chairman of the Board of Enterprise GP in January 2016 and has served as a member of its Capital Projects Committee since November 2016. He previously served as a director of Enterprise GP from November 2010 through April 2014.</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5" w:name="page116"/>
    <w:bookmarkEnd w:id="1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Mr. Bachmann was elected President and Chief Executive Officer (“CEO”) of EPCO in May 2010 and has served as a director since January 1999. He previously served as Secretary of EPCO from May 1999 to May 2010 and as a Group Vice Chairman of EPCO from December 2007 to May 2010. Mr. Bachmann served as an Executive Vice President of Holdings GP from April 2005 to November 2010 and as a director of Holdings GP from February 2006 to November 2010. He served as Chief Legal Officer and Secretary of Holdings GP from April 2005 to May 2010. Mr. Bachmann served as Executive Vice President and Chief Legal Officer of Enterprise Products GP, LLC (“EPGP,” the former general partner of Enterprise) from February 1999 until November 2010 and as Secretary of EPGP from November 1999 to November 2010. He previously served as a director of EPGP from June 2000 to January 2004 and from February 2006 to May 2010. Mr. Bachmann served as a director of DEP Holdings, LLC (“DEP GP”), the general partner of Duncan Energy Partners L.P., from October 2006 to May 2010 and as President and CEO of DEP GP from October 2006 to April 2010.</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James Teague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Teague was elected Co-CEO of Enterprise GP in January 2020 and has been a director of Enterprise GP since November 2010. Mr. Teague previously served as CEO of Enterprise GP from January 2016 to January 2020, as the Chief Operating Officer (“COO”) of Enterprise GP from November 2010 to December 2015 and served as an Executive Vice President of Enterprise GP from November 2010 until February 2013. He has served as Co-Chairman of the Capital Projects Committee of Enterprise GP since November 2016.</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Teague served as an Executive Vice President of EPGP from November 1999 to November 2010 and additionally as a director from July 2008 to November 2010 and as COO from September 2010 to November 2010. In addition, he served as Chief Commercial Officer of EPGP from July 2008 until October 2010. He served as Executive Vice President and Chief Commercial Officer of DEP GP from July 2008 until September 2011. He previously served as a director of DEP GP from July 2008 to May 2010 and as a director of Holdings GP from October 2009 to May 2010.</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Teague joined Enterprise in connection with its purchase of certain midstream energy assets from affiliates of Shell Oil Company in 1999. From 1998 to 1999, Mr. Teague served as President of Tejas Natural Gas Liquids, LLC, then an affiliate of Shell. From 1997 to 1998, he was President of Marketing and Trading for MAPCO, Inc. Mr. Teague also serves on the board of directors of Solaris Oilfield Infrastructure, Inc.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 Randall Fowler</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Fowler was elected a director of Enterprise GP in September 2011 and has served as its Co-CEO since January 2020, having previously served as President from January 2016 to January 2020 and as Chief Administrative Officer from April 2015 to January 2016. Mr. Fowler has served as CFO of Enterprise GP since August 2018, having previously served as Executive Vice President and CFO of Enterprise GP from November 2010 to March 2015 and as Executive Vice President and CFO of EPGP from August 2007 to November 2010. He has served as Co-Chairman of the Capital Projects Committee of Enterprise GP since November 2016.</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Fowler was elected Vice Chairman and CFO of EPCO in May 2010. He previously served as President and CEO of EPCO from December 2007 to May 2010 and as its CFO from April 2005 to December 2007.</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Fowler also served as President and CEO of DEP GP from April 2010 until September 2011 and as Executive Vice President and CFO of DEP GP from August 2007 to April 2010. He served as a director of DEP GP from September 2006 until September 2011. Mr. Fowler served as Senior Vice President and Treasurer of EPGP from February 2005 to August 2007 and of DEP GP from October 2006 to August 2007. Mr. Fowler also previously served as a director of EPGP and of Holdings GP from February 2006 to May 2010. Mr. Fowler also served as Senior Vice President and CFO of Holdings GP from August 2005 to August 2007.</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Fowler, a Certified Public Accountant (inactive), joined Enterprise as Director of Investor Relations in January 1999. He also serves as Chairman of the Board of the Energy Infrastructure Council (formerly the Master Limited Partnership Association). Mr. Fowler is on the Advisory Board of Alerian, an independent provider of market intelligence for master limited partnerships (“MLPs”), which includes its benchmark Alerian MLP Index, or AMZ. He also serves on the Advisory Board for the College of Business at Louisiana Tech University.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6" w:name="page117"/>
    <w:bookmarkEnd w:id="1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Carin M. Barth</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Ms. Barth was elected a director of Enterprise GP in October 2015. She has served as a member of its Governance Committee since October 2015 and its Capital Projects Committee since November 2016.</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Ms. Barth is co-founder and President of LB Capital Inc., a private equity investment firm established in 1988. She currently serves on the following boards of directors: Black Stone Minerals, L.P., where she is Chair of the Audit Committee, Group 1 Automotive, Inc., where she is Chair of the Audit Committee and BBVA USA Bancshares, Inc., a subsidiary of BBVA Group. Additionally, she is Chairman of The Welch Foundation and a board member of the Ronald McDonald House of Houston.</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Ms. Barth previously served on the Housing Commission at the Bi-Partisan Policy Center in Washington, DC from 2011 to 2014, and was a Commissioner of the Texas Department of Public Safety from 2008 to 2014. She also served as a board member of the following: Bill Barrett Corporation from June 2012 to May 2016; Halcon Resources Corporation from April 2019 to October 2019; Western Refining Inc., where she was Chair of the Audit Committee from March 2006 to January 2016; Methodist Hospital Research Institute from 2007 to 2012; Encore Bancshares, Inc. from 2009 to 2012; Amegy Bancorporation, Inc. from 2006 to 2009; the Texas Public Finance Authority from 2006 to 2008; and the Texas Tech University System Board of Regents from 1999 to 2005. She was appointed by President George W. Bush to serve as CFO of the U.S. Department of Housing and Urban Development from 2004 to 2005.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Murray E. Brasseux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Mr. Brasseux was elected a director of Enterprise GP and a member of its Audit and Conflicts Committee in January 2019.</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Mr. Brasseux is also a member of the board of directors of Adams Resources &amp; Energy, Inc., a publicly-traded company primarily engaged in the business of crude oil marketing and tank truck transportation of liquid and dry bulk chemicals. Mr. Brasseux retired from Compass Bank in December 2014 after 20 years of service, having most recently served as Managing Director of Oil &amp; Gas Finance. Mr. Brasseux also served as a consultant to Compass Bank from January 2015 to June 2015 and as a consultant to Loughlin Management Partners (a restructuring and advisory firm) from June 2015 to December 2017. Mr. Brasseux also serves on the board of the Rare Book School (an affiliate of the University of Virginia).</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James T. Hackett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Hackett was elected a director of Enterprise GP in April 2014. He has served as a member of its Governance Committee since April 2014, including in the role of committee Chairman since November 2016. In addition, Mr. Hackett has served as a member of Enterprise GP’s Capital Projects Committee since November 2016.</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Hackett is a senior advisor with Riverstone Holdings LLC (“Riverstone”), a private energy investment firm. Mr. Hackett serves as Executive Chairman of Alta Mesa Resources, Inc. (formerly named Silver Run Acquisition Corporation II) (“Alta Mesa”). In September 2019, Alta Mesa and certain of its affiliates filed voluntary petitions for reorganization under Chapter 11 of the United States Bankruptcy Code (“Chapter 11”). In January 2020, Kingfisher Midstream, LLC, an affiliate of Alta Mesa engaged in providing certain midstream energy services, including crude oil and gas gathering, processing and marketing to producers of natural gas, natural gas liquids, crude oil and condensate (where Mr. Hackett previously served as CEO and President), filed a voluntary petition for reorganization under Chapter 11.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Hackett served as Executive Chairman of the board of directors of Anadarko Petroleum Corporation (“Anadarko”), an independent oil and natural gas exploration and production company, from 2012 to 2013 after serving as its CEO from 2003 to 2012 and Chairman of the Board from 2006 to 2012. He also served as Anadarko’s President from 2003 to 2010. Mr. Hackett is a board member of Fluor Corporation and National Oilwell Varco, Inc. as well as Talen Energy (a portfolio company of Riverstone). He is a former director of Bunge Ltd. and the former Chairman of the Board of the Federal Reserve Bank of Dallas. He is a past Chairman of the National Petroleum Council, a member of the Society of Petroleum Engineers, a member of the Baylor College of Medicine Board of Trustees and a member of the Rice University Board of Trustees. Mr. Hackett also currently serves as a faculty member at The University of Texas (Austin).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William C. Montgomery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Montgomery was elected a director of Enterprise GP and appointed a member of its Audit and Conflicts Committee in October 2015. Mr. Montgomery has served as Chairman of the Audit and Conflicts Committee since January 2020.</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Mr. Montgomery has served as a Partner of Quantum Energy Partners since 2011 and is also a member of its Executive and Investment Committees. He is responsible for originating and overseeing investments in the oil and gas upstream and oilfield service sectors. Mr. Montgomery also serves on the board of Apache Corporation.</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joining Quantum Energy Partners, Mr. Montgomery was a Partner in the Investment Banking Division of Goldman, Sachs &amp; Co. where he headed the firm’s Americas Natural Resources Group as well as its Houston office. His career as a banker spanned 22 years and was focused on large cap energy companies primarily in the upstream and oil service sectors. Mr. Montgomery has been an active civic leader, chairing the boards of The Houston Museum of Natural Science and The St. Francis Episcopal Day School and currently serves on the board of trustees of The Episcopal Health Foundation and the Board of Visitors of the MD Anderson Cancer Center.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R. Rutherford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Mr. Rutherford was elected a director of Enterprise GP and appointed a member of its Audit and Conflicts Committee in January 2019.</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Rutherford currently serves as a Senior Managing Director of NRI Energy Partners LLC, a firm that evaluates and invests in private and public energy companies and provides financial and strategic consulting services to energy companies and investment firms. Mr. Rutherford previously served as Executive Vice President (Strategic Planning, M&amp;A and Business Development) of the general partner of Plains All American Pipeline, L.P. (“Plains”) and as a member of Plains’ executive committee from October 2010 through July 2015. Mr. Rutherford also served as a financial consultant to Plains from July 2015 through September 2018. His career includes over 20 years of investment banking experience as a mergers and acquisitions and strategic advisor to public and private energy companies, investment firms, management teams and boards of directors. Prior to joining Plains, Mr. Rutherford served as Managing Director of the North American Energy Practice of Lazard Freres &amp; Company from 2007 until 2010. Prior to joining Lazard, he was a partner at Simmons &amp; Company for over ten years.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Richard S. Snell</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Snell was elected a director of Enterprise GP and appointed a member of its Audit and Conflicts Committee in September 2011. He has served as a member of its Capital Projects Committee since November 2016.</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Snell is a Certified Public Accountant and is of counsel with the law firm of Ytterberg Deery Knull LLP, having been with the firm since January 2017. He previously served as an attorney with the law firms of Thompson &amp; Knight LLP (from 2000 to early 2017) and Snell &amp; Smith, P.C. (from its founding in 1993 until 2000).</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Snell served as a director of DEP GP from January 2010 to September 2011 and as a director of the general partner of TEPPCO Partners, L.P. from January 2006 until October 2009. From June 2000 until February 2006, he served as a director of EPGP.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8" w:name="page119"/>
    <w:bookmarkEnd w:id="1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Harry P. Weitzel</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Weitzel was elected a director of Enterprise GP and appointed a member of its Capital Projects Committee in November 2016 and has served as Executive Vice President, General Counsel and Secretary of Enterprise GP since January 2020. He previously served as Senior Vice President, General Counsel and Secretary of Enterprise GP from April 2016 to January 2020 and as Senior Vice President, Deputy General Counsel and Secretary of Enterprise GP from January 2015 to April 2016. Mr. Weitzel is responsible for all legal functions of Enterprise, including securities, litigation, employment, mergers and acquisitions, corporate governance and commercial transactions.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Weitzel has extensive experience as a commercial litigator, having practiced over 24 years in Texas and California. He has successfully represented individual, corporate and governmental clients as plaintiffs and defendants in a wide variety of business-related matters. Mr. Weitzel has tried cases in state and federal courts, as well as arbitrations under the American Arbitration Association, JAMS and the International Chamber of Commerce. He has handled appeals in state and federal courts. Prior to joining Enterprise, Mr. Weitzel was a commercial litigation partner with Pepper Hamilton LLP in Irvine, California from October 2009 to December 2014.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Graham W. Bacon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Mr. Bacon was elected Executive Vice President and Chief Operating Officer of Enterprise GP in September 2019. Mr. Bacon most recently served as Executive Vice President (Operations and Engineering) of Enterprise GP from October 2015 to August 2019 and continues to have responsibility for our operations and engineering teams in his new role. He previously served as Group Senior Vice President (Operations and Environmental, Health, Safety &amp; Training) from February 2014 to October 2015; as Senior Vice President (Operations) from January 2012 to February 2014; as Vice President (Operations) from June 2006 to January 2012, and as Vice President (Engineering) from September 2005 to May 2006. He joined EPCO in 1991 and has held a variety of operations and engineering roles. Prior to joining EPCO, Mr. Bacon worked for Vista Chemical Company.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Daniel Boss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Boss, a Certified Public Accountant, was elected Executive Vice President – Accounting, Risk Control and Information Technology of Enterprise GP in January 2020 and previously served as Senior Vice President (Accounting and Risk Control) from August 2016 to January 2020. He is responsible for the overall leadership of our Accounting, Risk Control and Information Technology organizations. Mr. Boss served as a Senior Vice President of Enterprise GP from March 2015 to August 2016 with responsibility over our regulated business. He also served as Vice President (Risk Control) from April 2013 to March 2015 and as Senior Director (Risk Control) from January 2010 to March 2013. While serving in these positions, Mr. Boss was Chairman of the Risk Management Committee and had responsibilities for our marketing risk management policies, transaction controls and derivatives and hedging strategies compliance. Mr. Boss also served as Director (Volume Accounting) from November 2008 until January 2010 where he was responsible for gas marketing and commodity derivatives accounting, hedging and reporting. Prior to joining Enterprise, Mr. Boss held leadership positions with Merrill Lynch Commodities and Dynegy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Christian M. Nelly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Nelly was elected Executive Vice President – Finance and Treasurer of Enterprise GP in January 2020 and previously served as Senior Vice President (Finance) and Treasurer from March 2019 to January 2020. Mr. Nelly is responsible for managing Enterprise’s financing activities, business planning and analysis, credit, cash management, corporate risk and insurance, investor relations and public relations groups. Mr. Nelly served as Vice President and Treasurer from April 2015 to February 2019; Senior Director of Finance from April 2011 until March 2015; and Director of Finance from January 2008 to March 2011. Prior to joining Enterprise, Mr. Nelly spent 10 years with various corporate and investment banks where he executed transactions and maintained relationships with midstream and upstream energy companies and gained experience in strategic advisory, valuation, mergers and acquisitions, and capital raising.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9" w:name="page120"/>
    <w:bookmarkEnd w:id="1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Robert D. Sanders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Sanders was elected Executive Vice President, Asset Optimization in January 2020 and previously served as Senior Vice President (Asset Optimization) from January 2015 to January 2020. He served as Vice President (Asset Optimization) from June 2011 to January 2015. Mr. Sanders has served Enterprise in several capacities, including as Director of Asset Optimization from September 2006 to June 2011, Director of NGL Pipelines from December 2005 to September 2006, and Director of International Business from November 2004 to December 2005. Mr. Sanders has been in the midstream oil and gas business for over 35 years. Prior to joining Enterprise in 1979, he worked for the Texas Railroad Commission as an investigative auditor from 1976 to 1979.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Brent B. Secrest</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Mr. Secrest was elected Executive Vice President and Chief Commercial Officer of Enterprise GP in September 2019. Mr. Secrest most recently served as Senior Vice President (Commercial) of Enterprise GP from July 2018 to August 2019. He previously served as Senior Vice President (Liquid Hydrocarbons Marketing) of Enterprise GP from May 2016 to June 2018, as Vice President (Crude Oil and Refined Products Marketing) from October 2015 to May 2016 and as Vice President (Crude Oil Pipelines and Terminals) from October 2012 to October 2015. He has also served us in various other leadership positions, including in the areas of NGL marketing and supply, commercial development, distribution, and business analysis. Mr. Secrest has over 20 years of experience in the energy industry and began his career at Basis Petroleum Inc. prior to joining EPCO in 1996.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W. Hanson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Hanson was elected a Vice President of Enterprise GP in April 2011 and its Principal Accounting Officer in August 2016. His responsibilities include team leadership in financial and management reporting matters, including the preparation of Enterprise’s quarterly and annual reports. Mr. Hanson reports to Mr. Boss. Mr. Hanson has served Enterprise and its affiliates in various accounting roles since 1992, including as an Assistant Controller from April 2007 to July 2016 and Director of Financial Reporting from November 2004 to March 2007.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Experience, Qualifications, Attributes and Skills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brief discussion of the experience, qualifications, attributes and skills that led us to the conclusion that each of the following persons should serve as a director of Enterprise GP.</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Five of our directors are current employees of EPCO and officers of Enterprise GP or its affiliates. Each of these directors has significant experience in our industry as executive officers as well as other qualifications, attributes and skills. These include:</w:t>
      </w:r>
    </w:p>
    <w:p>
      <w:pPr>
        <w:spacing w:after="0" w:line="197" w:lineRule="exact"/>
        <w:rPr>
          <w:sz w:val="20"/>
          <w:szCs w:val="20"/>
          <w:color w:val="auto"/>
        </w:rPr>
      </w:pPr>
    </w:p>
    <w:p>
      <w:pPr>
        <w:ind w:left="500" w:hanging="330"/>
        <w:spacing w:after="0" w:line="198" w:lineRule="auto"/>
        <w:tabs>
          <w:tab w:leader="none" w:pos="500" w:val="left"/>
        </w:tabs>
        <w:numPr>
          <w:ilvl w:val="0"/>
          <w:numId w:val="67"/>
        </w:numPr>
        <w:rPr>
          <w:rFonts w:ascii="Arial" w:cs="Arial" w:eastAsia="Arial" w:hAnsi="Arial"/>
          <w:sz w:val="29"/>
          <w:szCs w:val="29"/>
          <w:color w:val="auto"/>
          <w:vertAlign w:val="superscript"/>
        </w:rPr>
      </w:pPr>
      <w:r>
        <w:rPr>
          <w:rFonts w:ascii="Arial" w:cs="Arial" w:eastAsia="Arial" w:hAnsi="Arial"/>
          <w:sz w:val="18"/>
          <w:szCs w:val="18"/>
          <w:color w:val="auto"/>
        </w:rPr>
        <w:t>for Ms. Duncan Williams, legal and community involvement with numerous charitable organizations, and active involvement in EPCO’s businesses, including ownership in and management of our businesses;</w:t>
      </w:r>
    </w:p>
    <w:p>
      <w:pPr>
        <w:spacing w:after="0" w:line="160" w:lineRule="exact"/>
        <w:rPr>
          <w:rFonts w:ascii="Arial" w:cs="Arial" w:eastAsia="Arial" w:hAnsi="Arial"/>
          <w:sz w:val="29"/>
          <w:szCs w:val="29"/>
          <w:color w:val="auto"/>
          <w:vertAlign w:val="superscript"/>
        </w:rPr>
      </w:pPr>
    </w:p>
    <w:p>
      <w:pPr>
        <w:ind w:left="500" w:hanging="330"/>
        <w:spacing w:after="0"/>
        <w:tabs>
          <w:tab w:leader="none" w:pos="500" w:val="left"/>
        </w:tabs>
        <w:numPr>
          <w:ilvl w:val="0"/>
          <w:numId w:val="67"/>
        </w:numPr>
        <w:rPr>
          <w:rFonts w:ascii="Arial" w:cs="Arial" w:eastAsia="Arial" w:hAnsi="Arial"/>
          <w:sz w:val="26"/>
          <w:szCs w:val="26"/>
          <w:color w:val="auto"/>
          <w:vertAlign w:val="superscript"/>
        </w:rPr>
      </w:pPr>
      <w:r>
        <w:rPr>
          <w:rFonts w:ascii="Arial" w:cs="Arial" w:eastAsia="Arial" w:hAnsi="Arial"/>
          <w:sz w:val="16"/>
          <w:szCs w:val="16"/>
          <w:color w:val="auto"/>
        </w:rPr>
        <w:t>for Mr. Teague, over 40 years of commercial management of midstream assets and marketing and trading activities, both for third parties and for us;</w:t>
      </w:r>
    </w:p>
    <w:p>
      <w:pPr>
        <w:spacing w:after="0" w:line="228" w:lineRule="exact"/>
        <w:rPr>
          <w:rFonts w:ascii="Arial" w:cs="Arial" w:eastAsia="Arial" w:hAnsi="Arial"/>
          <w:sz w:val="26"/>
          <w:szCs w:val="26"/>
          <w:color w:val="auto"/>
          <w:vertAlign w:val="superscript"/>
        </w:rPr>
      </w:pPr>
    </w:p>
    <w:p>
      <w:pPr>
        <w:ind w:left="500" w:right="20" w:hanging="330"/>
        <w:spacing w:after="0" w:line="198" w:lineRule="auto"/>
        <w:tabs>
          <w:tab w:leader="none" w:pos="500" w:val="left"/>
        </w:tabs>
        <w:numPr>
          <w:ilvl w:val="0"/>
          <w:numId w:val="67"/>
        </w:numPr>
        <w:rPr>
          <w:rFonts w:ascii="Arial" w:cs="Arial" w:eastAsia="Arial" w:hAnsi="Arial"/>
          <w:sz w:val="29"/>
          <w:szCs w:val="29"/>
          <w:color w:val="auto"/>
          <w:vertAlign w:val="superscript"/>
        </w:rPr>
      </w:pPr>
      <w:r>
        <w:rPr>
          <w:rFonts w:ascii="Arial" w:cs="Arial" w:eastAsia="Arial" w:hAnsi="Arial"/>
          <w:sz w:val="18"/>
          <w:szCs w:val="18"/>
          <w:color w:val="auto"/>
        </w:rPr>
        <w:t>for Mr. Fowler, over 20 years of experience with our midstream assets, including finance, accounting and investor relations and, for over the last ten years, as a member of our executive management team;</w:t>
      </w:r>
    </w:p>
    <w:p>
      <w:pPr>
        <w:spacing w:after="0" w:line="229" w:lineRule="exact"/>
        <w:rPr>
          <w:rFonts w:ascii="Arial" w:cs="Arial" w:eastAsia="Arial" w:hAnsi="Arial"/>
          <w:sz w:val="29"/>
          <w:szCs w:val="29"/>
          <w:color w:val="auto"/>
          <w:vertAlign w:val="superscript"/>
        </w:rPr>
      </w:pPr>
    </w:p>
    <w:p>
      <w:pPr>
        <w:ind w:left="500" w:hanging="330"/>
        <w:spacing w:after="0" w:line="198" w:lineRule="auto"/>
        <w:tabs>
          <w:tab w:leader="none" w:pos="500" w:val="left"/>
        </w:tabs>
        <w:numPr>
          <w:ilvl w:val="0"/>
          <w:numId w:val="67"/>
        </w:numPr>
        <w:rPr>
          <w:rFonts w:ascii="Arial" w:cs="Arial" w:eastAsia="Arial" w:hAnsi="Arial"/>
          <w:sz w:val="29"/>
          <w:szCs w:val="29"/>
          <w:color w:val="auto"/>
          <w:vertAlign w:val="superscript"/>
        </w:rPr>
      </w:pPr>
      <w:r>
        <w:rPr>
          <w:rFonts w:ascii="Arial" w:cs="Arial" w:eastAsia="Arial" w:hAnsi="Arial"/>
          <w:sz w:val="18"/>
          <w:szCs w:val="18"/>
          <w:color w:val="auto"/>
        </w:rPr>
        <w:t>for Mr. Bachmann, over 30 years of experience with our midstream assets, including legal, regulatory, contracts and mergers and acquisitions and, for approximately 20 years, as a member of either EPCO’s or our executive management teams; and</w:t>
      </w:r>
    </w:p>
    <w:p>
      <w:pPr>
        <w:spacing w:after="0" w:line="229" w:lineRule="exact"/>
        <w:rPr>
          <w:rFonts w:ascii="Arial" w:cs="Arial" w:eastAsia="Arial" w:hAnsi="Arial"/>
          <w:sz w:val="29"/>
          <w:szCs w:val="29"/>
          <w:color w:val="auto"/>
          <w:vertAlign w:val="superscript"/>
        </w:rPr>
      </w:pPr>
    </w:p>
    <w:p>
      <w:pPr>
        <w:ind w:left="500" w:hanging="330"/>
        <w:spacing w:after="0" w:line="198" w:lineRule="auto"/>
        <w:tabs>
          <w:tab w:leader="none" w:pos="500" w:val="left"/>
        </w:tabs>
        <w:numPr>
          <w:ilvl w:val="0"/>
          <w:numId w:val="67"/>
        </w:numPr>
        <w:rPr>
          <w:rFonts w:ascii="Arial" w:cs="Arial" w:eastAsia="Arial" w:hAnsi="Arial"/>
          <w:sz w:val="29"/>
          <w:szCs w:val="29"/>
          <w:color w:val="auto"/>
          <w:vertAlign w:val="superscript"/>
        </w:rPr>
      </w:pPr>
      <w:r>
        <w:rPr>
          <w:rFonts w:ascii="Arial" w:cs="Arial" w:eastAsia="Arial" w:hAnsi="Arial"/>
          <w:sz w:val="18"/>
          <w:szCs w:val="18"/>
          <w:color w:val="auto"/>
        </w:rPr>
        <w:t>for Mr. Weitzel, over 25 years of experience in Texas and California as a commercial litigator, having successfully represented individual, corporate and governmental clients as plaintiffs and defendants in a wide variety of business-related matters.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0" w:name="page121"/>
    <w:bookmarkEnd w:id="1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Our six outside voting directors also have significant experience in a variety of capacities, as well as other qualifications, attributes and skills. These include:</w:t>
      </w:r>
    </w:p>
    <w:p>
      <w:pPr>
        <w:spacing w:after="0" w:line="172" w:lineRule="exact"/>
        <w:rPr>
          <w:sz w:val="20"/>
          <w:szCs w:val="20"/>
          <w:color w:val="auto"/>
        </w:rPr>
      </w:pPr>
    </w:p>
    <w:p>
      <w:pPr>
        <w:ind w:left="500" w:hanging="330"/>
        <w:spacing w:after="0"/>
        <w:tabs>
          <w:tab w:leader="none" w:pos="500" w:val="left"/>
        </w:tabs>
        <w:numPr>
          <w:ilvl w:val="0"/>
          <w:numId w:val="68"/>
        </w:numPr>
        <w:rPr>
          <w:rFonts w:ascii="Arial" w:cs="Arial" w:eastAsia="Arial" w:hAnsi="Arial"/>
          <w:sz w:val="29"/>
          <w:szCs w:val="29"/>
          <w:color w:val="auto"/>
          <w:vertAlign w:val="superscript"/>
        </w:rPr>
      </w:pPr>
      <w:r>
        <w:rPr>
          <w:rFonts w:ascii="Arial" w:cs="Arial" w:eastAsia="Arial" w:hAnsi="Arial"/>
          <w:sz w:val="18"/>
          <w:szCs w:val="18"/>
          <w:color w:val="auto"/>
        </w:rPr>
        <w:t>for Ms. Barth, executive management experience in various financial and governance roles;</w:t>
      </w:r>
    </w:p>
    <w:p>
      <w:pPr>
        <w:spacing w:after="0" w:line="139" w:lineRule="exact"/>
        <w:rPr>
          <w:rFonts w:ascii="Arial" w:cs="Arial" w:eastAsia="Arial" w:hAnsi="Arial"/>
          <w:sz w:val="29"/>
          <w:szCs w:val="29"/>
          <w:color w:val="auto"/>
          <w:vertAlign w:val="superscript"/>
        </w:rPr>
      </w:pPr>
    </w:p>
    <w:p>
      <w:pPr>
        <w:ind w:left="500" w:hanging="330"/>
        <w:spacing w:after="0" w:line="229" w:lineRule="auto"/>
        <w:tabs>
          <w:tab w:leader="none" w:pos="500" w:val="left"/>
        </w:tabs>
        <w:numPr>
          <w:ilvl w:val="0"/>
          <w:numId w:val="68"/>
        </w:numPr>
        <w:rPr>
          <w:rFonts w:ascii="Arial" w:cs="Arial" w:eastAsia="Arial" w:hAnsi="Arial"/>
          <w:sz w:val="29"/>
          <w:szCs w:val="29"/>
          <w:color w:val="auto"/>
          <w:vertAlign w:val="superscript"/>
        </w:rPr>
      </w:pPr>
      <w:r>
        <w:rPr>
          <w:rFonts w:ascii="Arial" w:cs="Arial" w:eastAsia="Arial" w:hAnsi="Arial"/>
          <w:sz w:val="18"/>
          <w:szCs w:val="18"/>
          <w:color w:val="auto"/>
        </w:rPr>
        <w:t>for Mr. Brasseux, executive management experience in banking and finance as well as governance roles;</w:t>
      </w:r>
    </w:p>
    <w:p>
      <w:pPr>
        <w:spacing w:after="0" w:line="140" w:lineRule="exact"/>
        <w:rPr>
          <w:rFonts w:ascii="Arial" w:cs="Arial" w:eastAsia="Arial" w:hAnsi="Arial"/>
          <w:sz w:val="29"/>
          <w:szCs w:val="29"/>
          <w:color w:val="auto"/>
          <w:vertAlign w:val="superscript"/>
        </w:rPr>
      </w:pPr>
    </w:p>
    <w:p>
      <w:pPr>
        <w:ind w:left="500" w:hanging="330"/>
        <w:spacing w:after="0" w:line="229" w:lineRule="auto"/>
        <w:tabs>
          <w:tab w:leader="none" w:pos="500" w:val="left"/>
        </w:tabs>
        <w:numPr>
          <w:ilvl w:val="0"/>
          <w:numId w:val="68"/>
        </w:numPr>
        <w:rPr>
          <w:rFonts w:ascii="Arial" w:cs="Arial" w:eastAsia="Arial" w:hAnsi="Arial"/>
          <w:sz w:val="29"/>
          <w:szCs w:val="29"/>
          <w:color w:val="auto"/>
          <w:vertAlign w:val="superscript"/>
        </w:rPr>
      </w:pPr>
      <w:r>
        <w:rPr>
          <w:rFonts w:ascii="Arial" w:cs="Arial" w:eastAsia="Arial" w:hAnsi="Arial"/>
          <w:sz w:val="18"/>
          <w:szCs w:val="18"/>
          <w:color w:val="auto"/>
        </w:rPr>
        <w:t>for Mr. Hackett, executive management of a major oil and gas exploration and production company;</w:t>
      </w:r>
    </w:p>
    <w:p>
      <w:pPr>
        <w:spacing w:after="0" w:line="229" w:lineRule="exact"/>
        <w:rPr>
          <w:rFonts w:ascii="Arial" w:cs="Arial" w:eastAsia="Arial" w:hAnsi="Arial"/>
          <w:sz w:val="29"/>
          <w:szCs w:val="29"/>
          <w:color w:val="auto"/>
          <w:vertAlign w:val="superscript"/>
        </w:rPr>
      </w:pPr>
    </w:p>
    <w:p>
      <w:pPr>
        <w:ind w:left="500" w:hanging="330"/>
        <w:spacing w:after="0" w:line="198" w:lineRule="auto"/>
        <w:tabs>
          <w:tab w:leader="none" w:pos="500" w:val="left"/>
        </w:tabs>
        <w:numPr>
          <w:ilvl w:val="0"/>
          <w:numId w:val="68"/>
        </w:numPr>
        <w:rPr>
          <w:rFonts w:ascii="Arial" w:cs="Arial" w:eastAsia="Arial" w:hAnsi="Arial"/>
          <w:sz w:val="29"/>
          <w:szCs w:val="29"/>
          <w:color w:val="auto"/>
          <w:vertAlign w:val="superscript"/>
        </w:rPr>
      </w:pPr>
      <w:r>
        <w:rPr>
          <w:rFonts w:ascii="Arial" w:cs="Arial" w:eastAsia="Arial" w:hAnsi="Arial"/>
          <w:sz w:val="18"/>
          <w:szCs w:val="18"/>
          <w:color w:val="auto"/>
        </w:rPr>
        <w:t>for Mr. Montgomery, executive management of both an investment banking firm and a private equity investment firm serving the global energy industry;</w:t>
      </w:r>
    </w:p>
    <w:p>
      <w:pPr>
        <w:spacing w:after="0" w:line="229" w:lineRule="exact"/>
        <w:rPr>
          <w:rFonts w:ascii="Arial" w:cs="Arial" w:eastAsia="Arial" w:hAnsi="Arial"/>
          <w:sz w:val="29"/>
          <w:szCs w:val="29"/>
          <w:color w:val="auto"/>
          <w:vertAlign w:val="superscript"/>
        </w:rPr>
      </w:pPr>
    </w:p>
    <w:p>
      <w:pPr>
        <w:ind w:left="500" w:hanging="330"/>
        <w:spacing w:after="0" w:line="198" w:lineRule="auto"/>
        <w:tabs>
          <w:tab w:leader="none" w:pos="500" w:val="left"/>
        </w:tabs>
        <w:numPr>
          <w:ilvl w:val="0"/>
          <w:numId w:val="68"/>
        </w:numPr>
        <w:rPr>
          <w:rFonts w:ascii="Arial" w:cs="Arial" w:eastAsia="Arial" w:hAnsi="Arial"/>
          <w:sz w:val="29"/>
          <w:szCs w:val="29"/>
          <w:color w:val="auto"/>
          <w:vertAlign w:val="superscript"/>
        </w:rPr>
      </w:pPr>
      <w:r>
        <w:rPr>
          <w:rFonts w:ascii="Arial" w:cs="Arial" w:eastAsia="Arial" w:hAnsi="Arial"/>
          <w:sz w:val="18"/>
          <w:szCs w:val="18"/>
          <w:color w:val="auto"/>
        </w:rPr>
        <w:t>for Mr. Rutherford, executive management experience in the midstream energy industry (including in the areas of strategic planning, mergers and acquisitions, investment banking and finance); and</w:t>
      </w:r>
    </w:p>
    <w:p>
      <w:pPr>
        <w:spacing w:after="0" w:line="126" w:lineRule="exact"/>
        <w:rPr>
          <w:rFonts w:ascii="Arial" w:cs="Arial" w:eastAsia="Arial" w:hAnsi="Arial"/>
          <w:sz w:val="29"/>
          <w:szCs w:val="29"/>
          <w:color w:val="auto"/>
          <w:vertAlign w:val="superscript"/>
        </w:rPr>
      </w:pPr>
    </w:p>
    <w:p>
      <w:pPr>
        <w:ind w:left="500" w:hanging="330"/>
        <w:spacing w:after="0"/>
        <w:tabs>
          <w:tab w:leader="none" w:pos="500" w:val="left"/>
        </w:tabs>
        <w:numPr>
          <w:ilvl w:val="0"/>
          <w:numId w:val="68"/>
        </w:numPr>
        <w:rPr>
          <w:rFonts w:ascii="Arial" w:cs="Arial" w:eastAsia="Arial" w:hAnsi="Arial"/>
          <w:sz w:val="29"/>
          <w:szCs w:val="29"/>
          <w:color w:val="auto"/>
          <w:vertAlign w:val="superscript"/>
        </w:rPr>
      </w:pPr>
      <w:r>
        <w:rPr>
          <w:rFonts w:ascii="Arial" w:cs="Arial" w:eastAsia="Arial" w:hAnsi="Arial"/>
          <w:sz w:val="18"/>
          <w:szCs w:val="18"/>
          <w:color w:val="auto"/>
        </w:rPr>
        <w:t>for Mr. Snell, professional experience involving complex legal and accounting matters.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advisory directors, Dr. Cunningham has a long history with Enterprise and its operations, Mr. Casey has executive management experience in NGL and petrochemicals trading and related storage businesses, and Mr. Smith has experience in banking and investment matters. As an honorary director, Mr. Andras has a long history with Enterprise and its operations, including being a former CEO.</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Governance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committed to sound principles of governance. Such principles are critical for us to achieve our performance goals and maintain the trust and confidence of investors, employees, suppliers, business partners and other stakeholders.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key element of strong governance is having independent members of the Board. Pursuant to the NYSE listing standards, a director will be considered independent if the Board determines that he or she does not have a material relationship with Enterprise GP or us (either directly or as a partner, unitholder or officer of an organization that has a material relationship with Enterprise GP or us). Based on the foregoing, the Board has affirmatively determined that Ms. Barth and Messrs. Brasseux, Hackett, Montgomery, Rutherford and Snell are independent directors under the NYSE rules.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we are a limited partnership and meet the definition of a “controlled company” under the listing standards of the NYSE, we are not required to comply with certain NYSE rules. In particular, we are not required to comply with Section 303A.01 of the NYSE Listed Company Manual, which would require that the Board of Enterprise GP be comprised of a majority of independent directors. Currently, six of the eleven Board members of Enterprise GP are independent under NYSE rules; however, this composition may not always be in effect. Also, we have elected to not comply with Sections 303A.04 and 303A.05 of the NYSE Listed Company Manual, which would require that the Board of Enterprise GP maintain a Nominating Committee and a Compensation Committee, each consisting entirely of independent directors.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1" w:name="page122"/>
    <w:bookmarkEnd w:id="1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Conduct and Ethics and Corporate Governance Guidelines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Enterprise GP has adopted a “Code of Conduct” that applies to its directors, officers and employees. This code sets forth our requirements for compliance with legal and ethical standards in the conduct of our business, including general business principles, legal and ethical obligations, compliance policies for specific subjects, obtaining guidance on complying with the code, the reporting of compliance issues, and discipline for violations of the code. The Code of Conduct also establishes policies applicable to our Co-CEO, Co-CEO/CFO, and senior financial and other managers to prevent wrongdoing and to promote honest and ethical conduct, including ethical handling of actual and apparent conflicts of interest, compliance with applicable laws, rules and regulations, full, fair, accurate, timely and understandable disclosure in public communications, and prompt internal reporting of violations of the code (and thus accountability for adherence to the code). Employees are required to certify their understanding and compliance with the Code of Conduct on an annual basis. Training on the Code of Conduct is also provided to employees, where applicable.</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Governance guidelines, together with applicable committee charters, provide the framework for effective governance of our partnership. The Board has adopted the </w:t>
      </w:r>
      <w:r>
        <w:rPr>
          <w:rFonts w:ascii="Arial" w:cs="Arial" w:eastAsia="Arial" w:hAnsi="Arial"/>
          <w:sz w:val="17"/>
          <w:szCs w:val="17"/>
          <w:i w:val="1"/>
          <w:iCs w:val="1"/>
          <w:color w:val="auto"/>
        </w:rPr>
        <w:t>Governance Guidelines of Enterprise Products Partners</w:t>
      </w:r>
      <w:r>
        <w:rPr>
          <w:rFonts w:ascii="Arial" w:cs="Arial" w:eastAsia="Arial" w:hAnsi="Arial"/>
          <w:sz w:val="17"/>
          <w:szCs w:val="17"/>
          <w:color w:val="auto"/>
        </w:rPr>
        <w:t xml:space="preserve"> (“Governance Guidelines”), which address several matters, including qualifications for directors, responsibilities of directors, retirement of directors, the composition and responsibilities of Board committees, the conduct and frequency of Board and committee meetings, management succession plans, director access to management and outside advisors, director compensation, director and executive officer equity ownership, director orientation and continuing education, and annual self-evaluation of the Board. The Board recognizes that effective governance is an on-going process, and thus, it will review the Governance Guidelines annually or more often as deemed necessary.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Conflicts Committee</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purpose of the Board’s Audit and Conflicts Committee is to address audit and conflicts-related matters. In accordance with NYSE rules and the Securities Exchange Act of 1934, the Board has named four of its members to serve on the Audit and Conflicts Committee. Members of the Audit and Conflicts Committee must have a basic understanding of finance and accounting matters and be able to read and understand financial statements, and at least one member of the Audit and Conflicts Committee shall have accounting or related financial management expertise. The current members of the Audit and Conflicts Committee are Messrs. Brasseux, Montgomery, Rutherford and Snell, all of whom are independent directors, free from any relationship with us or any of our subsidiaries that would interfere with the exercise of independent judgment. The Board has affirmatively determined that Mr. Montgomery satisfies the definition of “Audit Committee Financial Expert” as that term is defined in Item 407(d)(5) of Regulation S-K promulgated by the SEC.</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responsibilities of the Audit and Conflicts Committee include (i) reviewing potential conflicts of interest, including related party transactions, (ii) monitoring the integrity of our financial reporting process and related systems of internal control, (iii) ensuring our legal and regulatory compliance and that of Enterprise GP, (iv) overseeing the independence and performance of our independent public accountant, (v) approving all services performed by our independent public accountant, (vi) providing for an avenue of communication among the independent public accountant, management, internal audit function and the Board, (vii) encouraging adherence to and continuous improvement of our policies, procedures and practices at all levels and (viii) reviewing areas of potential significant financial risk to our businesses.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Board believes that a particular matter presents a conflict of interest and proposes a resolution, the Audit and Conflicts Committee has the authority to review such matter to determine if the proposed resolution is fair and reasonable to us. Any matters approved by the Audit and Conflicts Committee are conclusively deemed to be fair and reasonable to us, approved by all of our partners and not a breach by Enterprise GP or the Board of any duties they may owe us or our unitholders.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its formal written charter, the Audit and Conflicts Committee has the authority to conduct any investigation appropriate to fulfilling its responsibilities, and it has direct access to our independent public accountants as well as any EPCO personnel whom it deems necessary in fulfilling its responsibilities. The Audit and Conflicts Committee has the ability to retain, at our expense, special legal, accounting or other consultants or experts it deems necessary in the performance of its duties.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22" w:name="page123"/>
    <w:bookmarkEnd w:id="1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Committee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purpose of the Governance Committee is to develop and recommend to the Board a set of governance guidelines applicable to our partnership, to review such guidelines from time to time and to oversee governance matters related to our business, including Board and Committee composition, qualifications of Board candidates, director independence, succession planning and related matters. The Governance Committee also assists in Board oversight of management’s establishment and administration of our environmental, safety and transportation compliance policies, procedures, programs and initiatives, and related matters. In accordance with its charter, the Governance Committee shall be composed of not less than three members, at least a majority of whom shall be independent directors. Currently, the Governance Committee is comprised of Ms. Duncan Williams and two independent directors (Ms. Barth and Mr. Hackett).</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Like the Audit and Conflicts Committee, the Governance Committee has the authority to conduct any investigation appropriate to fulfilling its responsibilities, and it has direct access to our independent public accountants as well as any EPCO personnel whom it deems necessary in fulfilling its responsibilities. In addition, the Governance Committee has the ability to retain, at our expense, special legal, accounting or other consultants or experts it deems necessary in the performance of its duties.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subcommittee of the Governance Committee, the Incentive Plan Administration Subcommittee, is involved in decision-making regarding employee compensation matters, including grants of equity-based awards. In accordance with the Governance Committee charter, this subcommittee shall be composed of two or more non-employee directors (currently, Ms. Barth and Mr. Hackett) and shall (i) review and approve all aspects of compensation of our Co-CEO and Co-CEO/CFO, (ii) administer the long-term incentive plans of the partnership and its affiliates and (iii) review and approve all equity grants made to employees, consultants and/or directors as required by such long-term incentive plans. For more information regarding this subcommittee’s role in executive compensation matters, see “Overview of Decision-Making Process regarding Compensation of Named Executive Officers” under Part III, Item 11 of this annual report.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Projects Committee</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primary purpose of the Capital Projects Committee is to review and approve certain expenditures by Enterprise GP, Enterprise and/or their respective consolidated subsidiaries in connection with proposed capital projects. Currently, the Capital Projects Committee is comprised of Ms. Duncan Williams, Ms. Barth and Messrs. Bachmann, Fowler, Hackett, Snell, Teague and Weitzel. Messrs. Teague and Fowler are co-chairmen of the Capital Projects Committee.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 Access to Partnership Governance Information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provide investors access to information relating to our governance procedures and principles, including the Code of Conduct, Governance Guidelines, the charters of the Audit and Conflicts Committee, the Governance Committee and the Capital Projects Committee, along with other information, through our website, </w:t>
      </w:r>
      <w:r>
        <w:rPr>
          <w:rFonts w:ascii="Arial" w:cs="Arial" w:eastAsia="Arial" w:hAnsi="Arial"/>
          <w:sz w:val="18"/>
          <w:szCs w:val="18"/>
          <w:u w:val="single" w:color="auto"/>
          <w:color w:val="auto"/>
        </w:rPr>
        <w:t>www.enterpriseproducts.com</w:t>
      </w:r>
      <w:r>
        <w:rPr>
          <w:rFonts w:ascii="Arial" w:cs="Arial" w:eastAsia="Arial" w:hAnsi="Arial"/>
          <w:sz w:val="18"/>
          <w:szCs w:val="18"/>
          <w:color w:val="auto"/>
        </w:rPr>
        <w:t>. You may also contact our Investor Relations department at (866) 230-0745 for printed copies of these documents free of charge.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NYSE Corporate Governance Listing Standards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8, 2019, Mr. Teague certified to the NYSE (as required by Section 303A.12(a) of the NYSE Listed Company Manual) that he was not aware of any violation by us of the NYSE’s Corporate Governance listing standards as of that date.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23" w:name="page124"/>
    <w:bookmarkEnd w:id="1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Sessions of Non-Management Directors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holds regular executive sessions in which non-management directors meet without any members of management present. The purpose of these executive sessions is to promote open and candid discussion among the non-management directors. During such executive sessions, one director is designated as the “presiding director,” who is responsible for leading and facilitating such executive sessions. Currently, the presiding director is Mr. Montgomery.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 Telephone Hotline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NYSE rules, we have established a toll-free, confidential telephone hotline (the “Hotline”) so that interested parties may communicate with the presiding director or with all the non-management directors of Enterprise GP as a group. All calls to this Hotline are reported to the chairman of the Audit and Conflicts Committee, who is responsible for communicating any necessary information to the other non-management directors. The number of our confidential Hotline is (844) 693-4318.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federal securities laws, directors and executive officers of Enterprise GP and any persons holding more than 10% of our common units are required to report their beneficial ownership of common units and any changes in their beneficial ownership levels to us and the SEC. Specific due dates for these reports have been established by regulation, and we are required to disclose in this annual report any failure to file this information within the specified timeframes. All such reporting was done in a timely manner in 2019, except that (i) a purchase of common units on behalf of Mr. Teague was reported on a Form 4 filed in February 2020, instead of by the reporting deadline in August 2018, and (ii) a contribution of common units to a family limited partnership for which Mr. Fowler is a beneficial owner was reported on a Form 4 filed in February 2020, instead of by the reporting deadline in April 2019.</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11. 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Compensation</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do not directly employ any of the persons responsible for managing our business. Instead, we are managed by Enterprise GP, the executive officers of which are employees of EPCO. Our management, administrative and operating functions are primarily performed by employees of EPCO in accordance with the ASA. Pursuant to the ASA, we reimburse EPCO for its compensation costs related to the employment of personnel working on our behalf. For information regarding the ASA, see Note 15 of the Notes to Consolidated Financial Statements included under Part II, Item 8 of this annual report.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4" w:name="page125"/>
    <w:bookmarkEnd w:id="1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presents total compensation amounts paid, accrued or otherwise expensed by us with respect to our (i) co-principal executive officers, (ii) principal financial officer, (iii) three highest paid officers of our general partner, other than our principal executive and financial officers, who were serving in such capacity at December 31, 2019 and (iv) a former officer of our general partner who would have been among the three highest paid officers, other than our principal executive and financial officers, except that he had retired prior to December 31, 2019. Collectively, these six individuals were our “named executive officers” for 2019. To the extent such individuals were named executive officers in the prior two years, their total compensation for those years is presented as well.</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28"/>
              <w:spacing w:after="0"/>
              <w:rPr>
                <w:sz w:val="20"/>
                <w:szCs w:val="20"/>
                <w:color w:val="auto"/>
              </w:rPr>
            </w:pPr>
            <w:r>
              <w:rPr>
                <w:rFonts w:ascii="Arial" w:cs="Arial" w:eastAsia="Arial" w:hAnsi="Arial"/>
                <w:sz w:val="14"/>
                <w:szCs w:val="14"/>
                <w:b w:val="1"/>
                <w:bCs w:val="1"/>
                <w:color w:val="auto"/>
                <w:w w:val="96"/>
              </w:rPr>
              <w:t>Equity-</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Cash</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148"/>
              <w:spacing w:after="0"/>
              <w:rPr>
                <w:sz w:val="20"/>
                <w:szCs w:val="20"/>
                <w:color w:val="auto"/>
              </w:rPr>
            </w:pPr>
            <w:r>
              <w:rPr>
                <w:rFonts w:ascii="Arial" w:cs="Arial" w:eastAsia="Arial" w:hAnsi="Arial"/>
                <w:sz w:val="14"/>
                <w:szCs w:val="14"/>
                <w:b w:val="1"/>
                <w:bCs w:val="1"/>
                <w:color w:val="auto"/>
                <w:w w:val="85"/>
              </w:rPr>
              <w:t>Based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All Other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tcPr>
          <w:p>
            <w:pPr>
              <w:ind w:left="840"/>
              <w:spacing w:after="0"/>
              <w:rPr>
                <w:sz w:val="20"/>
                <w:szCs w:val="20"/>
                <w:color w:val="auto"/>
              </w:rPr>
            </w:pPr>
            <w:r>
              <w:rPr>
                <w:rFonts w:ascii="Arial" w:cs="Arial" w:eastAsia="Arial" w:hAnsi="Arial"/>
                <w:sz w:val="14"/>
                <w:szCs w:val="14"/>
                <w:b w:val="1"/>
                <w:bCs w:val="1"/>
                <w:color w:val="auto"/>
              </w:rPr>
              <w:t>Name and</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Salary</w:t>
            </w: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Bonus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148"/>
              <w:spacing w:after="0"/>
              <w:rPr>
                <w:sz w:val="20"/>
                <w:szCs w:val="20"/>
                <w:color w:val="auto"/>
              </w:rPr>
            </w:pPr>
            <w:r>
              <w:rPr>
                <w:rFonts w:ascii="Arial" w:cs="Arial" w:eastAsia="Arial" w:hAnsi="Arial"/>
                <w:sz w:val="14"/>
                <w:szCs w:val="14"/>
                <w:b w:val="1"/>
                <w:bCs w:val="1"/>
                <w:color w:val="auto"/>
                <w:w w:val="94"/>
              </w:rPr>
              <w:t>Awards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Compensation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08"/>
        </w:trPr>
        <w:tc>
          <w:tcPr>
            <w:tcW w:w="26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Principal Position</w:t>
            </w:r>
          </w:p>
        </w:tc>
        <w:tc>
          <w:tcPr>
            <w:tcW w:w="19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4"/>
              </w:rPr>
              <w:t xml:space="preserve">($) </w:t>
            </w:r>
            <w:r>
              <w:rPr>
                <w:rFonts w:ascii="Arial" w:cs="Arial" w:eastAsia="Arial" w:hAnsi="Arial"/>
                <w:sz w:val="14"/>
                <w:szCs w:val="14"/>
                <w:color w:val="auto"/>
                <w:w w:val="94"/>
              </w:rPr>
              <w:t>(1)</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9"/>
              </w:rPr>
              <w:t xml:space="preserve">($) </w:t>
            </w:r>
            <w:r>
              <w:rPr>
                <w:rFonts w:ascii="Arial" w:cs="Arial" w:eastAsia="Arial" w:hAnsi="Arial"/>
                <w:sz w:val="14"/>
                <w:szCs w:val="14"/>
                <w:color w:val="auto"/>
                <w:w w:val="99"/>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A. James Teague</w:t>
            </w:r>
          </w:p>
        </w:tc>
        <w:tc>
          <w:tcPr>
            <w:tcW w:w="1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2019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887,500</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3,000,000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5,827,500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822,661</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10,537,661</w:t>
            </w:r>
          </w:p>
        </w:tc>
      </w:tr>
      <w:tr>
        <w:trPr>
          <w:trHeight w:val="216"/>
        </w:trPr>
        <w:tc>
          <w:tcPr>
            <w:tcW w:w="2680" w:type="dxa"/>
            <w:vAlign w:val="bottom"/>
          </w:tcPr>
          <w:p>
            <w:pPr>
              <w:ind w:left="120"/>
              <w:spacing w:after="0"/>
              <w:rPr>
                <w:sz w:val="20"/>
                <w:szCs w:val="20"/>
                <w:color w:val="auto"/>
              </w:rPr>
            </w:pPr>
            <w:r>
              <w:rPr>
                <w:rFonts w:ascii="Arial" w:cs="Arial" w:eastAsia="Arial" w:hAnsi="Arial"/>
                <w:sz w:val="14"/>
                <w:szCs w:val="14"/>
                <w:color w:val="auto"/>
              </w:rPr>
              <w:t>Co-CEO,</w:t>
            </w:r>
          </w:p>
        </w:tc>
        <w:tc>
          <w:tcPr>
            <w:tcW w:w="1920" w:type="dxa"/>
            <w:vAlign w:val="bottom"/>
          </w:tcPr>
          <w:p>
            <w:pPr>
              <w:ind w:left="62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837,500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2,716,250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4,359,306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706,531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8,619,587</w:t>
            </w:r>
          </w:p>
        </w:tc>
      </w:tr>
      <w:tr>
        <w:trPr>
          <w:trHeight w:val="216"/>
        </w:trPr>
        <w:tc>
          <w:tcPr>
            <w:tcW w:w="2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(Co-Principal Executive Officer)</w:t>
            </w:r>
          </w:p>
        </w:tc>
        <w:tc>
          <w:tcPr>
            <w:tcW w:w="1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800,000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2,205,000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4,041,800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651,138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7,697,938</w:t>
            </w:r>
          </w:p>
        </w:tc>
      </w:tr>
      <w:tr>
        <w:trPr>
          <w:trHeight w:val="216"/>
        </w:trPr>
        <w:tc>
          <w:tcPr>
            <w:tcW w:w="2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W. Randall Fowler</w:t>
            </w:r>
          </w:p>
        </w:tc>
        <w:tc>
          <w:tcPr>
            <w:tcW w:w="1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609,375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2,250,000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3,663,000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519,072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7,041,447</w:t>
            </w:r>
          </w:p>
        </w:tc>
      </w:tr>
      <w:tr>
        <w:trPr>
          <w:trHeight w:val="216"/>
        </w:trPr>
        <w:tc>
          <w:tcPr>
            <w:tcW w:w="2680" w:type="dxa"/>
            <w:vAlign w:val="bottom"/>
          </w:tcPr>
          <w:p>
            <w:pPr>
              <w:ind w:left="120"/>
              <w:spacing w:after="0"/>
              <w:rPr>
                <w:sz w:val="20"/>
                <w:szCs w:val="20"/>
                <w:color w:val="auto"/>
              </w:rPr>
            </w:pPr>
            <w:r>
              <w:rPr>
                <w:rFonts w:ascii="Arial" w:cs="Arial" w:eastAsia="Arial" w:hAnsi="Arial"/>
                <w:sz w:val="14"/>
                <w:szCs w:val="14"/>
                <w:color w:val="auto"/>
              </w:rPr>
              <w:t>Co-CEO/CFO,</w:t>
            </w:r>
          </w:p>
        </w:tc>
        <w:tc>
          <w:tcPr>
            <w:tcW w:w="1920" w:type="dxa"/>
            <w:vAlign w:val="bottom"/>
          </w:tcPr>
          <w:p>
            <w:pPr>
              <w:ind w:left="62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567,188</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1,845,000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2,736,631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430,337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5,579,156</w:t>
            </w:r>
          </w:p>
        </w:tc>
      </w:tr>
      <w:tr>
        <w:trPr>
          <w:trHeight w:val="216"/>
        </w:trPr>
        <w:tc>
          <w:tcPr>
            <w:tcW w:w="2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(Co-Principal Executive Officer</w:t>
            </w:r>
          </w:p>
        </w:tc>
        <w:tc>
          <w:tcPr>
            <w:tcW w:w="1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525,000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1,181,250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2,425,080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374,191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4,505,521</w:t>
            </w:r>
          </w:p>
        </w:tc>
      </w:tr>
      <w:tr>
        <w:trPr>
          <w:trHeight w:val="216"/>
        </w:trPr>
        <w:tc>
          <w:tcPr>
            <w:tcW w:w="2680" w:type="dxa"/>
            <w:vAlign w:val="bottom"/>
          </w:tcPr>
          <w:p>
            <w:pPr>
              <w:ind w:left="180"/>
              <w:spacing w:after="0"/>
              <w:rPr>
                <w:sz w:val="20"/>
                <w:szCs w:val="20"/>
                <w:color w:val="auto"/>
              </w:rPr>
            </w:pPr>
            <w:r>
              <w:rPr>
                <w:rFonts w:ascii="Arial" w:cs="Arial" w:eastAsia="Arial" w:hAnsi="Arial"/>
                <w:sz w:val="14"/>
                <w:szCs w:val="14"/>
                <w:color w:val="auto"/>
              </w:rPr>
              <w:t>and Principal Financial Officer)</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4"/>
                <w:szCs w:val="14"/>
                <w:color w:val="auto"/>
              </w:rPr>
              <w:t>Graham W. Bacon</w:t>
            </w:r>
          </w:p>
        </w:tc>
        <w:tc>
          <w:tcPr>
            <w:tcW w:w="1920" w:type="dxa"/>
            <w:vAlign w:val="bottom"/>
          </w:tcPr>
          <w:p>
            <w:pPr>
              <w:ind w:left="62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481,250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2,358,750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386,692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3,726,692</w:t>
            </w:r>
          </w:p>
        </w:tc>
      </w:tr>
      <w:tr>
        <w:trPr>
          <w:trHeight w:val="216"/>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Executive Vice President and</w:t>
            </w:r>
          </w:p>
        </w:tc>
        <w:tc>
          <w:tcPr>
            <w:tcW w:w="1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418,750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411,000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3,159,310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315,136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4,304,196</w:t>
            </w:r>
          </w:p>
        </w:tc>
      </w:tr>
      <w:tr>
        <w:trPr>
          <w:trHeight w:val="216"/>
        </w:trPr>
        <w:tc>
          <w:tcPr>
            <w:tcW w:w="2680" w:type="dxa"/>
            <w:vAlign w:val="bottom"/>
          </w:tcPr>
          <w:p>
            <w:pPr>
              <w:ind w:left="160"/>
              <w:spacing w:after="0"/>
              <w:rPr>
                <w:sz w:val="20"/>
                <w:szCs w:val="20"/>
                <w:color w:val="auto"/>
              </w:rPr>
            </w:pPr>
            <w:r>
              <w:rPr>
                <w:rFonts w:ascii="Arial" w:cs="Arial" w:eastAsia="Arial" w:hAnsi="Arial"/>
                <w:sz w:val="14"/>
                <w:szCs w:val="14"/>
                <w:color w:val="auto"/>
              </w:rPr>
              <w:t>Chief Operating Officer</w:t>
            </w:r>
          </w:p>
        </w:tc>
        <w:tc>
          <w:tcPr>
            <w:tcW w:w="1920" w:type="dxa"/>
            <w:vAlign w:val="bottom"/>
          </w:tcPr>
          <w:p>
            <w:pPr>
              <w:ind w:left="62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393,750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315,000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1,674,460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263,501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2,646,711</w:t>
            </w:r>
          </w:p>
        </w:tc>
      </w:tr>
      <w:tr>
        <w:trPr>
          <w:trHeight w:val="216"/>
        </w:trPr>
        <w:tc>
          <w:tcPr>
            <w:tcW w:w="26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4"/>
                <w:szCs w:val="14"/>
                <w:color w:val="auto"/>
              </w:rPr>
              <w:t>Brent B. Secrest</w:t>
            </w:r>
          </w:p>
        </w:tc>
        <w:tc>
          <w:tcPr>
            <w:tcW w:w="1920" w:type="dxa"/>
            <w:vAlign w:val="bottom"/>
          </w:tcPr>
          <w:p>
            <w:pPr>
              <w:ind w:left="62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390,000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1,248,750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219,012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2,357,762</w:t>
            </w:r>
          </w:p>
        </w:tc>
      </w:tr>
      <w:tr>
        <w:trPr>
          <w:trHeight w:val="216"/>
        </w:trPr>
        <w:tc>
          <w:tcPr>
            <w:tcW w:w="2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Executive Vice President and</w:t>
            </w:r>
          </w:p>
        </w:tc>
        <w:tc>
          <w:tcPr>
            <w:tcW w:w="1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332,500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359,750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2,007,334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168,921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2,868,505</w:t>
            </w:r>
          </w:p>
        </w:tc>
      </w:tr>
      <w:tr>
        <w:trPr>
          <w:trHeight w:val="216"/>
        </w:trPr>
        <w:tc>
          <w:tcPr>
            <w:tcW w:w="2680" w:type="dxa"/>
            <w:vAlign w:val="bottom"/>
          </w:tcPr>
          <w:p>
            <w:pPr>
              <w:ind w:left="160"/>
              <w:spacing w:after="0"/>
              <w:rPr>
                <w:sz w:val="20"/>
                <w:szCs w:val="20"/>
                <w:color w:val="auto"/>
              </w:rPr>
            </w:pPr>
            <w:r>
              <w:rPr>
                <w:rFonts w:ascii="Arial" w:cs="Arial" w:eastAsia="Arial" w:hAnsi="Arial"/>
                <w:sz w:val="14"/>
                <w:szCs w:val="14"/>
                <w:color w:val="auto"/>
              </w:rPr>
              <w:t>Chief Commercial Officer</w:t>
            </w:r>
          </w:p>
        </w:tc>
        <w:tc>
          <w:tcPr>
            <w:tcW w:w="1920" w:type="dxa"/>
            <w:vAlign w:val="bottom"/>
          </w:tcPr>
          <w:p>
            <w:pPr>
              <w:ind w:left="62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306,750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262,500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1,154,800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378,084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2,102,134</w:t>
            </w:r>
          </w:p>
        </w:tc>
      </w:tr>
      <w:tr>
        <w:trPr>
          <w:trHeight w:val="216"/>
        </w:trPr>
        <w:tc>
          <w:tcPr>
            <w:tcW w:w="26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4"/>
                <w:szCs w:val="14"/>
                <w:color w:val="auto"/>
              </w:rPr>
              <w:t>William Ordemann (3)</w:t>
            </w:r>
          </w:p>
        </w:tc>
        <w:tc>
          <w:tcPr>
            <w:tcW w:w="1920" w:type="dxa"/>
            <w:vAlign w:val="bottom"/>
          </w:tcPr>
          <w:p>
            <w:pPr>
              <w:ind w:left="62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353,598</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1,387,500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421,748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2,162,846</w:t>
            </w:r>
          </w:p>
        </w:tc>
      </w:tr>
      <w:tr>
        <w:trPr>
          <w:trHeight w:val="216"/>
        </w:trPr>
        <w:tc>
          <w:tcPr>
            <w:tcW w:w="2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Former Executive Vice President,</w:t>
            </w:r>
          </w:p>
        </w:tc>
        <w:tc>
          <w:tcPr>
            <w:tcW w:w="19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460,150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308,500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1,823,080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318,608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2,910,338</w:t>
            </w:r>
          </w:p>
        </w:tc>
      </w:tr>
      <w:tr>
        <w:trPr>
          <w:trHeight w:val="130"/>
        </w:trPr>
        <w:tc>
          <w:tcPr>
            <w:tcW w:w="2680" w:type="dxa"/>
            <w:vAlign w:val="bottom"/>
          </w:tcPr>
          <w:p>
            <w:pPr>
              <w:ind w:left="120"/>
              <w:spacing w:after="0" w:line="130" w:lineRule="exact"/>
              <w:rPr>
                <w:sz w:val="20"/>
                <w:szCs w:val="20"/>
                <w:color w:val="auto"/>
              </w:rPr>
            </w:pPr>
            <w:r>
              <w:rPr>
                <w:rFonts w:ascii="Arial" w:cs="Arial" w:eastAsia="Arial" w:hAnsi="Arial"/>
                <w:sz w:val="14"/>
                <w:szCs w:val="14"/>
                <w:color w:val="auto"/>
              </w:rPr>
              <w:t>Strategy Development and</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680" w:type="dxa"/>
            <w:vAlign w:val="bottom"/>
          </w:tcPr>
          <w:p>
            <w:pPr>
              <w:spacing w:after="0"/>
              <w:rPr>
                <w:sz w:val="20"/>
                <w:szCs w:val="20"/>
                <w:color w:val="auto"/>
              </w:rPr>
            </w:pPr>
            <w:r>
              <w:rPr>
                <w:rFonts w:ascii="Arial" w:cs="Arial" w:eastAsia="Arial" w:hAnsi="Arial"/>
                <w:sz w:val="14"/>
                <w:szCs w:val="14"/>
                <w:color w:val="auto"/>
              </w:rPr>
              <w:t>Implementation</w:t>
            </w:r>
          </w:p>
        </w:tc>
        <w:tc>
          <w:tcPr>
            <w:tcW w:w="1920" w:type="dxa"/>
            <w:vAlign w:val="bottom"/>
          </w:tcPr>
          <w:p>
            <w:pPr>
              <w:ind w:left="62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451,150</w:t>
            </w:r>
          </w:p>
        </w:tc>
        <w:tc>
          <w:tcPr>
            <w:tcW w:w="22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367,500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1,674,460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302,070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2,795,180</w:t>
            </w:r>
          </w:p>
        </w:tc>
      </w:tr>
      <w:tr>
        <w:trPr>
          <w:trHeight w:val="216"/>
        </w:trPr>
        <w:tc>
          <w:tcPr>
            <w:tcW w:w="26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4"/>
                <w:szCs w:val="14"/>
                <w:color w:val="auto"/>
              </w:rPr>
              <w:t>Harry P. Weitzel</w:t>
            </w:r>
          </w:p>
        </w:tc>
        <w:tc>
          <w:tcPr>
            <w:tcW w:w="1920" w:type="dxa"/>
            <w:vAlign w:val="bottom"/>
          </w:tcPr>
          <w:p>
            <w:pPr>
              <w:ind w:left="62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318,875</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280,500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1,092,656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199,709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1,891,740</w:t>
            </w:r>
          </w:p>
        </w:tc>
      </w:tr>
      <w:tr>
        <w:trPr>
          <w:trHeight w:val="216"/>
        </w:trPr>
        <w:tc>
          <w:tcPr>
            <w:tcW w:w="2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Executive Vice President,</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1"/>
        </w:trPr>
        <w:tc>
          <w:tcPr>
            <w:tcW w:w="2680" w:type="dxa"/>
            <w:vAlign w:val="bottom"/>
          </w:tcPr>
          <w:p>
            <w:pPr>
              <w:ind w:left="160"/>
              <w:spacing w:after="0"/>
              <w:rPr>
                <w:sz w:val="20"/>
                <w:szCs w:val="20"/>
                <w:color w:val="auto"/>
              </w:rPr>
            </w:pPr>
            <w:r>
              <w:rPr>
                <w:rFonts w:ascii="Arial" w:cs="Arial" w:eastAsia="Arial" w:hAnsi="Arial"/>
                <w:sz w:val="14"/>
                <w:szCs w:val="14"/>
                <w:color w:val="auto"/>
              </w:rPr>
              <w:t>General Counsel and Secretary</w:t>
            </w: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Amounts represent our estimated share of the aggregate grant date fair value of equity-based awards granted during each year presented.</w:t>
      </w:r>
    </w:p>
    <w:p>
      <w:pPr>
        <w:ind w:left="460" w:hanging="452"/>
        <w:spacing w:after="0" w:line="221" w:lineRule="auto"/>
        <w:tabs>
          <w:tab w:leader="none" w:pos="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Amounts include (i) contributions in connection with funded, qualified, defined contribution retirement plans, (ii) quarterly distributions paid on equity-based awards, (iii) the imputed value of life insurance premiums paid on behalf of the officer, (iv) employee retention payments and (v) other amounts.</w:t>
      </w:r>
    </w:p>
    <w:p>
      <w:pPr>
        <w:ind w:left="460" w:hanging="452"/>
        <w:spacing w:after="0"/>
        <w:tabs>
          <w:tab w:leader="none" w:pos="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Mr. Ordemann retired effective August 16, 2019.</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Bonus amounts shown in the preceding table represent discretionary annual awards earned by each named executive officer with respect to the year presented. The bonus amounts for the year ended December 31, 2019 were paid in cash in February 2020. For the year ended December 31, 2018, the dollar value of each officer’s bonus (less applicable deductions and taxes) was remitted half in cash and half through the issuance of an equivalent value of newly issued Enterprise common units, with both amounts provided to the employee in February 2019. For the year ended December 31, 2017, the dollar value of each officer’s bonus (less applicable deductions and taxes) was remitted through the issuance of an equivalent value of newly issued Enterprise common units in February 2018.</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5" w:name="page126"/>
    <w:bookmarkEnd w:id="1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“All Other Compensation” for each named executive officer for the year ended December 31,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jc w:val="center"/>
              <w:ind w:right="168"/>
              <w:spacing w:after="0"/>
              <w:rPr>
                <w:sz w:val="20"/>
                <w:szCs w:val="20"/>
                <w:color w:val="auto"/>
              </w:rPr>
            </w:pPr>
            <w:r>
              <w:rPr>
                <w:rFonts w:ascii="Arial" w:cs="Arial" w:eastAsia="Arial" w:hAnsi="Arial"/>
                <w:sz w:val="14"/>
                <w:szCs w:val="14"/>
                <w:b w:val="1"/>
                <w:bCs w:val="1"/>
                <w:color w:val="auto"/>
                <w:w w:val="93"/>
              </w:rPr>
              <w:t>Contributions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3"/>
              </w:rPr>
              <w:t>Under</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1"/>
              </w:rPr>
              <w:t>Funded,</w:t>
            </w:r>
          </w:p>
        </w:tc>
        <w:tc>
          <w:tcPr>
            <w:tcW w:w="220" w:type="dxa"/>
            <w:vAlign w:val="bottom"/>
          </w:tcPr>
          <w:p>
            <w:pPr>
              <w:spacing w:after="0"/>
              <w:rPr>
                <w:sz w:val="12"/>
                <w:szCs w:val="12"/>
                <w:color w:val="auto"/>
              </w:rPr>
            </w:pPr>
          </w:p>
        </w:tc>
        <w:tc>
          <w:tcPr>
            <w:tcW w:w="114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9"/>
              </w:rPr>
              <w:t>Quarterly</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7"/>
              </w:rPr>
              <w:t>Qualified,</w:t>
            </w: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3"/>
              </w:rPr>
              <w:t>Defined</w:t>
            </w:r>
          </w:p>
        </w:tc>
        <w:tc>
          <w:tcPr>
            <w:tcW w:w="220" w:type="dxa"/>
            <w:vAlign w:val="bottom"/>
          </w:tcPr>
          <w:p>
            <w:pPr>
              <w:spacing w:after="0"/>
              <w:rPr>
                <w:sz w:val="12"/>
                <w:szCs w:val="12"/>
                <w:color w:val="auto"/>
              </w:rPr>
            </w:pPr>
          </w:p>
        </w:tc>
        <w:tc>
          <w:tcPr>
            <w:tcW w:w="114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280" w:type="dxa"/>
            <w:vAlign w:val="bottom"/>
          </w:tcPr>
          <w:p>
            <w:pPr>
              <w:spacing w:after="0"/>
              <w:rPr>
                <w:sz w:val="12"/>
                <w:szCs w:val="12"/>
                <w:color w:val="auto"/>
              </w:rPr>
            </w:pPr>
          </w:p>
        </w:tc>
        <w:tc>
          <w:tcPr>
            <w:tcW w:w="108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Life</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7"/>
              </w:rPr>
              <w:t>Contribution</w:t>
            </w:r>
          </w:p>
        </w:tc>
        <w:tc>
          <w:tcPr>
            <w:tcW w:w="220" w:type="dxa"/>
            <w:vAlign w:val="bottom"/>
          </w:tcPr>
          <w:p>
            <w:pPr>
              <w:spacing w:after="0"/>
              <w:rPr>
                <w:sz w:val="12"/>
                <w:szCs w:val="12"/>
                <w:color w:val="auto"/>
              </w:rPr>
            </w:pPr>
          </w:p>
        </w:tc>
        <w:tc>
          <w:tcPr>
            <w:tcW w:w="114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4"/>
              </w:rPr>
              <w:t>Paid On</w:t>
            </w: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Named Executive Officer</w:t>
            </w:r>
          </w:p>
        </w:tc>
        <w:tc>
          <w:tcPr>
            <w:tcW w:w="920" w:type="dxa"/>
            <w:vAlign w:val="bottom"/>
          </w:tcPr>
          <w:p>
            <w:pPr>
              <w:spacing w:after="0"/>
              <w:rPr>
                <w:sz w:val="12"/>
                <w:szCs w:val="12"/>
                <w:color w:val="auto"/>
              </w:rPr>
            </w:pPr>
          </w:p>
        </w:tc>
        <w:tc>
          <w:tcPr>
            <w:tcW w:w="11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5"/>
              </w:rPr>
              <w:t>Retirement</w:t>
            </w:r>
          </w:p>
        </w:tc>
        <w:tc>
          <w:tcPr>
            <w:tcW w:w="220" w:type="dxa"/>
            <w:vAlign w:val="bottom"/>
          </w:tcPr>
          <w:p>
            <w:pPr>
              <w:spacing w:after="0"/>
              <w:rPr>
                <w:sz w:val="12"/>
                <w:szCs w:val="12"/>
                <w:color w:val="auto"/>
              </w:rPr>
            </w:pPr>
          </w:p>
        </w:tc>
        <w:tc>
          <w:tcPr>
            <w:tcW w:w="114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1"/>
              </w:rPr>
              <w:t>Equity-Based</w:t>
            </w:r>
          </w:p>
        </w:tc>
        <w:tc>
          <w:tcPr>
            <w:tcW w:w="280" w:type="dxa"/>
            <w:vAlign w:val="bottom"/>
          </w:tcPr>
          <w:p>
            <w:pPr>
              <w:spacing w:after="0"/>
              <w:rPr>
                <w:sz w:val="12"/>
                <w:szCs w:val="12"/>
                <w:color w:val="auto"/>
              </w:rPr>
            </w:pPr>
          </w:p>
        </w:tc>
        <w:tc>
          <w:tcPr>
            <w:tcW w:w="1080" w:type="dxa"/>
            <w:vAlign w:val="bottom"/>
          </w:tcPr>
          <w:p>
            <w:pPr>
              <w:jc w:val="right"/>
              <w:ind w:right="288"/>
              <w:spacing w:after="0" w:line="149" w:lineRule="exact"/>
              <w:rPr>
                <w:sz w:val="20"/>
                <w:szCs w:val="20"/>
                <w:color w:val="auto"/>
              </w:rPr>
            </w:pPr>
            <w:r>
              <w:rPr>
                <w:rFonts w:ascii="Arial" w:cs="Arial" w:eastAsia="Arial" w:hAnsi="Arial"/>
                <w:sz w:val="14"/>
                <w:szCs w:val="14"/>
                <w:b w:val="1"/>
                <w:bCs w:val="1"/>
                <w:color w:val="auto"/>
              </w:rPr>
              <w:t>Insurance</w:t>
            </w:r>
          </w:p>
        </w:tc>
        <w:tc>
          <w:tcPr>
            <w:tcW w:w="340" w:type="dxa"/>
            <w:vAlign w:val="bottom"/>
          </w:tcPr>
          <w:p>
            <w:pPr>
              <w:spacing w:after="0"/>
              <w:rPr>
                <w:sz w:val="12"/>
                <w:szCs w:val="12"/>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14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8"/>
              </w:rPr>
              <w:t>All Other</w:t>
            </w:r>
          </w:p>
        </w:tc>
        <w:tc>
          <w:tcPr>
            <w:tcW w:w="0" w:type="dxa"/>
            <w:vAlign w:val="bottom"/>
          </w:tcPr>
          <w:p>
            <w:pPr>
              <w:spacing w:after="0"/>
              <w:rPr>
                <w:sz w:val="1"/>
                <w:szCs w:val="1"/>
                <w:color w:val="auto"/>
              </w:rPr>
            </w:pPr>
          </w:p>
        </w:tc>
      </w:tr>
      <w:tr>
        <w:trPr>
          <w:trHeight w:val="178"/>
        </w:trPr>
        <w:tc>
          <w:tcPr>
            <w:tcW w:w="390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0"/>
              </w:rPr>
              <w:t>Plans</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4"/>
                <w:szCs w:val="14"/>
                <w:color w:val="auto"/>
                <w:w w:val="92"/>
              </w:rPr>
              <w:t>(1)</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Premiums</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A. James Teague</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33,600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775,721</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7,663</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5,677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822,661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4"/>
                <w:szCs w:val="14"/>
                <w:color w:val="auto"/>
              </w:rPr>
              <w:t>W. Randall Fowler</w:t>
            </w:r>
          </w:p>
        </w:tc>
        <w:tc>
          <w:tcPr>
            <w:tcW w:w="92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25,200</w:t>
            </w:r>
          </w:p>
        </w:tc>
        <w:tc>
          <w:tcPr>
            <w:tcW w:w="22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485,510</w:t>
            </w:r>
          </w:p>
        </w:tc>
        <w:tc>
          <w:tcPr>
            <w:tcW w:w="28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3,267</w:t>
            </w:r>
          </w:p>
        </w:tc>
        <w:tc>
          <w:tcPr>
            <w:tcW w:w="34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5,095</w:t>
            </w:r>
          </w:p>
        </w:tc>
        <w:tc>
          <w:tcPr>
            <w:tcW w:w="22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519,072</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Graham W. Bacon</w:t>
            </w:r>
          </w:p>
        </w:tc>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33,600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344,544</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2,838</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5,710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386,692</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4"/>
                <w:szCs w:val="14"/>
                <w:color w:val="auto"/>
              </w:rPr>
              <w:t>Brent B. Secrest</w:t>
            </w:r>
          </w:p>
        </w:tc>
        <w:tc>
          <w:tcPr>
            <w:tcW w:w="920" w:type="dxa"/>
            <w:vAlign w:val="bottom"/>
          </w:tcPr>
          <w:p>
            <w:pPr>
              <w:spacing w:after="0"/>
              <w:rPr>
                <w:sz w:val="18"/>
                <w:szCs w:val="18"/>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30,800</w:t>
            </w:r>
          </w:p>
        </w:tc>
        <w:tc>
          <w:tcPr>
            <w:tcW w:w="22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180,861</w:t>
            </w:r>
          </w:p>
        </w:tc>
        <w:tc>
          <w:tcPr>
            <w:tcW w:w="28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990</w:t>
            </w:r>
          </w:p>
        </w:tc>
        <w:tc>
          <w:tcPr>
            <w:tcW w:w="34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6,361</w:t>
            </w:r>
          </w:p>
        </w:tc>
        <w:tc>
          <w:tcPr>
            <w:tcW w:w="22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219,012</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William Ordemann (2)</w:t>
            </w:r>
          </w:p>
        </w:tc>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33,600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216,019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2,904</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169,225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421,748</w:t>
            </w:r>
          </w:p>
        </w:tc>
        <w:tc>
          <w:tcPr>
            <w:tcW w:w="0" w:type="dxa"/>
            <w:vAlign w:val="bottom"/>
          </w:tcPr>
          <w:p>
            <w:pPr>
              <w:spacing w:after="0"/>
              <w:rPr>
                <w:sz w:val="1"/>
                <w:szCs w:val="1"/>
                <w:color w:val="auto"/>
              </w:rPr>
            </w:pPr>
          </w:p>
        </w:tc>
      </w:tr>
      <w:tr>
        <w:trPr>
          <w:trHeight w:val="231"/>
        </w:trPr>
        <w:tc>
          <w:tcPr>
            <w:tcW w:w="3900" w:type="dxa"/>
            <w:vAlign w:val="bottom"/>
          </w:tcPr>
          <w:p>
            <w:pPr>
              <w:spacing w:after="0"/>
              <w:rPr>
                <w:sz w:val="20"/>
                <w:szCs w:val="20"/>
                <w:color w:val="auto"/>
              </w:rPr>
            </w:pPr>
            <w:r>
              <w:rPr>
                <w:rFonts w:ascii="Arial" w:cs="Arial" w:eastAsia="Arial" w:hAnsi="Arial"/>
                <w:sz w:val="14"/>
                <w:szCs w:val="14"/>
                <w:color w:val="auto"/>
              </w:rPr>
              <w:t>Harry P. Weitzel</w:t>
            </w:r>
          </w:p>
        </w:tc>
        <w:tc>
          <w:tcPr>
            <w:tcW w:w="920" w:type="dxa"/>
            <w:vAlign w:val="bottom"/>
          </w:tcPr>
          <w:p>
            <w:pPr>
              <w:spacing w:after="0"/>
              <w:rPr>
                <w:sz w:val="20"/>
                <w:szCs w:val="20"/>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25,200</w:t>
            </w:r>
          </w:p>
        </w:tc>
        <w:tc>
          <w:tcPr>
            <w:tcW w:w="220" w:type="dxa"/>
            <w:vAlign w:val="bottom"/>
          </w:tcPr>
          <w:p>
            <w:pPr>
              <w:spacing w:after="0"/>
              <w:rPr>
                <w:sz w:val="20"/>
                <w:szCs w:val="20"/>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166,630</w:t>
            </w:r>
          </w:p>
        </w:tc>
        <w:tc>
          <w:tcPr>
            <w:tcW w:w="280" w:type="dxa"/>
            <w:vAlign w:val="bottom"/>
          </w:tcPr>
          <w:p>
            <w:pPr>
              <w:spacing w:after="0"/>
              <w:rPr>
                <w:sz w:val="20"/>
                <w:szCs w:val="20"/>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2,483</w:t>
            </w:r>
          </w:p>
        </w:tc>
        <w:tc>
          <w:tcPr>
            <w:tcW w:w="340" w:type="dxa"/>
            <w:vAlign w:val="bottom"/>
          </w:tcPr>
          <w:p>
            <w:pPr>
              <w:spacing w:after="0"/>
              <w:rPr>
                <w:sz w:val="20"/>
                <w:szCs w:val="20"/>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5,396</w:t>
            </w:r>
          </w:p>
        </w:tc>
        <w:tc>
          <w:tcPr>
            <w:tcW w:w="220" w:type="dxa"/>
            <w:vAlign w:val="bottom"/>
          </w:tcPr>
          <w:p>
            <w:pPr>
              <w:spacing w:after="0"/>
              <w:rPr>
                <w:sz w:val="20"/>
                <w:szCs w:val="20"/>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199,709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ind w:left="500" w:hanging="492"/>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Reflects aggregate cash payments made to the named executive officer in connection with (i) distribution equivalent rights</w:t>
      </w:r>
    </w:p>
    <w:p>
      <w:pPr>
        <w:jc w:val="both"/>
        <w:ind w:left="500"/>
        <w:spacing w:after="0" w:line="221" w:lineRule="auto"/>
        <w:rPr>
          <w:rFonts w:ascii="Arial" w:cs="Arial" w:eastAsia="Arial" w:hAnsi="Arial"/>
          <w:sz w:val="14"/>
          <w:szCs w:val="14"/>
          <w:color w:val="auto"/>
        </w:rPr>
      </w:pPr>
      <w:r>
        <w:rPr>
          <w:rFonts w:ascii="Arial" w:cs="Arial" w:eastAsia="Arial" w:hAnsi="Arial"/>
          <w:sz w:val="14"/>
          <w:szCs w:val="14"/>
          <w:color w:val="auto"/>
        </w:rPr>
        <w:t>(“DERs”) issued in tandem with phantom unit awards and (ii) distributions paid in connection with profits interest awards. With respect to DER amounts allocated to us, the following cash payments were made to the named executive officers during the year ended December 31, 2019: Mr. Teague, $748,254; Mr. Fowler, $460,374; Mr. Bacon, $305,153; Mr. Secrest, $156,656; Mr. Ordemann, $196,370 and Mr. Weitzel, $148,651.</w:t>
      </w:r>
    </w:p>
    <w:p>
      <w:pPr>
        <w:ind w:left="500" w:right="20" w:hanging="492"/>
        <w:spacing w:after="0" w:line="237" w:lineRule="auto"/>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Upon his retirement, Mr. Ordemann was granted a travel voucher in the amount of $100,000 and additional compensation of $65,000 as a gross-up for the related taxes. These amounts are included in the “Other” category for Mr. Ordemann.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Discussion and Analysis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Elements of Compensation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With respect to our named executive officers, compensation paid or awarded by us reflects only that portion of compensation paid by EPCO and allocated to us pursuant to the ASA, including an allocation of a portion of the cost of long-term incentive plans of EPCO. The elements of EPCO’s compensation program, along with EPCO’s other incentives (e.g., benefits, work environment and career development), are intended to provide a total rewards package to employees. The objective of EPCO’s compensation program is to provide competitive compensation opportunities that will align and drive employee performance toward the creation of sustained long-term unitholder value. We believe that our compensation program allows us to attract, motivate and retain high quality talent with the skills and competencies we require. Our compensation packages are designed to reward contributions by employees in support of the business strategies of EPCO and its affiliates at both our partnership and individual levels and to avoid risks that are likely to conflict with our risk management policies.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years ended December 31, 2019, the primary elements of compensation for the named executive officers consisted of annual cash base salary, a discretionary annual bonus, equity awards under long-term incentive arrangements and other compensation, including very limited perquisites. With respect to the annual periods presented in the Summary Compensation Table, EPCO’s compensation package for the named executive officers did not include any compensation elements based on targeted performance-based criteria. We believe that the absence of targeted performance-based criteria has the effect of discouraging excessive risk taking by our named executive officers.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Changes in the base salaries of our named executive officers during the three years ending December 31, 2019 were largely budget-driven and made consistent relative to increases in the base salaries of our other executive officers.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6" w:name="page127"/>
    <w:bookmarkEnd w:id="1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bonus awards are discretionary and, in combination with annual base salaries, are intended to yield competitive total compensation levels for the named executive officers and drive performance in support of our business strategies, as well as the performance of other EPCO affiliates for which the named executive officer may perform services. The annual bonus amount presented for each named executive officer reflects a general consideration of our overall financial and certain operating results for those periods. This consideration takes into account a number of our financial measures including cash flow from operating activities per unit, distributable cash flow per unit, gross operating margin, return on invested capital, and our 3-year and 5-year equity total return performance relative to peers. Operating results considered include certain safety performance and direct carbon dioxide equivalent (“CO</w:t>
      </w:r>
      <w:r>
        <w:rPr>
          <w:rFonts w:ascii="Arial" w:cs="Arial" w:eastAsia="Arial" w:hAnsi="Arial"/>
          <w:sz w:val="14"/>
          <w:szCs w:val="14"/>
          <w:color w:val="auto"/>
        </w:rPr>
        <w:t>2</w:t>
      </w:r>
      <w:r>
        <w:rPr>
          <w:rFonts w:ascii="Arial" w:cs="Arial" w:eastAsia="Arial" w:hAnsi="Arial"/>
          <w:sz w:val="16"/>
          <w:szCs w:val="16"/>
          <w:color w:val="auto"/>
        </w:rPr>
        <w:t>-e”) emission measures. No weight or formula is given to any specific financial or operating performance measure. In addition, a subjective judgment of each named executive officer’s performance for those periods is taken into account and reflected in the annual bonus amounts. The bonus amounts are also based on the level and position of such named executive officers and the relative compensation paid to our other executive officers.</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Each of our named executive officers has been granted equity-based compensation. The amount of equity-based compensation granted to our named executive officers reflects a general consideration of our overall financial and certain operating results described in the preceding paragraph, along with a subjective judgment of each named executive officer’s contribution in support of that performance, without any weight or formula given to any specific financial or operating performance measure. The values of equity-based awards granted to the named executive officers are also based on the level and position of such named executive officers and the relative compensation paid to our other executive officers. Each of the named executive officers received grants of phantom unit awards for the periods presented in the summary compensation table.</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each of our named executive officers was granted a “profits interest” in one or more of the Employee Partnerships, which serve as long-term incentive arrangements for key employees of EPCO. The names of the Employee Partnerships in which one or more of our named executive officers participate are: EPD PubCo Unit I L.P. (“PubCo I”); EPD PubCo Unit II L.P. (“PubCo II”); EPD PrivCo Unit I L.P. (“PrivCo I”); and EPD 2018 Unit IV L.P. (“EPD IV”). If certain conditions are met, the employee participants in each Employee Partnership will be entitled to (i) a residual profits interest in the assets of the Employee Partnership at liquidation, along with (ii) quarterly cash distributions. For a brief description of the profits interest awards, see Note 13 of the Notes to Consolidated Financial Statements included under Part II, Item 8 of this annual report.</w:t>
      </w:r>
    </w:p>
    <w:p>
      <w:pPr>
        <w:spacing w:after="0" w:line="20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EPCO expects to continue its policy of paying for limited perquisites attributable to our named executive officers. EPCO also makes matching contributions under its defined contribution plans for the benefit of our named executive officers in the same manner as it does for other EPCO employees.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EPCO does not offer our named executive officers a defined benefit pension plan. Also, none of our named executive officers had nonqualified deferred compensation during the three years ended December 31, 2019.</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second quarter of 2019, each of Messrs. Teague, Fowler, Bacon and Secrest entered into a separate retention bonus agreement with EPCO. Pursuant to the retention bonus agreements, each such person will be entitled to a cash retention payment of $5 million (in the case of each of Messrs. Teague and Fowler) or $1 million (in the case of each of Messrs. Bacon and Secrest), less all applicable withholding taxes and other required deductions on such payment (in each case, the applicable “Retention Payment”), in a lump sum within seven business days following his completion of continuous active fulltime employment with EPCO from April 15, 2019 through (i) May 31, 2022 (in the case of Mr. Teague) or (ii) May 31, 2023 (in the case of each of Messrs. Fowler, Bacon and Secrest) (in each case, the applicable “Retention Period”), and provided that such person continues to perform his duties during the applicable Retention Period in a highly effective manner, as determined by the key executives of EPCO (the “Performance Requirement”).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27" w:name="page128"/>
    <w:bookmarkEnd w:id="1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Notwithstanding the foregoing, in the event of an involuntary termination of any such person’s employment prior to the end of his applicable Retention Period for specified reasons, including death, disability or termination of his employment by EPCO other than for “cause” (as defined in each retention bonus agreement), such person will receive (or in the event of his death, his designated beneficiary will receive), a cash payment equal to a pro-rata amount of his applicable Retention Payment, determined based on the number of days he is employed during the applicable Retention Period over the total number of days in such Retention Period (subject to meeting the Performance Requirement through his termination date). Any Retention Payment is in addition to any discretionary incentive compensation that EPCO or any of its affiliates may grant or have in place from time to time.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 of Decision-Making Process Regarding Compensation of Named Executive Officers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Prior to May 8, 2019, the Audit and Conflicts Committee of our general partner had review and approval authority with respect to the compensation of our Co-CEO and our Co-CEO/CFO. In connection therewith, the Audit and Conflicts Committee had considered input and recommendations from the EPCO Trustees and the EPCO Human Resources department. Effective on May 8, 2019, a subcommittee of the Governance Committee of our general partner, the Incentive Plan Administration Subcommittee (the “IPA Subcommittee”), has, and, for the foreseeable future, will have, final and ultimate decision-making authority with respect to all aspects of compensation of our Co-CEO and Co-CEO/CFO. The current members of the IPA Subcommittee are Mr. Hackett and Ms. Barth, both of whom are “Non-Employee Directors” (as defined in SEC Rule 16b-3). It is anticipated that the IPA Subcommittee will, at its sole option and in its sole discretion, consider input and recommendations from the EPCO Trustees and EPCO’s Human Resources department in making its compensation decisions for our Co-CEO and our Co-CEO/CFO.</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compensation of our other named executive officers (other than equity-based awards granted under EPCO’s long-term incentive plans) is determined by our Co-CEO and Co-CEO/CFO. Neither EPCO nor our general partner has a separate compensation committee; however grants of equity-based compensation under EPCO’s long-term incentive plans (e.g., phantom unit awards) to our named executive officers, including our Co-CEO and our Co-CEO/CFO have been approved by the Audit and Conflicts Committee for grants prior to May 8, 2019, and have been, and for the foreseeable future, will be, approved by the IPA Subcommittee for grants on and after May 8, 2019.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profits interest awards was approved by EPCO’s Board of Directors.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overall compensation of each named executive officer is not based on any formula or specific performance criteria; rather, the Audit and Conflicts Committee (prior to May 8, 2019), the IPA Subcommittee (on and after May 8, 2019), our Co-CEO, our Co-CEO/CFO, and EPCO (as applicable) determine an appropriate level and mix of compensation for each officer on a case-by-case basis. Further, there is no established policy or target for the allocation between either cash and non-cash or short-term and long-term incentive compensation. However, some considerations that may be taken into account in making the case-by-case compensation determinations include the total value of all elements of compensation, the appropriate balance of internal pay equity among our executive officers, individual performance and potential, levels of responsibility and value to the organization. All compensation determinations are subjective and discretionary.</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making compensation decisions, EPCO considers market data for determining relevant compensation levels and compensation program elements through the review of and, in certain cases, participation in, relevant compensation surveys and reports. These surveys and reports are conducted and prepared by third party compensation consultants. In 2019, EPCO engaged Meridian Compensation Partners, LLC (the “Consultant”) to complete a detailed review of executive compensation relative to our industry. In connection with this review, the Consultant provided comparative market data on compensation practices and programs for executive level positions based on an analysis of industry competitors. The market data for industry competitors included information from CenterPoint Energy, Inc.; Dominion Energy, Inc.; Enbridge Inc.; ETP; Kinder Morgan Inc.; Magellan Midstream Partners, L.P.; ONEOK, Inc.; Plains All American Pipeline, L.P.; Targa Resources Corporation; The Williams Companies, Inc.; and TransCanada Corporation.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8" w:name="page129"/>
    <w:bookmarkEnd w:id="1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Neither we, nor EPCO, which engages the Consultant, are aware of the specific data of the companies included in the Consultant’s proprietary database for specific positions. EPCO uses the information provided in the Consultant’s analysis to gauge whether compensation levels reported by the Consultant and the general ranges of compensation for EPCO employees in similar positions are comparable, but that comparison is only a factor taken into consideration and may or may not impact compensation of our named executive officers, for which our Audit and Conflicts Committee prior to May 8, 2019 or IPA Subcommittee on and after May 8, 2019 (in the case of our Co-CEO/CFO’s and our Co-CEO’s compensation) or our Co-CEO/CFO and our Co-CEO (in the case of compensation to be paid to our other named executive officers) have the ultimate decision-making authority. EPCO does not otherwise engage in benchmarking for the named executive officers’ positions.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Allocation of Compensation Between Us and EPCO and its Other Affiliates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ASA, the compensation costs of our named executive officers, including those costs related to equity-based awards, are allocated between us and other affiliates of EPCO based on the estimated amount of time that each officer spends on our consolidated businesses in any fiscal year. These percentages are reassessed at least quarterly.</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the exception of Messrs. Fowler and Weitzel, each of our named executive officers devoted all of their time to our consolidated businesses during the years ended December 31, 2019, 2018 and 2017. Mr. Fowler devoted 75% of his time to our consolidated businesses during the same three year period, with the remainder of his time allocated to EPCO and its privately held affiliates. On average, Mr. Weitzel devoted 87.5% of his time to our consolidated businesses during 2019, with the remainder of his time allocated to EPCO and its privately held affiliates.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Equity-Based Awards in Fiscal Year 2019</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information concerning each grant of an equity-based award in 2019 to a named executive officer for which we will be allocated our pro rata share of the related cost under the ASA.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95"/>
        </w:trPr>
        <w:tc>
          <w:tcPr>
            <w:tcW w:w="4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Equity Incentive Plan Awards</w:t>
            </w:r>
          </w:p>
        </w:tc>
        <w:tc>
          <w:tcPr>
            <w:tcW w:w="1000" w:type="dxa"/>
            <w:vAlign w:val="bottom"/>
            <w:tcBorders>
              <w:bottom w:val="single" w:sz="8" w:color="auto"/>
            </w:tcBorders>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Based</w:t>
            </w:r>
          </w:p>
        </w:tc>
        <w:tc>
          <w:tcPr>
            <w:tcW w:w="0" w:type="dxa"/>
            <w:vAlign w:val="bottom"/>
          </w:tcPr>
          <w:p>
            <w:pPr>
              <w:spacing w:after="0"/>
              <w:rPr>
                <w:sz w:val="1"/>
                <w:szCs w:val="1"/>
                <w:color w:val="auto"/>
              </w:rPr>
            </w:pPr>
          </w:p>
        </w:tc>
      </w:tr>
      <w:tr>
        <w:trPr>
          <w:trHeight w:val="180"/>
        </w:trPr>
        <w:tc>
          <w:tcPr>
            <w:tcW w:w="438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Award Type/Named Executive Officer</w:t>
            </w:r>
          </w:p>
        </w:tc>
        <w:tc>
          <w:tcPr>
            <w:tcW w:w="1700" w:type="dxa"/>
            <w:vAlign w:val="bottom"/>
          </w:tcPr>
          <w:p>
            <w:pPr>
              <w:jc w:val="center"/>
              <w:ind w:left="328"/>
              <w:spacing w:after="0"/>
              <w:rPr>
                <w:sz w:val="20"/>
                <w:szCs w:val="20"/>
                <w:color w:val="auto"/>
              </w:rPr>
            </w:pPr>
            <w:r>
              <w:rPr>
                <w:rFonts w:ascii="Arial" w:cs="Arial" w:eastAsia="Arial" w:hAnsi="Arial"/>
                <w:sz w:val="14"/>
                <w:szCs w:val="14"/>
                <w:b w:val="1"/>
                <w:bCs w:val="1"/>
                <w:color w:val="auto"/>
              </w:rPr>
              <w:t>Grant</w:t>
            </w:r>
          </w:p>
        </w:tc>
        <w:tc>
          <w:tcPr>
            <w:tcW w:w="960" w:type="dxa"/>
            <w:vAlign w:val="bottom"/>
          </w:tcPr>
          <w:p>
            <w:pPr>
              <w:ind w:left="320"/>
              <w:spacing w:after="0"/>
              <w:rPr>
                <w:sz w:val="20"/>
                <w:szCs w:val="20"/>
                <w:color w:val="auto"/>
              </w:rPr>
            </w:pPr>
            <w:r>
              <w:rPr>
                <w:rFonts w:ascii="Arial" w:cs="Arial" w:eastAsia="Arial" w:hAnsi="Arial"/>
                <w:sz w:val="14"/>
                <w:szCs w:val="14"/>
                <w:b w:val="1"/>
                <w:bCs w:val="1"/>
                <w:color w:val="auto"/>
                <w:w w:val="91"/>
              </w:rPr>
              <w:t>Threshold</w:t>
            </w:r>
          </w:p>
        </w:tc>
        <w:tc>
          <w:tcPr>
            <w:tcW w:w="1880" w:type="dxa"/>
            <w:vAlign w:val="bottom"/>
          </w:tcPr>
          <w:p>
            <w:pPr>
              <w:ind w:left="740"/>
              <w:spacing w:after="0"/>
              <w:rPr>
                <w:sz w:val="20"/>
                <w:szCs w:val="20"/>
                <w:color w:val="auto"/>
              </w:rPr>
            </w:pPr>
            <w:r>
              <w:rPr>
                <w:rFonts w:ascii="Arial" w:cs="Arial" w:eastAsia="Arial" w:hAnsi="Arial"/>
                <w:sz w:val="14"/>
                <w:szCs w:val="14"/>
                <w:b w:val="1"/>
                <w:bCs w:val="1"/>
                <w:color w:val="auto"/>
              </w:rPr>
              <w:t>Target</w:t>
            </w:r>
          </w:p>
        </w:tc>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Maximum</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78"/>
        </w:trPr>
        <w:tc>
          <w:tcPr>
            <w:tcW w:w="4380" w:type="dxa"/>
            <w:vAlign w:val="bottom"/>
            <w:tcBorders>
              <w:bottom w:val="single" w:sz="8" w:color="auto"/>
            </w:tcBorders>
            <w:vMerge w:val="continue"/>
          </w:tcPr>
          <w:p>
            <w:pPr>
              <w:spacing w:after="0"/>
              <w:rPr>
                <w:sz w:val="15"/>
                <w:szCs w:val="15"/>
                <w:color w:val="auto"/>
              </w:rPr>
            </w:pPr>
          </w:p>
        </w:tc>
        <w:tc>
          <w:tcPr>
            <w:tcW w:w="170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8"/>
              </w:rPr>
              <w:t>Date</w:t>
            </w:r>
          </w:p>
        </w:tc>
        <w:tc>
          <w:tcPr>
            <w:tcW w:w="96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3"/>
              </w:rPr>
              <w:t>(#)</w:t>
            </w:r>
          </w:p>
        </w:tc>
        <w:tc>
          <w:tcPr>
            <w:tcW w:w="15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4"/>
                <w:szCs w:val="14"/>
                <w:b w:val="1"/>
                <w:bCs w:val="1"/>
                <w:color w:val="auto"/>
              </w:rPr>
              <w:t xml:space="preserve">Phantom unit awards: </w:t>
            </w:r>
            <w:r>
              <w:rPr>
                <w:rFonts w:ascii="Arial" w:cs="Arial" w:eastAsia="Arial" w:hAnsi="Arial"/>
                <w:sz w:val="14"/>
                <w:szCs w:val="14"/>
                <w:color w:val="auto"/>
              </w:rPr>
              <w:t>(2)</w:t>
            </w: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 James Teague</w:t>
            </w:r>
          </w:p>
        </w:tc>
        <w:tc>
          <w:tcPr>
            <w:tcW w:w="1700" w:type="dxa"/>
            <w:vAlign w:val="bottom"/>
            <w:shd w:val="clear" w:color="auto" w:fill="CCEEFF"/>
          </w:tcPr>
          <w:p>
            <w:pPr>
              <w:jc w:val="center"/>
              <w:ind w:left="328"/>
              <w:spacing w:after="0" w:line="149" w:lineRule="exact"/>
              <w:rPr>
                <w:sz w:val="20"/>
                <w:szCs w:val="20"/>
                <w:color w:val="auto"/>
              </w:rPr>
            </w:pPr>
            <w:r>
              <w:rPr>
                <w:rFonts w:ascii="Arial" w:cs="Arial" w:eastAsia="Arial" w:hAnsi="Arial"/>
                <w:sz w:val="14"/>
                <w:szCs w:val="14"/>
                <w:color w:val="auto"/>
                <w:w w:val="89"/>
              </w:rPr>
              <w:t>2/11/19</w:t>
            </w:r>
          </w:p>
        </w:tc>
        <w:tc>
          <w:tcPr>
            <w:tcW w:w="960" w:type="dxa"/>
            <w:vAlign w:val="bottom"/>
            <w:shd w:val="clear" w:color="auto" w:fill="CCEEFF"/>
          </w:tcPr>
          <w:p>
            <w:pPr>
              <w:jc w:val="center"/>
              <w:ind w:left="248"/>
              <w:spacing w:after="0" w:line="149" w:lineRule="exact"/>
              <w:rPr>
                <w:sz w:val="20"/>
                <w:szCs w:val="20"/>
                <w:color w:val="auto"/>
              </w:rPr>
            </w:pPr>
            <w:r>
              <w:rPr>
                <w:rFonts w:ascii="Arial" w:cs="Arial" w:eastAsia="Arial" w:hAnsi="Arial"/>
                <w:sz w:val="14"/>
                <w:szCs w:val="14"/>
                <w:color w:val="auto"/>
                <w:w w:val="85"/>
              </w:rPr>
              <w:t>--</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210,000</w:t>
            </w:r>
          </w:p>
        </w:tc>
        <w:tc>
          <w:tcPr>
            <w:tcW w:w="1000" w:type="dxa"/>
            <w:vAlign w:val="bottom"/>
            <w:shd w:val="clear" w:color="auto" w:fill="CCEEFF"/>
          </w:tcPr>
          <w:p>
            <w:pPr>
              <w:jc w:val="center"/>
              <w:ind w:right="248"/>
              <w:spacing w:after="0" w:line="149" w:lineRule="exact"/>
              <w:rPr>
                <w:sz w:val="20"/>
                <w:szCs w:val="20"/>
                <w:color w:val="auto"/>
              </w:rPr>
            </w:pPr>
            <w:r>
              <w:rPr>
                <w:rFonts w:ascii="Arial" w:cs="Arial" w:eastAsia="Arial" w:hAnsi="Arial"/>
                <w:sz w:val="14"/>
                <w:szCs w:val="14"/>
                <w:color w:val="auto"/>
                <w:w w:val="85"/>
              </w:rPr>
              <w:t>--</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5,827,500</w:t>
            </w: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Arial" w:cs="Arial" w:eastAsia="Arial" w:hAnsi="Arial"/>
                <w:sz w:val="14"/>
                <w:szCs w:val="14"/>
                <w:color w:val="auto"/>
              </w:rPr>
              <w:t>W. Randall Fowler</w:t>
            </w:r>
          </w:p>
        </w:tc>
        <w:tc>
          <w:tcPr>
            <w:tcW w:w="1700" w:type="dxa"/>
            <w:vAlign w:val="bottom"/>
          </w:tcPr>
          <w:p>
            <w:pPr>
              <w:jc w:val="center"/>
              <w:ind w:left="328"/>
              <w:spacing w:after="0" w:line="149" w:lineRule="exact"/>
              <w:rPr>
                <w:sz w:val="20"/>
                <w:szCs w:val="20"/>
                <w:color w:val="auto"/>
              </w:rPr>
            </w:pPr>
            <w:r>
              <w:rPr>
                <w:rFonts w:ascii="Arial" w:cs="Arial" w:eastAsia="Arial" w:hAnsi="Arial"/>
                <w:sz w:val="14"/>
                <w:szCs w:val="14"/>
                <w:color w:val="auto"/>
                <w:w w:val="89"/>
              </w:rPr>
              <w:t>2/11/19</w:t>
            </w:r>
          </w:p>
        </w:tc>
        <w:tc>
          <w:tcPr>
            <w:tcW w:w="960" w:type="dxa"/>
            <w:vAlign w:val="bottom"/>
          </w:tcPr>
          <w:p>
            <w:pPr>
              <w:jc w:val="center"/>
              <w:ind w:left="248"/>
              <w:spacing w:after="0" w:line="149" w:lineRule="exact"/>
              <w:rPr>
                <w:sz w:val="20"/>
                <w:szCs w:val="20"/>
                <w:color w:val="auto"/>
              </w:rPr>
            </w:pPr>
            <w:r>
              <w:rPr>
                <w:rFonts w:ascii="Arial" w:cs="Arial" w:eastAsia="Arial" w:hAnsi="Arial"/>
                <w:sz w:val="14"/>
                <w:szCs w:val="14"/>
                <w:color w:val="auto"/>
                <w:w w:val="85"/>
              </w:rPr>
              <w:t>--</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4"/>
              </w:rPr>
              <w:t>176,000</w:t>
            </w:r>
          </w:p>
        </w:tc>
        <w:tc>
          <w:tcPr>
            <w:tcW w:w="1000" w:type="dxa"/>
            <w:vAlign w:val="bottom"/>
          </w:tcPr>
          <w:p>
            <w:pPr>
              <w:jc w:val="center"/>
              <w:ind w:right="248"/>
              <w:spacing w:after="0" w:line="149" w:lineRule="exact"/>
              <w:rPr>
                <w:sz w:val="20"/>
                <w:szCs w:val="20"/>
                <w:color w:val="auto"/>
              </w:rPr>
            </w:pPr>
            <w:r>
              <w:rPr>
                <w:rFonts w:ascii="Arial" w:cs="Arial" w:eastAsia="Arial" w:hAnsi="Arial"/>
                <w:sz w:val="14"/>
                <w:szCs w:val="14"/>
                <w:color w:val="auto"/>
                <w:w w:val="85"/>
              </w:rPr>
              <w:t>--</w:t>
            </w: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3,663,000</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Graham W. Bacon</w:t>
            </w:r>
          </w:p>
        </w:tc>
        <w:tc>
          <w:tcPr>
            <w:tcW w:w="1700" w:type="dxa"/>
            <w:vAlign w:val="bottom"/>
            <w:shd w:val="clear" w:color="auto" w:fill="CCEEFF"/>
          </w:tcPr>
          <w:p>
            <w:pPr>
              <w:jc w:val="center"/>
              <w:ind w:left="328"/>
              <w:spacing w:after="0" w:line="149" w:lineRule="exact"/>
              <w:rPr>
                <w:sz w:val="20"/>
                <w:szCs w:val="20"/>
                <w:color w:val="auto"/>
              </w:rPr>
            </w:pPr>
            <w:r>
              <w:rPr>
                <w:rFonts w:ascii="Arial" w:cs="Arial" w:eastAsia="Arial" w:hAnsi="Arial"/>
                <w:sz w:val="14"/>
                <w:szCs w:val="14"/>
                <w:color w:val="auto"/>
                <w:w w:val="89"/>
              </w:rPr>
              <w:t>2/11/19</w:t>
            </w:r>
          </w:p>
        </w:tc>
        <w:tc>
          <w:tcPr>
            <w:tcW w:w="960" w:type="dxa"/>
            <w:vAlign w:val="bottom"/>
            <w:shd w:val="clear" w:color="auto" w:fill="CCEEFF"/>
          </w:tcPr>
          <w:p>
            <w:pPr>
              <w:jc w:val="center"/>
              <w:ind w:left="248"/>
              <w:spacing w:after="0" w:line="149" w:lineRule="exact"/>
              <w:rPr>
                <w:sz w:val="20"/>
                <w:szCs w:val="20"/>
                <w:color w:val="auto"/>
              </w:rPr>
            </w:pPr>
            <w:r>
              <w:rPr>
                <w:rFonts w:ascii="Arial" w:cs="Arial" w:eastAsia="Arial" w:hAnsi="Arial"/>
                <w:sz w:val="14"/>
                <w:szCs w:val="14"/>
                <w:color w:val="auto"/>
                <w:w w:val="85"/>
              </w:rPr>
              <w:t>--</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85,000</w:t>
            </w:r>
          </w:p>
        </w:tc>
        <w:tc>
          <w:tcPr>
            <w:tcW w:w="1000" w:type="dxa"/>
            <w:vAlign w:val="bottom"/>
            <w:shd w:val="clear" w:color="auto" w:fill="CCEEFF"/>
          </w:tcPr>
          <w:p>
            <w:pPr>
              <w:jc w:val="center"/>
              <w:ind w:right="248"/>
              <w:spacing w:after="0" w:line="149" w:lineRule="exact"/>
              <w:rPr>
                <w:sz w:val="20"/>
                <w:szCs w:val="20"/>
                <w:color w:val="auto"/>
              </w:rPr>
            </w:pPr>
            <w:r>
              <w:rPr>
                <w:rFonts w:ascii="Arial" w:cs="Arial" w:eastAsia="Arial" w:hAnsi="Arial"/>
                <w:sz w:val="14"/>
                <w:szCs w:val="14"/>
                <w:color w:val="auto"/>
                <w:w w:val="85"/>
              </w:rPr>
              <w:t>--</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2,358,750</w:t>
            </w: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Arial" w:cs="Arial" w:eastAsia="Arial" w:hAnsi="Arial"/>
                <w:sz w:val="14"/>
                <w:szCs w:val="14"/>
                <w:color w:val="auto"/>
              </w:rPr>
              <w:t>Brent B. Secrest</w:t>
            </w:r>
          </w:p>
        </w:tc>
        <w:tc>
          <w:tcPr>
            <w:tcW w:w="1700" w:type="dxa"/>
            <w:vAlign w:val="bottom"/>
          </w:tcPr>
          <w:p>
            <w:pPr>
              <w:jc w:val="center"/>
              <w:ind w:left="328"/>
              <w:spacing w:after="0" w:line="149" w:lineRule="exact"/>
              <w:rPr>
                <w:sz w:val="20"/>
                <w:szCs w:val="20"/>
                <w:color w:val="auto"/>
              </w:rPr>
            </w:pPr>
            <w:r>
              <w:rPr>
                <w:rFonts w:ascii="Arial" w:cs="Arial" w:eastAsia="Arial" w:hAnsi="Arial"/>
                <w:sz w:val="14"/>
                <w:szCs w:val="14"/>
                <w:color w:val="auto"/>
                <w:w w:val="89"/>
              </w:rPr>
              <w:t>2/11/19</w:t>
            </w:r>
          </w:p>
        </w:tc>
        <w:tc>
          <w:tcPr>
            <w:tcW w:w="960" w:type="dxa"/>
            <w:vAlign w:val="bottom"/>
          </w:tcPr>
          <w:p>
            <w:pPr>
              <w:jc w:val="center"/>
              <w:ind w:left="248"/>
              <w:spacing w:after="0" w:line="149" w:lineRule="exact"/>
              <w:rPr>
                <w:sz w:val="20"/>
                <w:szCs w:val="20"/>
                <w:color w:val="auto"/>
              </w:rPr>
            </w:pPr>
            <w:r>
              <w:rPr>
                <w:rFonts w:ascii="Arial" w:cs="Arial" w:eastAsia="Arial" w:hAnsi="Arial"/>
                <w:sz w:val="14"/>
                <w:szCs w:val="14"/>
                <w:color w:val="auto"/>
                <w:w w:val="85"/>
              </w:rPr>
              <w:t>--</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3"/>
              </w:rPr>
              <w:t>45,000</w:t>
            </w:r>
          </w:p>
        </w:tc>
        <w:tc>
          <w:tcPr>
            <w:tcW w:w="1000" w:type="dxa"/>
            <w:vAlign w:val="bottom"/>
          </w:tcPr>
          <w:p>
            <w:pPr>
              <w:jc w:val="center"/>
              <w:ind w:right="248"/>
              <w:spacing w:after="0" w:line="149" w:lineRule="exact"/>
              <w:rPr>
                <w:sz w:val="20"/>
                <w:szCs w:val="20"/>
                <w:color w:val="auto"/>
              </w:rPr>
            </w:pPr>
            <w:r>
              <w:rPr>
                <w:rFonts w:ascii="Arial" w:cs="Arial" w:eastAsia="Arial" w:hAnsi="Arial"/>
                <w:sz w:val="14"/>
                <w:szCs w:val="14"/>
                <w:color w:val="auto"/>
                <w:w w:val="85"/>
              </w:rPr>
              <w:t>--</w:t>
            </w:r>
          </w:p>
        </w:tc>
        <w:tc>
          <w:tcPr>
            <w:tcW w:w="1500" w:type="dxa"/>
            <w:vAlign w:val="bottom"/>
          </w:tcPr>
          <w:p>
            <w:pPr>
              <w:jc w:val="right"/>
              <w:spacing w:after="0" w:line="149" w:lineRule="exact"/>
              <w:rPr>
                <w:sz w:val="20"/>
                <w:szCs w:val="20"/>
                <w:color w:val="auto"/>
              </w:rPr>
            </w:pPr>
            <w:r>
              <w:rPr>
                <w:rFonts w:ascii="Arial" w:cs="Arial" w:eastAsia="Arial" w:hAnsi="Arial"/>
                <w:sz w:val="14"/>
                <w:szCs w:val="14"/>
                <w:color w:val="auto"/>
              </w:rPr>
              <w:t>1,248,750</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William Ordemann</w:t>
            </w:r>
          </w:p>
        </w:tc>
        <w:tc>
          <w:tcPr>
            <w:tcW w:w="1700" w:type="dxa"/>
            <w:vAlign w:val="bottom"/>
            <w:shd w:val="clear" w:color="auto" w:fill="CCEEFF"/>
          </w:tcPr>
          <w:p>
            <w:pPr>
              <w:jc w:val="center"/>
              <w:ind w:left="328"/>
              <w:spacing w:after="0" w:line="149" w:lineRule="exact"/>
              <w:rPr>
                <w:sz w:val="20"/>
                <w:szCs w:val="20"/>
                <w:color w:val="auto"/>
              </w:rPr>
            </w:pPr>
            <w:r>
              <w:rPr>
                <w:rFonts w:ascii="Arial" w:cs="Arial" w:eastAsia="Arial" w:hAnsi="Arial"/>
                <w:sz w:val="14"/>
                <w:szCs w:val="14"/>
                <w:color w:val="auto"/>
                <w:w w:val="89"/>
              </w:rPr>
              <w:t>2/11/19</w:t>
            </w:r>
          </w:p>
        </w:tc>
        <w:tc>
          <w:tcPr>
            <w:tcW w:w="960" w:type="dxa"/>
            <w:vAlign w:val="bottom"/>
            <w:shd w:val="clear" w:color="auto" w:fill="CCEEFF"/>
          </w:tcPr>
          <w:p>
            <w:pPr>
              <w:jc w:val="center"/>
              <w:ind w:left="248"/>
              <w:spacing w:after="0" w:line="149" w:lineRule="exact"/>
              <w:rPr>
                <w:sz w:val="20"/>
                <w:szCs w:val="20"/>
                <w:color w:val="auto"/>
              </w:rPr>
            </w:pPr>
            <w:r>
              <w:rPr>
                <w:rFonts w:ascii="Arial" w:cs="Arial" w:eastAsia="Arial" w:hAnsi="Arial"/>
                <w:sz w:val="14"/>
                <w:szCs w:val="14"/>
                <w:color w:val="auto"/>
                <w:w w:val="85"/>
              </w:rPr>
              <w:t>--</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50,000</w:t>
            </w:r>
          </w:p>
        </w:tc>
        <w:tc>
          <w:tcPr>
            <w:tcW w:w="1000" w:type="dxa"/>
            <w:vAlign w:val="bottom"/>
            <w:shd w:val="clear" w:color="auto" w:fill="CCEEFF"/>
          </w:tcPr>
          <w:p>
            <w:pPr>
              <w:jc w:val="center"/>
              <w:ind w:right="248"/>
              <w:spacing w:after="0" w:line="149" w:lineRule="exact"/>
              <w:rPr>
                <w:sz w:val="20"/>
                <w:szCs w:val="20"/>
                <w:color w:val="auto"/>
              </w:rPr>
            </w:pPr>
            <w:r>
              <w:rPr>
                <w:rFonts w:ascii="Arial" w:cs="Arial" w:eastAsia="Arial" w:hAnsi="Arial"/>
                <w:sz w:val="14"/>
                <w:szCs w:val="14"/>
                <w:color w:val="auto"/>
                <w:w w:val="85"/>
              </w:rPr>
              <w:t>--</w:t>
            </w: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1,387,500</w:t>
            </w:r>
          </w:p>
        </w:tc>
        <w:tc>
          <w:tcPr>
            <w:tcW w:w="0" w:type="dxa"/>
            <w:vAlign w:val="bottom"/>
          </w:tcPr>
          <w:p>
            <w:pPr>
              <w:spacing w:after="0"/>
              <w:rPr>
                <w:sz w:val="1"/>
                <w:szCs w:val="1"/>
                <w:color w:val="auto"/>
              </w:rPr>
            </w:pPr>
          </w:p>
        </w:tc>
      </w:tr>
      <w:tr>
        <w:trPr>
          <w:trHeight w:val="182"/>
        </w:trPr>
        <w:tc>
          <w:tcPr>
            <w:tcW w:w="4380" w:type="dxa"/>
            <w:vAlign w:val="bottom"/>
          </w:tcPr>
          <w:p>
            <w:pPr>
              <w:spacing w:after="0"/>
              <w:rPr>
                <w:sz w:val="20"/>
                <w:szCs w:val="20"/>
                <w:color w:val="auto"/>
              </w:rPr>
            </w:pPr>
            <w:r>
              <w:rPr>
                <w:rFonts w:ascii="Arial" w:cs="Arial" w:eastAsia="Arial" w:hAnsi="Arial"/>
                <w:sz w:val="14"/>
                <w:szCs w:val="14"/>
                <w:color w:val="auto"/>
              </w:rPr>
              <w:t>Harry P. Weitzel</w:t>
            </w:r>
          </w:p>
        </w:tc>
        <w:tc>
          <w:tcPr>
            <w:tcW w:w="1700" w:type="dxa"/>
            <w:vAlign w:val="bottom"/>
          </w:tcPr>
          <w:p>
            <w:pPr>
              <w:jc w:val="center"/>
              <w:ind w:left="328"/>
              <w:spacing w:after="0"/>
              <w:rPr>
                <w:sz w:val="20"/>
                <w:szCs w:val="20"/>
                <w:color w:val="auto"/>
              </w:rPr>
            </w:pPr>
            <w:r>
              <w:rPr>
                <w:rFonts w:ascii="Arial" w:cs="Arial" w:eastAsia="Arial" w:hAnsi="Arial"/>
                <w:sz w:val="14"/>
                <w:szCs w:val="14"/>
                <w:color w:val="auto"/>
                <w:w w:val="89"/>
              </w:rPr>
              <w:t>2/11/19</w:t>
            </w:r>
          </w:p>
        </w:tc>
        <w:tc>
          <w:tcPr>
            <w:tcW w:w="960" w:type="dxa"/>
            <w:vAlign w:val="bottom"/>
          </w:tcPr>
          <w:p>
            <w:pPr>
              <w:jc w:val="center"/>
              <w:ind w:left="248"/>
              <w:spacing w:after="0"/>
              <w:rPr>
                <w:sz w:val="20"/>
                <w:szCs w:val="20"/>
                <w:color w:val="auto"/>
              </w:rPr>
            </w:pPr>
            <w:r>
              <w:rPr>
                <w:rFonts w:ascii="Arial" w:cs="Arial" w:eastAsia="Arial" w:hAnsi="Arial"/>
                <w:sz w:val="14"/>
                <w:szCs w:val="14"/>
                <w:color w:val="auto"/>
                <w:w w:val="85"/>
              </w:rPr>
              <w:t>--</w:t>
            </w:r>
          </w:p>
        </w:tc>
        <w:tc>
          <w:tcPr>
            <w:tcW w:w="1880" w:type="dxa"/>
            <w:vAlign w:val="bottom"/>
          </w:tcPr>
          <w:p>
            <w:pPr>
              <w:jc w:val="center"/>
              <w:spacing w:after="0"/>
              <w:rPr>
                <w:sz w:val="20"/>
                <w:szCs w:val="20"/>
                <w:color w:val="auto"/>
              </w:rPr>
            </w:pPr>
            <w:r>
              <w:rPr>
                <w:rFonts w:ascii="Arial" w:cs="Arial" w:eastAsia="Arial" w:hAnsi="Arial"/>
                <w:sz w:val="14"/>
                <w:szCs w:val="14"/>
                <w:color w:val="auto"/>
                <w:w w:val="93"/>
              </w:rPr>
              <w:t>45,000</w:t>
            </w:r>
          </w:p>
        </w:tc>
        <w:tc>
          <w:tcPr>
            <w:tcW w:w="1000" w:type="dxa"/>
            <w:vAlign w:val="bottom"/>
          </w:tcPr>
          <w:p>
            <w:pPr>
              <w:jc w:val="center"/>
              <w:ind w:right="248"/>
              <w:spacing w:after="0"/>
              <w:rPr>
                <w:sz w:val="20"/>
                <w:szCs w:val="20"/>
                <w:color w:val="auto"/>
              </w:rPr>
            </w:pPr>
            <w:r>
              <w:rPr>
                <w:rFonts w:ascii="Arial" w:cs="Arial" w:eastAsia="Arial" w:hAnsi="Arial"/>
                <w:sz w:val="14"/>
                <w:szCs w:val="14"/>
                <w:color w:val="auto"/>
                <w:w w:val="85"/>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1,092,656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8" w:lineRule="exact"/>
        <w:rPr>
          <w:sz w:val="20"/>
          <w:szCs w:val="20"/>
          <w:color w:val="auto"/>
        </w:rPr>
      </w:pPr>
    </w:p>
    <w:p>
      <w:pPr>
        <w:jc w:val="both"/>
        <w:ind w:left="500" w:right="20" w:hanging="492"/>
        <w:spacing w:after="0" w:line="227" w:lineRule="auto"/>
        <w:tabs>
          <w:tab w:leader="none" w:pos="5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Amounts presented reflect that portion of grant date fair value allocable to us based on the estimated percentage of time each named executive officer spent on our consolidated business activities during 2019. Based on current allocations, we estimate that the compensation expense we record for each named executive officer with respect to these awards will equal these amounts over time.</w:t>
      </w:r>
    </w:p>
    <w:p>
      <w:pPr>
        <w:jc w:val="both"/>
        <w:ind w:left="500" w:hanging="492"/>
        <w:spacing w:after="0" w:line="232" w:lineRule="auto"/>
        <w:tabs>
          <w:tab w:leader="none" w:pos="5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grant date fair value presented for the phantom unit awards is based, in part, on the closing price of our common units on February 11, 2019 of $27.75 per unit. For information about assumptions utilized in the valuation of these awards, see Note 13 of the Notes to Consolidated Financial Statements included under Part II, Item 8 of this annual report, the applicable disclosures of which are incorporated by reference into this Item 11.</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2008 Enterprise Products Long-Term Incentive Plan (Third Amendment and Restatement) (the “2008 Plan”) provides for incentive awards to EPCO’s key employees and non-employee directors and consultants who perform management, administrative or operational functions for us or our affiliates. Awards granted under the 2008 Plan may be in the form of phantom units, DERs, restricted common units, unit options, unit appreciation rights and other unit-based awards or substitute awards. For information regarding the number of our common units authorized for issuance under the 2008 Plan, see “Securities Authorized for Issuance Under Equity Compensation Plans” under Part III, Item 13 of this annual report.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9" w:name="page130"/>
    <w:bookmarkEnd w:id="1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Phantom unit awards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Phantom unit awards allow recipients to acquire EPD common units (at no cost to the recipient apart from fulfilling service and other conditions) once a defined vesting period expires, subject to customary forfeiture provisions. Phantom unit awards generally vest at a rate of 25% per year beginning one year after the grant date and are non-vested until the required service periods expire. At December 31, 2019, substantially all of our phantom unit awards are expected to result in the issuance of common units upon vesting; therefore, the applicable awards are accounted for as equity-classified awards. Each phantom unit award includes a tandem DER, which entitles the holder to nonforfeitable cash payments equal to the product of the number of phantom unit awards outstanding for the participant and the cash distribution per common unit paid to our common unitholders.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Vesting of Equity-Based Awards in 2019</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vesting of phantom unit awards to our named executive officers during the year ended December 31, 2019. These amounts are presented on a gross basis and do not reflect any allocation of compensation to affiliates under the ASA.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6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Unit Awards</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560" w:type="dxa"/>
            <w:vAlign w:val="bottom"/>
          </w:tcPr>
          <w:p>
            <w:pPr>
              <w:spacing w:after="0"/>
              <w:rPr>
                <w:sz w:val="16"/>
                <w:szCs w:val="16"/>
                <w:color w:val="auto"/>
              </w:rPr>
            </w:pPr>
          </w:p>
        </w:tc>
        <w:tc>
          <w:tcPr>
            <w:tcW w:w="1440" w:type="dxa"/>
            <w:vAlign w:val="bottom"/>
          </w:tcPr>
          <w:p>
            <w:pPr>
              <w:jc w:val="center"/>
              <w:ind w:left="448"/>
              <w:spacing w:after="0"/>
              <w:rPr>
                <w:sz w:val="20"/>
                <w:szCs w:val="20"/>
                <w:color w:val="auto"/>
              </w:rPr>
            </w:pPr>
            <w:r>
              <w:rPr>
                <w:rFonts w:ascii="Arial" w:cs="Arial" w:eastAsia="Arial" w:hAnsi="Arial"/>
                <w:sz w:val="14"/>
                <w:szCs w:val="14"/>
                <w:b w:val="1"/>
                <w:bCs w:val="1"/>
                <w:color w:val="auto"/>
                <w:w w:val="97"/>
              </w:rPr>
              <w:t>Number of</w:t>
            </w:r>
          </w:p>
        </w:tc>
        <w:tc>
          <w:tcPr>
            <w:tcW w:w="1840" w:type="dxa"/>
            <w:vAlign w:val="bottom"/>
            <w:vMerge w:val="restart"/>
          </w:tcPr>
          <w:p>
            <w:pPr>
              <w:jc w:val="center"/>
              <w:ind w:left="1028"/>
              <w:spacing w:after="0"/>
              <w:rPr>
                <w:sz w:val="20"/>
                <w:szCs w:val="20"/>
                <w:color w:val="auto"/>
              </w:rPr>
            </w:pPr>
            <w:r>
              <w:rPr>
                <w:rFonts w:ascii="Arial" w:cs="Arial" w:eastAsia="Arial" w:hAnsi="Arial"/>
                <w:sz w:val="14"/>
                <w:szCs w:val="14"/>
                <w:b w:val="1"/>
                <w:bCs w:val="1"/>
                <w:color w:val="auto"/>
                <w:w w:val="90"/>
              </w:rPr>
              <w:t>Value</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560" w:type="dxa"/>
            <w:vAlign w:val="bottom"/>
          </w:tcPr>
          <w:p>
            <w:pPr>
              <w:spacing w:after="0"/>
              <w:rPr>
                <w:sz w:val="12"/>
                <w:szCs w:val="12"/>
                <w:color w:val="auto"/>
              </w:rPr>
            </w:pPr>
          </w:p>
        </w:tc>
        <w:tc>
          <w:tcPr>
            <w:tcW w:w="1440" w:type="dxa"/>
            <w:vAlign w:val="bottom"/>
          </w:tcPr>
          <w:p>
            <w:pPr>
              <w:jc w:val="center"/>
              <w:ind w:left="448"/>
              <w:spacing w:after="0" w:line="149" w:lineRule="exact"/>
              <w:rPr>
                <w:sz w:val="20"/>
                <w:szCs w:val="20"/>
                <w:color w:val="auto"/>
              </w:rPr>
            </w:pPr>
            <w:r>
              <w:rPr>
                <w:rFonts w:ascii="Arial" w:cs="Arial" w:eastAsia="Arial" w:hAnsi="Arial"/>
                <w:sz w:val="14"/>
                <w:szCs w:val="14"/>
                <w:b w:val="1"/>
                <w:bCs w:val="1"/>
                <w:color w:val="auto"/>
                <w:w w:val="91"/>
              </w:rPr>
              <w:t>Units</w:t>
            </w:r>
          </w:p>
        </w:tc>
        <w:tc>
          <w:tcPr>
            <w:tcW w:w="18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60" w:type="dxa"/>
            <w:vAlign w:val="bottom"/>
          </w:tcPr>
          <w:p>
            <w:pPr>
              <w:spacing w:after="0"/>
              <w:rPr>
                <w:sz w:val="12"/>
                <w:szCs w:val="12"/>
                <w:color w:val="auto"/>
              </w:rPr>
            </w:pPr>
          </w:p>
        </w:tc>
        <w:tc>
          <w:tcPr>
            <w:tcW w:w="1440" w:type="dxa"/>
            <w:vAlign w:val="bottom"/>
          </w:tcPr>
          <w:p>
            <w:pPr>
              <w:jc w:val="center"/>
              <w:ind w:left="448"/>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840" w:type="dxa"/>
            <w:vAlign w:val="bottom"/>
          </w:tcPr>
          <w:p>
            <w:pPr>
              <w:jc w:val="center"/>
              <w:ind w:left="1028"/>
              <w:spacing w:after="0" w:line="149" w:lineRule="exact"/>
              <w:rPr>
                <w:sz w:val="20"/>
                <w:szCs w:val="20"/>
                <w:color w:val="auto"/>
              </w:rPr>
            </w:pPr>
            <w:r>
              <w:rPr>
                <w:rFonts w:ascii="Arial" w:cs="Arial" w:eastAsia="Arial" w:hAnsi="Arial"/>
                <w:sz w:val="14"/>
                <w:szCs w:val="14"/>
                <w:b w:val="1"/>
                <w:bCs w:val="1"/>
                <w:color w:val="auto"/>
                <w:w w:val="89"/>
              </w:rPr>
              <w:t>Realized on</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60" w:type="dxa"/>
            <w:vAlign w:val="bottom"/>
            <w:vMerge w:val="restart"/>
          </w:tcPr>
          <w:p>
            <w:pPr>
              <w:ind w:left="3000"/>
              <w:spacing w:after="0"/>
              <w:rPr>
                <w:sz w:val="20"/>
                <w:szCs w:val="20"/>
                <w:color w:val="auto"/>
              </w:rPr>
            </w:pPr>
            <w:r>
              <w:rPr>
                <w:rFonts w:ascii="Arial" w:cs="Arial" w:eastAsia="Arial" w:hAnsi="Arial"/>
                <w:sz w:val="14"/>
                <w:szCs w:val="14"/>
                <w:b w:val="1"/>
                <w:bCs w:val="1"/>
                <w:color w:val="auto"/>
              </w:rPr>
              <w:t>Named Executive Officer</w:t>
            </w:r>
          </w:p>
        </w:tc>
        <w:tc>
          <w:tcPr>
            <w:tcW w:w="1440" w:type="dxa"/>
            <w:vAlign w:val="bottom"/>
          </w:tcPr>
          <w:p>
            <w:pPr>
              <w:jc w:val="center"/>
              <w:ind w:left="448"/>
              <w:spacing w:after="0" w:line="149" w:lineRule="exact"/>
              <w:rPr>
                <w:sz w:val="20"/>
                <w:szCs w:val="20"/>
                <w:color w:val="auto"/>
              </w:rPr>
            </w:pPr>
            <w:r>
              <w:rPr>
                <w:rFonts w:ascii="Arial" w:cs="Arial" w:eastAsia="Arial" w:hAnsi="Arial"/>
                <w:sz w:val="14"/>
                <w:szCs w:val="14"/>
                <w:b w:val="1"/>
                <w:bCs w:val="1"/>
                <w:color w:val="auto"/>
                <w:w w:val="86"/>
              </w:rPr>
              <w:t>Vesting</w:t>
            </w:r>
          </w:p>
        </w:tc>
        <w:tc>
          <w:tcPr>
            <w:tcW w:w="1840" w:type="dxa"/>
            <w:vAlign w:val="bottom"/>
          </w:tcPr>
          <w:p>
            <w:pPr>
              <w:jc w:val="center"/>
              <w:ind w:left="1028"/>
              <w:spacing w:after="0" w:line="149" w:lineRule="exact"/>
              <w:rPr>
                <w:sz w:val="20"/>
                <w:szCs w:val="20"/>
                <w:color w:val="auto"/>
              </w:rPr>
            </w:pPr>
            <w:r>
              <w:rPr>
                <w:rFonts w:ascii="Arial" w:cs="Arial" w:eastAsia="Arial" w:hAnsi="Arial"/>
                <w:sz w:val="14"/>
                <w:szCs w:val="14"/>
                <w:b w:val="1"/>
                <w:bCs w:val="1"/>
                <w:color w:val="auto"/>
                <w:w w:val="90"/>
              </w:rPr>
              <w:t>Vesting</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560" w:type="dxa"/>
            <w:vAlign w:val="bottom"/>
            <w:tcBorders>
              <w:bottom w:val="single" w:sz="8" w:color="auto"/>
            </w:tcBorders>
            <w:vMerge w:val="continue"/>
          </w:tcPr>
          <w:p>
            <w:pPr>
              <w:spacing w:after="0"/>
              <w:rPr>
                <w:sz w:val="15"/>
                <w:szCs w:val="15"/>
                <w:color w:val="auto"/>
              </w:rPr>
            </w:pPr>
          </w:p>
        </w:tc>
        <w:tc>
          <w:tcPr>
            <w:tcW w:w="144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b w:val="1"/>
                <w:bCs w:val="1"/>
                <w:color w:val="auto"/>
                <w:w w:val="94"/>
              </w:rPr>
              <w:t xml:space="preserve">(#) </w:t>
            </w:r>
            <w:r>
              <w:rPr>
                <w:rFonts w:ascii="Arial" w:cs="Arial" w:eastAsia="Arial" w:hAnsi="Arial"/>
                <w:sz w:val="14"/>
                <w:szCs w:val="14"/>
                <w:color w:val="auto"/>
                <w:w w:val="94"/>
              </w:rPr>
              <w:t>(1)</w:t>
            </w:r>
          </w:p>
        </w:tc>
        <w:tc>
          <w:tcPr>
            <w:tcW w:w="1840" w:type="dxa"/>
            <w:vAlign w:val="bottom"/>
            <w:tcBorders>
              <w:bottom w:val="single" w:sz="8" w:color="auto"/>
            </w:tcBorders>
          </w:tcPr>
          <w:p>
            <w:pPr>
              <w:jc w:val="center"/>
              <w:ind w:left="1028"/>
              <w:spacing w:after="0"/>
              <w:rPr>
                <w:sz w:val="20"/>
                <w:szCs w:val="20"/>
                <w:color w:val="auto"/>
              </w:rPr>
            </w:pPr>
            <w:r>
              <w:rPr>
                <w:rFonts w:ascii="Arial" w:cs="Arial" w:eastAsia="Arial" w:hAnsi="Arial"/>
                <w:sz w:val="14"/>
                <w:szCs w:val="14"/>
                <w:b w:val="1"/>
                <w:bCs w:val="1"/>
                <w:color w:val="auto"/>
                <w:w w:val="99"/>
              </w:rPr>
              <w:t xml:space="preserve">($) </w:t>
            </w:r>
            <w:r>
              <w:rPr>
                <w:rFonts w:ascii="Arial" w:cs="Arial" w:eastAsia="Arial" w:hAnsi="Arial"/>
                <w:sz w:val="14"/>
                <w:szCs w:val="14"/>
                <w:color w:val="auto"/>
                <w:w w:val="99"/>
              </w:rPr>
              <w:t>(2)</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 James Teague</w:t>
            </w:r>
          </w:p>
        </w:tc>
        <w:tc>
          <w:tcPr>
            <w:tcW w:w="1440" w:type="dxa"/>
            <w:vAlign w:val="bottom"/>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w w:val="94"/>
              </w:rPr>
              <w:t>146,075</w:t>
            </w:r>
          </w:p>
        </w:tc>
        <w:tc>
          <w:tcPr>
            <w:tcW w:w="184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4,168,981</w:t>
            </w:r>
          </w:p>
        </w:tc>
        <w:tc>
          <w:tcPr>
            <w:tcW w:w="0" w:type="dxa"/>
            <w:vAlign w:val="bottom"/>
          </w:tcPr>
          <w:p>
            <w:pPr>
              <w:spacing w:after="0"/>
              <w:rPr>
                <w:sz w:val="1"/>
                <w:szCs w:val="1"/>
                <w:color w:val="auto"/>
              </w:rPr>
            </w:pPr>
          </w:p>
        </w:tc>
      </w:tr>
      <w:tr>
        <w:trPr>
          <w:trHeight w:val="149"/>
        </w:trPr>
        <w:tc>
          <w:tcPr>
            <w:tcW w:w="7560" w:type="dxa"/>
            <w:vAlign w:val="bottom"/>
          </w:tcPr>
          <w:p>
            <w:pPr>
              <w:spacing w:after="0" w:line="149" w:lineRule="exact"/>
              <w:rPr>
                <w:sz w:val="20"/>
                <w:szCs w:val="20"/>
                <w:color w:val="auto"/>
              </w:rPr>
            </w:pPr>
            <w:r>
              <w:rPr>
                <w:rFonts w:ascii="Arial" w:cs="Arial" w:eastAsia="Arial" w:hAnsi="Arial"/>
                <w:sz w:val="14"/>
                <w:szCs w:val="14"/>
                <w:color w:val="auto"/>
              </w:rPr>
              <w:t>W. Randall Fowler</w:t>
            </w:r>
          </w:p>
        </w:tc>
        <w:tc>
          <w:tcPr>
            <w:tcW w:w="1440" w:type="dxa"/>
            <w:vAlign w:val="bottom"/>
          </w:tcPr>
          <w:p>
            <w:pPr>
              <w:jc w:val="center"/>
              <w:ind w:left="428"/>
              <w:spacing w:after="0" w:line="149" w:lineRule="exact"/>
              <w:rPr>
                <w:sz w:val="20"/>
                <w:szCs w:val="20"/>
                <w:color w:val="auto"/>
              </w:rPr>
            </w:pPr>
            <w:r>
              <w:rPr>
                <w:rFonts w:ascii="Arial" w:cs="Arial" w:eastAsia="Arial" w:hAnsi="Arial"/>
                <w:sz w:val="14"/>
                <w:szCs w:val="14"/>
                <w:color w:val="auto"/>
                <w:w w:val="90"/>
              </w:rPr>
              <w:t>113,262</w:t>
            </w:r>
          </w:p>
        </w:tc>
        <w:tc>
          <w:tcPr>
            <w:tcW w:w="18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3,232,497</w:t>
            </w:r>
          </w:p>
        </w:tc>
        <w:tc>
          <w:tcPr>
            <w:tcW w:w="0" w:type="dxa"/>
            <w:vAlign w:val="bottom"/>
          </w:tcPr>
          <w:p>
            <w:pPr>
              <w:spacing w:after="0"/>
              <w:rPr>
                <w:sz w:val="1"/>
                <w:szCs w:val="1"/>
                <w:color w:val="auto"/>
              </w:rPr>
            </w:pPr>
          </w:p>
        </w:tc>
      </w:tr>
      <w:tr>
        <w:trPr>
          <w:trHeight w:val="149"/>
        </w:trPr>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Graham W. Bacon</w:t>
            </w:r>
          </w:p>
        </w:tc>
        <w:tc>
          <w:tcPr>
            <w:tcW w:w="1440" w:type="dxa"/>
            <w:vAlign w:val="bottom"/>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w w:val="93"/>
              </w:rPr>
              <w:t>55,250</w:t>
            </w:r>
          </w:p>
        </w:tc>
        <w:tc>
          <w:tcPr>
            <w:tcW w:w="18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1,576,835</w:t>
            </w:r>
          </w:p>
        </w:tc>
        <w:tc>
          <w:tcPr>
            <w:tcW w:w="0" w:type="dxa"/>
            <w:vAlign w:val="bottom"/>
          </w:tcPr>
          <w:p>
            <w:pPr>
              <w:spacing w:after="0"/>
              <w:rPr>
                <w:sz w:val="1"/>
                <w:szCs w:val="1"/>
                <w:color w:val="auto"/>
              </w:rPr>
            </w:pPr>
          </w:p>
        </w:tc>
      </w:tr>
      <w:tr>
        <w:trPr>
          <w:trHeight w:val="149"/>
        </w:trPr>
        <w:tc>
          <w:tcPr>
            <w:tcW w:w="7560" w:type="dxa"/>
            <w:vAlign w:val="bottom"/>
          </w:tcPr>
          <w:p>
            <w:pPr>
              <w:spacing w:after="0" w:line="149" w:lineRule="exact"/>
              <w:rPr>
                <w:sz w:val="20"/>
                <w:szCs w:val="20"/>
                <w:color w:val="auto"/>
              </w:rPr>
            </w:pPr>
            <w:r>
              <w:rPr>
                <w:rFonts w:ascii="Arial" w:cs="Arial" w:eastAsia="Arial" w:hAnsi="Arial"/>
                <w:sz w:val="14"/>
                <w:szCs w:val="14"/>
                <w:color w:val="auto"/>
              </w:rPr>
              <w:t>Brent B. Secrest</w:t>
            </w:r>
          </w:p>
        </w:tc>
        <w:tc>
          <w:tcPr>
            <w:tcW w:w="1440" w:type="dxa"/>
            <w:vAlign w:val="bottom"/>
          </w:tcPr>
          <w:p>
            <w:pPr>
              <w:jc w:val="center"/>
              <w:ind w:left="448"/>
              <w:spacing w:after="0" w:line="149" w:lineRule="exact"/>
              <w:rPr>
                <w:sz w:val="20"/>
                <w:szCs w:val="20"/>
                <w:color w:val="auto"/>
              </w:rPr>
            </w:pPr>
            <w:r>
              <w:rPr>
                <w:rFonts w:ascii="Arial" w:cs="Arial" w:eastAsia="Arial" w:hAnsi="Arial"/>
                <w:sz w:val="14"/>
                <w:szCs w:val="14"/>
                <w:color w:val="auto"/>
                <w:w w:val="93"/>
              </w:rPr>
              <w:t>24,375</w:t>
            </w:r>
          </w:p>
        </w:tc>
        <w:tc>
          <w:tcPr>
            <w:tcW w:w="18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695,663</w:t>
            </w:r>
          </w:p>
        </w:tc>
        <w:tc>
          <w:tcPr>
            <w:tcW w:w="0" w:type="dxa"/>
            <w:vAlign w:val="bottom"/>
          </w:tcPr>
          <w:p>
            <w:pPr>
              <w:spacing w:after="0"/>
              <w:rPr>
                <w:sz w:val="1"/>
                <w:szCs w:val="1"/>
                <w:color w:val="auto"/>
              </w:rPr>
            </w:pPr>
          </w:p>
        </w:tc>
      </w:tr>
      <w:tr>
        <w:trPr>
          <w:trHeight w:val="149"/>
        </w:trPr>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William Ordemann (3)</w:t>
            </w:r>
          </w:p>
        </w:tc>
        <w:tc>
          <w:tcPr>
            <w:tcW w:w="1440" w:type="dxa"/>
            <w:vAlign w:val="bottom"/>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w w:val="94"/>
              </w:rPr>
              <w:t>203,125</w:t>
            </w:r>
          </w:p>
        </w:tc>
        <w:tc>
          <w:tcPr>
            <w:tcW w:w="18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5,780,401</w:t>
            </w:r>
          </w:p>
        </w:tc>
        <w:tc>
          <w:tcPr>
            <w:tcW w:w="0" w:type="dxa"/>
            <w:vAlign w:val="bottom"/>
          </w:tcPr>
          <w:p>
            <w:pPr>
              <w:spacing w:after="0"/>
              <w:rPr>
                <w:sz w:val="1"/>
                <w:szCs w:val="1"/>
                <w:color w:val="auto"/>
              </w:rPr>
            </w:pPr>
          </w:p>
        </w:tc>
      </w:tr>
      <w:tr>
        <w:trPr>
          <w:trHeight w:val="182"/>
        </w:trPr>
        <w:tc>
          <w:tcPr>
            <w:tcW w:w="7560" w:type="dxa"/>
            <w:vAlign w:val="bottom"/>
          </w:tcPr>
          <w:p>
            <w:pPr>
              <w:spacing w:after="0"/>
              <w:rPr>
                <w:sz w:val="20"/>
                <w:szCs w:val="20"/>
                <w:color w:val="auto"/>
              </w:rPr>
            </w:pPr>
            <w:r>
              <w:rPr>
                <w:rFonts w:ascii="Arial" w:cs="Arial" w:eastAsia="Arial" w:hAnsi="Arial"/>
                <w:sz w:val="14"/>
                <w:szCs w:val="14"/>
                <w:color w:val="auto"/>
              </w:rPr>
              <w:t>Harry P. Weitzel</w:t>
            </w:r>
          </w:p>
        </w:tc>
        <w:tc>
          <w:tcPr>
            <w:tcW w:w="1440" w:type="dxa"/>
            <w:vAlign w:val="bottom"/>
          </w:tcPr>
          <w:p>
            <w:pPr>
              <w:jc w:val="center"/>
              <w:ind w:left="448"/>
              <w:spacing w:after="0"/>
              <w:rPr>
                <w:sz w:val="20"/>
                <w:szCs w:val="20"/>
                <w:color w:val="auto"/>
              </w:rPr>
            </w:pPr>
            <w:r>
              <w:rPr>
                <w:rFonts w:ascii="Arial" w:cs="Arial" w:eastAsia="Arial" w:hAnsi="Arial"/>
                <w:sz w:val="14"/>
                <w:szCs w:val="14"/>
                <w:color w:val="auto"/>
                <w:w w:val="93"/>
              </w:rPr>
              <w:t>28,900</w:t>
            </w:r>
          </w:p>
        </w:tc>
        <w:tc>
          <w:tcPr>
            <w:tcW w:w="1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816,996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7" w:lineRule="exact"/>
        <w:rPr>
          <w:sz w:val="20"/>
          <w:szCs w:val="20"/>
          <w:color w:val="auto"/>
        </w:rPr>
      </w:pPr>
    </w:p>
    <w:p>
      <w:pPr>
        <w:ind w:left="540" w:hanging="532"/>
        <w:spacing w:after="0"/>
        <w:tabs>
          <w:tab w:leader="none" w:pos="5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Represents the gross number of common units acquired upon vesting of phantom unit awards, before adjustments for associated tax withholdings.</w:t>
      </w:r>
    </w:p>
    <w:p>
      <w:pPr>
        <w:ind w:left="540" w:hanging="532"/>
        <w:spacing w:after="0" w:line="221" w:lineRule="auto"/>
        <w:tabs>
          <w:tab w:leader="none" w:pos="5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Amount determined by multiplying the gross number of vested phantom unit awards by the closing price of our common units on the date of vesting.</w:t>
      </w:r>
    </w:p>
    <w:p>
      <w:pPr>
        <w:ind w:left="540" w:hanging="532"/>
        <w:spacing w:after="0"/>
        <w:tabs>
          <w:tab w:leader="none" w:pos="5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Of the 203,125 phantom unit awards presented for Mr. Ordemann, 146,250 of these awards vested upon his retirement on August 16,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0" w:name="page131"/>
    <w:bookmarkEnd w:id="1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Awards Outstanding at December 31, 2019</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information summarizes each named executive officer’s long-term incentive awards outstanding at December 31, 2019. These amounts are presented on a gross basis and do not reflect any allocation of compensation to affiliates under the ASA.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b w:val="1"/>
                <w:bCs w:val="1"/>
                <w:color w:val="auto"/>
                <w:w w:val="95"/>
              </w:rPr>
              <w:t>Unit Awards</w:t>
            </w:r>
          </w:p>
        </w:tc>
        <w:tc>
          <w:tcPr>
            <w:tcW w:w="0" w:type="dxa"/>
            <w:vAlign w:val="bottom"/>
          </w:tcPr>
          <w:p>
            <w:pPr>
              <w:spacing w:after="0"/>
              <w:rPr>
                <w:sz w:val="1"/>
                <w:szCs w:val="1"/>
                <w:color w:val="auto"/>
              </w:rPr>
            </w:pPr>
          </w:p>
        </w:tc>
      </w:tr>
      <w:tr>
        <w:trPr>
          <w:trHeight w:val="231"/>
        </w:trPr>
        <w:tc>
          <w:tcPr>
            <w:tcW w:w="58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0" w:type="dxa"/>
            <w:vAlign w:val="bottom"/>
          </w:tcPr>
          <w:p>
            <w:pPr>
              <w:jc w:val="center"/>
              <w:ind w:left="428"/>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80" w:type="dxa"/>
            <w:vAlign w:val="bottom"/>
          </w:tcPr>
          <w:p>
            <w:pPr>
              <w:jc w:val="center"/>
              <w:ind w:left="428"/>
              <w:spacing w:after="0"/>
              <w:rPr>
                <w:sz w:val="20"/>
                <w:szCs w:val="20"/>
                <w:color w:val="auto"/>
              </w:rPr>
            </w:pPr>
            <w:r>
              <w:rPr>
                <w:rFonts w:ascii="Arial" w:cs="Arial" w:eastAsia="Arial" w:hAnsi="Arial"/>
                <w:sz w:val="14"/>
                <w:szCs w:val="14"/>
                <w:b w:val="1"/>
                <w:bCs w:val="1"/>
                <w:color w:val="auto"/>
                <w:w w:val="98"/>
              </w:rPr>
              <w:t>Number</w:t>
            </w:r>
          </w:p>
        </w:tc>
        <w:tc>
          <w:tcPr>
            <w:tcW w:w="2000" w:type="dxa"/>
            <w:vAlign w:val="bottom"/>
          </w:tcPr>
          <w:p>
            <w:pPr>
              <w:jc w:val="center"/>
              <w:ind w:left="42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80" w:type="dxa"/>
            <w:vAlign w:val="bottom"/>
          </w:tcPr>
          <w:p>
            <w:pPr>
              <w:jc w:val="center"/>
              <w:ind w:left="428"/>
              <w:spacing w:after="0"/>
              <w:rPr>
                <w:sz w:val="20"/>
                <w:szCs w:val="20"/>
                <w:color w:val="auto"/>
              </w:rPr>
            </w:pPr>
            <w:r>
              <w:rPr>
                <w:rFonts w:ascii="Arial" w:cs="Arial" w:eastAsia="Arial" w:hAnsi="Arial"/>
                <w:sz w:val="14"/>
                <w:szCs w:val="14"/>
                <w:b w:val="1"/>
                <w:bCs w:val="1"/>
                <w:color w:val="auto"/>
                <w:w w:val="92"/>
              </w:rPr>
              <w:t>of Units</w:t>
            </w:r>
          </w:p>
        </w:tc>
        <w:tc>
          <w:tcPr>
            <w:tcW w:w="2000" w:type="dxa"/>
            <w:vAlign w:val="bottom"/>
          </w:tcPr>
          <w:p>
            <w:pPr>
              <w:jc w:val="center"/>
              <w:ind w:left="428"/>
              <w:spacing w:after="0"/>
              <w:rPr>
                <w:sz w:val="20"/>
                <w:szCs w:val="20"/>
                <w:color w:val="auto"/>
              </w:rPr>
            </w:pPr>
            <w:r>
              <w:rPr>
                <w:rFonts w:ascii="Arial" w:cs="Arial" w:eastAsia="Arial" w:hAnsi="Arial"/>
                <w:sz w:val="14"/>
                <w:szCs w:val="14"/>
                <w:b w:val="1"/>
                <w:bCs w:val="1"/>
                <w:color w:val="auto"/>
                <w:w w:val="95"/>
              </w:rPr>
              <w:t>of Units</w:t>
            </w:r>
          </w:p>
        </w:tc>
        <w:tc>
          <w:tcPr>
            <w:tcW w:w="0" w:type="dxa"/>
            <w:vAlign w:val="bottom"/>
          </w:tcPr>
          <w:p>
            <w:pPr>
              <w:spacing w:after="0"/>
              <w:rPr>
                <w:sz w:val="1"/>
                <w:szCs w:val="1"/>
                <w:color w:val="auto"/>
              </w:rPr>
            </w:pPr>
          </w:p>
        </w:tc>
      </w:tr>
      <w:tr>
        <w:trPr>
          <w:trHeight w:val="178"/>
        </w:trPr>
        <w:tc>
          <w:tcPr>
            <w:tcW w:w="5880" w:type="dxa"/>
            <w:vAlign w:val="bottom"/>
          </w:tcPr>
          <w:p>
            <w:pPr>
              <w:spacing w:after="0"/>
              <w:rPr>
                <w:sz w:val="15"/>
                <w:szCs w:val="15"/>
                <w:color w:val="auto"/>
              </w:rPr>
            </w:pPr>
          </w:p>
        </w:tc>
        <w:tc>
          <w:tcPr>
            <w:tcW w:w="2360" w:type="dxa"/>
            <w:vAlign w:val="bottom"/>
            <w:vMerge w:val="restart"/>
          </w:tcPr>
          <w:p>
            <w:pPr>
              <w:jc w:val="center"/>
              <w:ind w:left="768"/>
              <w:spacing w:after="0"/>
              <w:rPr>
                <w:sz w:val="20"/>
                <w:szCs w:val="20"/>
                <w:color w:val="auto"/>
              </w:rPr>
            </w:pPr>
            <w:r>
              <w:rPr>
                <w:rFonts w:ascii="Arial" w:cs="Arial" w:eastAsia="Arial" w:hAnsi="Arial"/>
                <w:sz w:val="14"/>
                <w:szCs w:val="14"/>
                <w:b w:val="1"/>
                <w:bCs w:val="1"/>
                <w:color w:val="auto"/>
                <w:w w:val="86"/>
              </w:rPr>
              <w:t>Vesting</w:t>
            </w:r>
          </w:p>
        </w:tc>
        <w:tc>
          <w:tcPr>
            <w:tcW w:w="1180" w:type="dxa"/>
            <w:vAlign w:val="bottom"/>
          </w:tcPr>
          <w:p>
            <w:pPr>
              <w:jc w:val="center"/>
              <w:ind w:left="428"/>
              <w:spacing w:after="0"/>
              <w:rPr>
                <w:sz w:val="20"/>
                <w:szCs w:val="20"/>
                <w:color w:val="auto"/>
              </w:rPr>
            </w:pPr>
            <w:r>
              <w:rPr>
                <w:rFonts w:ascii="Arial" w:cs="Arial" w:eastAsia="Arial" w:hAnsi="Arial"/>
                <w:sz w:val="14"/>
                <w:szCs w:val="14"/>
                <w:b w:val="1"/>
                <w:bCs w:val="1"/>
                <w:color w:val="auto"/>
                <w:w w:val="95"/>
              </w:rPr>
              <w:t>That Have</w:t>
            </w:r>
          </w:p>
        </w:tc>
        <w:tc>
          <w:tcPr>
            <w:tcW w:w="2000" w:type="dxa"/>
            <w:vAlign w:val="bottom"/>
          </w:tcPr>
          <w:p>
            <w:pPr>
              <w:jc w:val="center"/>
              <w:ind w:left="428"/>
              <w:spacing w:after="0"/>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49"/>
        </w:trPr>
        <w:tc>
          <w:tcPr>
            <w:tcW w:w="5880" w:type="dxa"/>
            <w:vAlign w:val="bottom"/>
            <w:vMerge w:val="restart"/>
          </w:tcPr>
          <w:p>
            <w:pPr>
              <w:ind w:left="2180"/>
              <w:spacing w:after="0"/>
              <w:rPr>
                <w:sz w:val="20"/>
                <w:szCs w:val="20"/>
                <w:color w:val="auto"/>
              </w:rPr>
            </w:pPr>
            <w:r>
              <w:rPr>
                <w:rFonts w:ascii="Arial" w:cs="Arial" w:eastAsia="Arial" w:hAnsi="Arial"/>
                <w:sz w:val="14"/>
                <w:szCs w:val="14"/>
                <w:b w:val="1"/>
                <w:bCs w:val="1"/>
                <w:color w:val="auto"/>
              </w:rPr>
              <w:t>Award Type/Named Executive Officer</w:t>
            </w:r>
          </w:p>
        </w:tc>
        <w:tc>
          <w:tcPr>
            <w:tcW w:w="2360" w:type="dxa"/>
            <w:vAlign w:val="bottom"/>
            <w:vMerge w:val="continue"/>
          </w:tcPr>
          <w:p>
            <w:pPr>
              <w:spacing w:after="0"/>
              <w:rPr>
                <w:sz w:val="12"/>
                <w:szCs w:val="12"/>
                <w:color w:val="auto"/>
              </w:rPr>
            </w:pPr>
          </w:p>
        </w:tc>
        <w:tc>
          <w:tcPr>
            <w:tcW w:w="1180" w:type="dxa"/>
            <w:vAlign w:val="bottom"/>
          </w:tcPr>
          <w:p>
            <w:pPr>
              <w:jc w:val="center"/>
              <w:ind w:left="448"/>
              <w:spacing w:after="0" w:line="149" w:lineRule="exact"/>
              <w:rPr>
                <w:sz w:val="20"/>
                <w:szCs w:val="20"/>
                <w:color w:val="auto"/>
              </w:rPr>
            </w:pPr>
            <w:r>
              <w:rPr>
                <w:rFonts w:ascii="Arial" w:cs="Arial" w:eastAsia="Arial" w:hAnsi="Arial"/>
                <w:sz w:val="14"/>
                <w:szCs w:val="14"/>
                <w:b w:val="1"/>
                <w:bCs w:val="1"/>
                <w:color w:val="auto"/>
                <w:w w:val="90"/>
              </w:rPr>
              <w:t>Not Vested</w:t>
            </w:r>
          </w:p>
        </w:tc>
        <w:tc>
          <w:tcPr>
            <w:tcW w:w="2000" w:type="dxa"/>
            <w:vAlign w:val="bottom"/>
          </w:tcPr>
          <w:p>
            <w:pPr>
              <w:jc w:val="center"/>
              <w:ind w:left="428"/>
              <w:spacing w:after="0" w:line="149"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78"/>
        </w:trPr>
        <w:tc>
          <w:tcPr>
            <w:tcW w:w="5880" w:type="dxa"/>
            <w:vAlign w:val="bottom"/>
            <w:tcBorders>
              <w:bottom w:val="single" w:sz="8" w:color="auto"/>
            </w:tcBorders>
            <w:vMerge w:val="continue"/>
          </w:tcPr>
          <w:p>
            <w:pPr>
              <w:spacing w:after="0"/>
              <w:rPr>
                <w:sz w:val="15"/>
                <w:szCs w:val="15"/>
                <w:color w:val="auto"/>
              </w:rPr>
            </w:pPr>
          </w:p>
        </w:tc>
        <w:tc>
          <w:tcPr>
            <w:tcW w:w="2360" w:type="dxa"/>
            <w:vAlign w:val="bottom"/>
            <w:tcBorders>
              <w:bottom w:val="single" w:sz="8" w:color="auto"/>
            </w:tcBorders>
          </w:tcPr>
          <w:p>
            <w:pPr>
              <w:jc w:val="center"/>
              <w:ind w:left="768"/>
              <w:spacing w:after="0"/>
              <w:rPr>
                <w:sz w:val="20"/>
                <w:szCs w:val="20"/>
                <w:color w:val="auto"/>
              </w:rPr>
            </w:pPr>
            <w:r>
              <w:rPr>
                <w:rFonts w:ascii="Arial" w:cs="Arial" w:eastAsia="Arial" w:hAnsi="Arial"/>
                <w:sz w:val="14"/>
                <w:szCs w:val="14"/>
                <w:b w:val="1"/>
                <w:bCs w:val="1"/>
                <w:color w:val="auto"/>
                <w:w w:val="92"/>
              </w:rPr>
              <w:t>Date</w:t>
            </w:r>
          </w:p>
        </w:tc>
        <w:tc>
          <w:tcPr>
            <w:tcW w:w="118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4"/>
              </w:rPr>
              <w:t xml:space="preserve">(#) </w:t>
            </w:r>
            <w:r>
              <w:rPr>
                <w:rFonts w:ascii="Arial" w:cs="Arial" w:eastAsia="Arial" w:hAnsi="Arial"/>
                <w:sz w:val="14"/>
                <w:szCs w:val="14"/>
                <w:color w:val="auto"/>
                <w:w w:val="94"/>
              </w:rPr>
              <w:t>(1)</w:t>
            </w:r>
          </w:p>
        </w:tc>
        <w:tc>
          <w:tcPr>
            <w:tcW w:w="200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b w:val="1"/>
                <w:bCs w:val="1"/>
                <w:color w:val="auto"/>
                <w:w w:val="96"/>
              </w:rPr>
              <w:t xml:space="preserve">($) </w:t>
            </w:r>
            <w:r>
              <w:rPr>
                <w:rFonts w:ascii="Arial" w:cs="Arial" w:eastAsia="Arial" w:hAnsi="Arial"/>
                <w:sz w:val="14"/>
                <w:szCs w:val="14"/>
                <w:color w:val="auto"/>
                <w:w w:val="96"/>
              </w:rPr>
              <w:t>(2,3)</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4"/>
                <w:szCs w:val="14"/>
                <w:b w:val="1"/>
                <w:bCs w:val="1"/>
                <w:color w:val="auto"/>
              </w:rPr>
              <w:t xml:space="preserve">Phantom unit awards: </w:t>
            </w:r>
            <w:r>
              <w:rPr>
                <w:rFonts w:ascii="Arial" w:cs="Arial" w:eastAsia="Arial" w:hAnsi="Arial"/>
                <w:sz w:val="14"/>
                <w:szCs w:val="14"/>
                <w:color w:val="auto"/>
              </w:rPr>
              <w:t>(4)</w:t>
            </w:r>
          </w:p>
        </w:tc>
        <w:tc>
          <w:tcPr>
            <w:tcW w:w="2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 James Teague</w:t>
            </w:r>
          </w:p>
        </w:tc>
        <w:tc>
          <w:tcPr>
            <w:tcW w:w="2360" w:type="dxa"/>
            <w:vAlign w:val="bottom"/>
            <w:shd w:val="clear" w:color="auto" w:fill="CCEEFF"/>
          </w:tcPr>
          <w:p>
            <w:pPr>
              <w:jc w:val="center"/>
              <w:ind w:left="768"/>
              <w:spacing w:after="0" w:line="149" w:lineRule="exact"/>
              <w:rPr>
                <w:sz w:val="20"/>
                <w:szCs w:val="20"/>
                <w:color w:val="auto"/>
              </w:rPr>
            </w:pPr>
            <w:r>
              <w:rPr>
                <w:rFonts w:ascii="Arial" w:cs="Arial" w:eastAsia="Arial" w:hAnsi="Arial"/>
                <w:sz w:val="14"/>
                <w:szCs w:val="14"/>
                <w:color w:val="auto"/>
                <w:w w:val="92"/>
              </w:rPr>
              <w:t>Various</w:t>
            </w:r>
          </w:p>
        </w:tc>
        <w:tc>
          <w:tcPr>
            <w:tcW w:w="1180" w:type="dxa"/>
            <w:vAlign w:val="bottom"/>
            <w:shd w:val="clear" w:color="auto" w:fill="CCEEFF"/>
          </w:tcPr>
          <w:p>
            <w:pPr>
              <w:jc w:val="center"/>
              <w:ind w:left="428"/>
              <w:spacing w:after="0" w:line="149" w:lineRule="exact"/>
              <w:rPr>
                <w:sz w:val="20"/>
                <w:szCs w:val="20"/>
                <w:color w:val="auto"/>
              </w:rPr>
            </w:pPr>
            <w:r>
              <w:rPr>
                <w:rFonts w:ascii="Arial" w:cs="Arial" w:eastAsia="Arial" w:hAnsi="Arial"/>
                <w:sz w:val="14"/>
                <w:szCs w:val="14"/>
                <w:color w:val="auto"/>
                <w:w w:val="94"/>
              </w:rPr>
              <w:t>442,200</w:t>
            </w:r>
          </w:p>
        </w:tc>
        <w:tc>
          <w:tcPr>
            <w:tcW w:w="2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$ 12,452,352</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W. Randall Fowler</w:t>
            </w:r>
          </w:p>
        </w:tc>
        <w:tc>
          <w:tcPr>
            <w:tcW w:w="2360" w:type="dxa"/>
            <w:vAlign w:val="bottom"/>
          </w:tcPr>
          <w:p>
            <w:pPr>
              <w:jc w:val="center"/>
              <w:ind w:left="768"/>
              <w:spacing w:after="0" w:line="149" w:lineRule="exact"/>
              <w:rPr>
                <w:sz w:val="20"/>
                <w:szCs w:val="20"/>
                <w:color w:val="auto"/>
              </w:rPr>
            </w:pPr>
            <w:r>
              <w:rPr>
                <w:rFonts w:ascii="Arial" w:cs="Arial" w:eastAsia="Arial" w:hAnsi="Arial"/>
                <w:sz w:val="14"/>
                <w:szCs w:val="14"/>
                <w:color w:val="auto"/>
                <w:w w:val="92"/>
              </w:rPr>
              <w:t>Various</w:t>
            </w:r>
          </w:p>
        </w:tc>
        <w:tc>
          <w:tcPr>
            <w:tcW w:w="1180" w:type="dxa"/>
            <w:vAlign w:val="bottom"/>
          </w:tcPr>
          <w:p>
            <w:pPr>
              <w:jc w:val="center"/>
              <w:ind w:left="428"/>
              <w:spacing w:after="0" w:line="149" w:lineRule="exact"/>
              <w:rPr>
                <w:sz w:val="20"/>
                <w:szCs w:val="20"/>
                <w:color w:val="auto"/>
              </w:rPr>
            </w:pPr>
            <w:r>
              <w:rPr>
                <w:rFonts w:ascii="Arial" w:cs="Arial" w:eastAsia="Arial" w:hAnsi="Arial"/>
                <w:sz w:val="14"/>
                <w:szCs w:val="14"/>
                <w:color w:val="auto"/>
                <w:w w:val="94"/>
              </w:rPr>
              <w:t>365,312</w:t>
            </w:r>
          </w:p>
        </w:tc>
        <w:tc>
          <w:tcPr>
            <w:tcW w:w="2000" w:type="dxa"/>
            <w:vAlign w:val="bottom"/>
          </w:tcPr>
          <w:p>
            <w:pPr>
              <w:jc w:val="right"/>
              <w:spacing w:after="0" w:line="149" w:lineRule="exact"/>
              <w:rPr>
                <w:sz w:val="20"/>
                <w:szCs w:val="20"/>
                <w:color w:val="auto"/>
              </w:rPr>
            </w:pPr>
            <w:r>
              <w:rPr>
                <w:rFonts w:ascii="Arial" w:cs="Arial" w:eastAsia="Arial" w:hAnsi="Arial"/>
                <w:sz w:val="14"/>
                <w:szCs w:val="14"/>
                <w:color w:val="auto"/>
              </w:rPr>
              <w:t>10,287,186</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Graham W. Bacon</w:t>
            </w:r>
          </w:p>
        </w:tc>
        <w:tc>
          <w:tcPr>
            <w:tcW w:w="2360" w:type="dxa"/>
            <w:vAlign w:val="bottom"/>
            <w:shd w:val="clear" w:color="auto" w:fill="CCEEFF"/>
          </w:tcPr>
          <w:p>
            <w:pPr>
              <w:jc w:val="center"/>
              <w:ind w:left="768"/>
              <w:spacing w:after="0" w:line="149" w:lineRule="exact"/>
              <w:rPr>
                <w:sz w:val="20"/>
                <w:szCs w:val="20"/>
                <w:color w:val="auto"/>
              </w:rPr>
            </w:pPr>
            <w:r>
              <w:rPr>
                <w:rFonts w:ascii="Arial" w:cs="Arial" w:eastAsia="Arial" w:hAnsi="Arial"/>
                <w:sz w:val="14"/>
                <w:szCs w:val="14"/>
                <w:color w:val="auto"/>
                <w:w w:val="92"/>
              </w:rPr>
              <w:t>Various</w:t>
            </w:r>
          </w:p>
        </w:tc>
        <w:tc>
          <w:tcPr>
            <w:tcW w:w="1180" w:type="dxa"/>
            <w:vAlign w:val="bottom"/>
            <w:shd w:val="clear" w:color="auto" w:fill="CCEEFF"/>
          </w:tcPr>
          <w:p>
            <w:pPr>
              <w:jc w:val="center"/>
              <w:ind w:left="428"/>
              <w:spacing w:after="0" w:line="149" w:lineRule="exact"/>
              <w:rPr>
                <w:sz w:val="20"/>
                <w:szCs w:val="20"/>
                <w:color w:val="auto"/>
              </w:rPr>
            </w:pPr>
            <w:r>
              <w:rPr>
                <w:rFonts w:ascii="Arial" w:cs="Arial" w:eastAsia="Arial" w:hAnsi="Arial"/>
                <w:sz w:val="14"/>
                <w:szCs w:val="14"/>
                <w:color w:val="auto"/>
                <w:w w:val="94"/>
              </w:rPr>
              <w:t>181,250</w:t>
            </w:r>
          </w:p>
        </w:tc>
        <w:tc>
          <w:tcPr>
            <w:tcW w:w="2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5,104,000</w:t>
            </w: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Brent B. Secrest</w:t>
            </w:r>
          </w:p>
        </w:tc>
        <w:tc>
          <w:tcPr>
            <w:tcW w:w="2360" w:type="dxa"/>
            <w:vAlign w:val="bottom"/>
          </w:tcPr>
          <w:p>
            <w:pPr>
              <w:jc w:val="center"/>
              <w:ind w:left="768"/>
              <w:spacing w:after="0" w:line="149" w:lineRule="exact"/>
              <w:rPr>
                <w:sz w:val="20"/>
                <w:szCs w:val="20"/>
                <w:color w:val="auto"/>
              </w:rPr>
            </w:pPr>
            <w:r>
              <w:rPr>
                <w:rFonts w:ascii="Arial" w:cs="Arial" w:eastAsia="Arial" w:hAnsi="Arial"/>
                <w:sz w:val="14"/>
                <w:szCs w:val="14"/>
                <w:color w:val="auto"/>
                <w:w w:val="92"/>
              </w:rPr>
              <w:t>Various</w:t>
            </w:r>
          </w:p>
        </w:tc>
        <w:tc>
          <w:tcPr>
            <w:tcW w:w="1180" w:type="dxa"/>
            <w:vAlign w:val="bottom"/>
          </w:tcPr>
          <w:p>
            <w:pPr>
              <w:jc w:val="center"/>
              <w:ind w:left="428"/>
              <w:spacing w:after="0" w:line="149" w:lineRule="exact"/>
              <w:rPr>
                <w:sz w:val="20"/>
                <w:szCs w:val="20"/>
                <w:color w:val="auto"/>
              </w:rPr>
            </w:pPr>
            <w:r>
              <w:rPr>
                <w:rFonts w:ascii="Arial" w:cs="Arial" w:eastAsia="Arial" w:hAnsi="Arial"/>
                <w:sz w:val="14"/>
                <w:szCs w:val="14"/>
                <w:color w:val="auto"/>
                <w:w w:val="93"/>
              </w:rPr>
              <w:t>94,375</w:t>
            </w:r>
          </w:p>
        </w:tc>
        <w:tc>
          <w:tcPr>
            <w:tcW w:w="2000" w:type="dxa"/>
            <w:vAlign w:val="bottom"/>
          </w:tcPr>
          <w:p>
            <w:pPr>
              <w:jc w:val="right"/>
              <w:spacing w:after="0" w:line="149" w:lineRule="exact"/>
              <w:rPr>
                <w:sz w:val="20"/>
                <w:szCs w:val="20"/>
                <w:color w:val="auto"/>
              </w:rPr>
            </w:pPr>
            <w:r>
              <w:rPr>
                <w:rFonts w:ascii="Arial" w:cs="Arial" w:eastAsia="Arial" w:hAnsi="Arial"/>
                <w:sz w:val="14"/>
                <w:szCs w:val="14"/>
                <w:color w:val="auto"/>
              </w:rPr>
              <w:t>2,657,600</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Harry P. Weitzel</w:t>
            </w:r>
          </w:p>
        </w:tc>
        <w:tc>
          <w:tcPr>
            <w:tcW w:w="2360" w:type="dxa"/>
            <w:vAlign w:val="bottom"/>
            <w:shd w:val="clear" w:color="auto" w:fill="CCEEFF"/>
          </w:tcPr>
          <w:p>
            <w:pPr>
              <w:jc w:val="center"/>
              <w:ind w:left="768"/>
              <w:spacing w:after="0" w:line="149" w:lineRule="exact"/>
              <w:rPr>
                <w:sz w:val="20"/>
                <w:szCs w:val="20"/>
                <w:color w:val="auto"/>
              </w:rPr>
            </w:pPr>
            <w:r>
              <w:rPr>
                <w:rFonts w:ascii="Arial" w:cs="Arial" w:eastAsia="Arial" w:hAnsi="Arial"/>
                <w:sz w:val="14"/>
                <w:szCs w:val="14"/>
                <w:color w:val="auto"/>
                <w:w w:val="92"/>
              </w:rPr>
              <w:t>Various</w:t>
            </w:r>
          </w:p>
        </w:tc>
        <w:tc>
          <w:tcPr>
            <w:tcW w:w="1180" w:type="dxa"/>
            <w:vAlign w:val="bottom"/>
            <w:shd w:val="clear" w:color="auto" w:fill="CCEEFF"/>
          </w:tcPr>
          <w:p>
            <w:pPr>
              <w:jc w:val="center"/>
              <w:ind w:left="428"/>
              <w:spacing w:after="0" w:line="149" w:lineRule="exact"/>
              <w:rPr>
                <w:sz w:val="20"/>
                <w:szCs w:val="20"/>
                <w:color w:val="auto"/>
              </w:rPr>
            </w:pPr>
            <w:r>
              <w:rPr>
                <w:rFonts w:ascii="Arial" w:cs="Arial" w:eastAsia="Arial" w:hAnsi="Arial"/>
                <w:sz w:val="14"/>
                <w:szCs w:val="14"/>
                <w:color w:val="auto"/>
                <w:w w:val="94"/>
              </w:rPr>
              <w:t>102,325</w:t>
            </w:r>
          </w:p>
        </w:tc>
        <w:tc>
          <w:tcPr>
            <w:tcW w:w="2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2,881,472</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Profits interest awards:</w:t>
            </w:r>
          </w:p>
        </w:tc>
        <w:tc>
          <w:tcPr>
            <w:tcW w:w="2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4"/>
                <w:szCs w:val="14"/>
                <w:color w:val="auto"/>
              </w:rPr>
              <w:t>A. James Teague:</w:t>
            </w:r>
          </w:p>
        </w:tc>
        <w:tc>
          <w:tcPr>
            <w:tcW w:w="2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PubCo I (5)</w:t>
            </w:r>
          </w:p>
        </w:tc>
        <w:tc>
          <w:tcPr>
            <w:tcW w:w="2360" w:type="dxa"/>
            <w:vAlign w:val="bottom"/>
            <w:shd w:val="clear" w:color="auto" w:fill="CCEEFF"/>
          </w:tcPr>
          <w:p>
            <w:pPr>
              <w:jc w:val="center"/>
              <w:ind w:left="768"/>
              <w:spacing w:after="0" w:line="149" w:lineRule="exact"/>
              <w:rPr>
                <w:sz w:val="20"/>
                <w:szCs w:val="20"/>
                <w:color w:val="auto"/>
              </w:rPr>
            </w:pPr>
            <w:r>
              <w:rPr>
                <w:rFonts w:ascii="Arial" w:cs="Arial" w:eastAsia="Arial" w:hAnsi="Arial"/>
                <w:sz w:val="14"/>
                <w:szCs w:val="14"/>
                <w:color w:val="auto"/>
                <w:w w:val="94"/>
              </w:rPr>
              <w:t>2/22/20</w:t>
            </w:r>
          </w:p>
        </w:tc>
        <w:tc>
          <w:tcPr>
            <w:tcW w:w="1180" w:type="dxa"/>
            <w:vAlign w:val="bottom"/>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707,355</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4"/>
                <w:szCs w:val="14"/>
                <w:color w:val="auto"/>
              </w:rPr>
              <w:t>W. Randall Fowler:</w:t>
            </w:r>
          </w:p>
        </w:tc>
        <w:tc>
          <w:tcPr>
            <w:tcW w:w="2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PrivCo I (6)</w:t>
            </w:r>
          </w:p>
        </w:tc>
        <w:tc>
          <w:tcPr>
            <w:tcW w:w="2360" w:type="dxa"/>
            <w:vAlign w:val="bottom"/>
            <w:shd w:val="clear" w:color="auto" w:fill="CCEEFF"/>
          </w:tcPr>
          <w:p>
            <w:pPr>
              <w:jc w:val="center"/>
              <w:ind w:left="768"/>
              <w:spacing w:after="0" w:line="149" w:lineRule="exact"/>
              <w:rPr>
                <w:sz w:val="20"/>
                <w:szCs w:val="20"/>
                <w:color w:val="auto"/>
              </w:rPr>
            </w:pPr>
            <w:r>
              <w:rPr>
                <w:rFonts w:ascii="Arial" w:cs="Arial" w:eastAsia="Arial" w:hAnsi="Arial"/>
                <w:sz w:val="14"/>
                <w:szCs w:val="14"/>
                <w:color w:val="auto"/>
                <w:w w:val="94"/>
              </w:rPr>
              <w:t>2/22/21</w:t>
            </w:r>
          </w:p>
        </w:tc>
        <w:tc>
          <w:tcPr>
            <w:tcW w:w="1180" w:type="dxa"/>
            <w:vAlign w:val="bottom"/>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816,391</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4"/>
                <w:szCs w:val="14"/>
                <w:color w:val="auto"/>
              </w:rPr>
              <w:t>Graham W. Bacon:</w:t>
            </w:r>
          </w:p>
        </w:tc>
        <w:tc>
          <w:tcPr>
            <w:tcW w:w="2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PubCo I (5)</w:t>
            </w:r>
          </w:p>
        </w:tc>
        <w:tc>
          <w:tcPr>
            <w:tcW w:w="2360" w:type="dxa"/>
            <w:vAlign w:val="bottom"/>
            <w:shd w:val="clear" w:color="auto" w:fill="CCEEFF"/>
          </w:tcPr>
          <w:p>
            <w:pPr>
              <w:jc w:val="center"/>
              <w:ind w:left="768"/>
              <w:spacing w:after="0" w:line="149" w:lineRule="exact"/>
              <w:rPr>
                <w:sz w:val="20"/>
                <w:szCs w:val="20"/>
                <w:color w:val="auto"/>
              </w:rPr>
            </w:pPr>
            <w:r>
              <w:rPr>
                <w:rFonts w:ascii="Arial" w:cs="Arial" w:eastAsia="Arial" w:hAnsi="Arial"/>
                <w:sz w:val="14"/>
                <w:szCs w:val="14"/>
                <w:color w:val="auto"/>
                <w:w w:val="94"/>
              </w:rPr>
              <w:t>2/22/20</w:t>
            </w:r>
          </w:p>
        </w:tc>
        <w:tc>
          <w:tcPr>
            <w:tcW w:w="1180" w:type="dxa"/>
            <w:vAlign w:val="bottom"/>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808,406</w:t>
            </w:r>
          </w:p>
        </w:tc>
        <w:tc>
          <w:tcPr>
            <w:tcW w:w="0" w:type="dxa"/>
            <w:vAlign w:val="bottom"/>
          </w:tcPr>
          <w:p>
            <w:pPr>
              <w:spacing w:after="0"/>
              <w:rPr>
                <w:sz w:val="1"/>
                <w:szCs w:val="1"/>
                <w:color w:val="auto"/>
              </w:rPr>
            </w:pPr>
          </w:p>
        </w:tc>
      </w:tr>
      <w:tr>
        <w:trPr>
          <w:trHeight w:val="149"/>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EPD IV (7)</w:t>
            </w:r>
          </w:p>
        </w:tc>
        <w:tc>
          <w:tcPr>
            <w:tcW w:w="2360" w:type="dxa"/>
            <w:vAlign w:val="bottom"/>
          </w:tcPr>
          <w:p>
            <w:pPr>
              <w:jc w:val="center"/>
              <w:ind w:left="768"/>
              <w:spacing w:after="0" w:line="149" w:lineRule="exact"/>
              <w:rPr>
                <w:sz w:val="20"/>
                <w:szCs w:val="20"/>
                <w:color w:val="auto"/>
              </w:rPr>
            </w:pPr>
            <w:r>
              <w:rPr>
                <w:rFonts w:ascii="Arial" w:cs="Arial" w:eastAsia="Arial" w:hAnsi="Arial"/>
                <w:sz w:val="14"/>
                <w:szCs w:val="14"/>
                <w:color w:val="auto"/>
                <w:w w:val="95"/>
              </w:rPr>
              <w:t>12/03/23</w:t>
            </w:r>
          </w:p>
        </w:tc>
        <w:tc>
          <w:tcPr>
            <w:tcW w:w="1180" w:type="dxa"/>
            <w:vAlign w:val="bottom"/>
          </w:tcPr>
          <w:p>
            <w:pPr>
              <w:jc w:val="center"/>
              <w:ind w:left="448"/>
              <w:spacing w:after="0" w:line="149" w:lineRule="exact"/>
              <w:rPr>
                <w:sz w:val="20"/>
                <w:szCs w:val="20"/>
                <w:color w:val="auto"/>
              </w:rPr>
            </w:pPr>
            <w:r>
              <w:rPr>
                <w:rFonts w:ascii="Arial" w:cs="Arial" w:eastAsia="Arial" w:hAnsi="Arial"/>
                <w:sz w:val="14"/>
                <w:szCs w:val="14"/>
                <w:color w:val="auto"/>
              </w:rPr>
              <w:t>--</w:t>
            </w:r>
          </w:p>
        </w:tc>
        <w:tc>
          <w:tcPr>
            <w:tcW w:w="2000" w:type="dxa"/>
            <w:vAlign w:val="bottom"/>
          </w:tcPr>
          <w:p>
            <w:pPr>
              <w:jc w:val="right"/>
              <w:spacing w:after="0" w:line="149" w:lineRule="exact"/>
              <w:rPr>
                <w:sz w:val="20"/>
                <w:szCs w:val="20"/>
                <w:color w:val="auto"/>
              </w:rPr>
            </w:pPr>
            <w:r>
              <w:rPr>
                <w:rFonts w:ascii="Arial" w:cs="Arial" w:eastAsia="Arial" w:hAnsi="Arial"/>
                <w:sz w:val="14"/>
                <w:szCs w:val="14"/>
                <w:color w:val="auto"/>
              </w:rPr>
              <w:t>364,800</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Brent B. Secrest:</w:t>
            </w:r>
          </w:p>
        </w:tc>
        <w:tc>
          <w:tcPr>
            <w:tcW w:w="2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PubCo II (8)</w:t>
            </w:r>
          </w:p>
        </w:tc>
        <w:tc>
          <w:tcPr>
            <w:tcW w:w="2360" w:type="dxa"/>
            <w:vAlign w:val="bottom"/>
          </w:tcPr>
          <w:p>
            <w:pPr>
              <w:jc w:val="center"/>
              <w:ind w:left="768"/>
              <w:spacing w:after="0" w:line="149" w:lineRule="exact"/>
              <w:rPr>
                <w:sz w:val="20"/>
                <w:szCs w:val="20"/>
                <w:color w:val="auto"/>
              </w:rPr>
            </w:pPr>
            <w:r>
              <w:rPr>
                <w:rFonts w:ascii="Arial" w:cs="Arial" w:eastAsia="Arial" w:hAnsi="Arial"/>
                <w:sz w:val="14"/>
                <w:szCs w:val="14"/>
                <w:color w:val="auto"/>
                <w:w w:val="94"/>
              </w:rPr>
              <w:t>2/22/21</w:t>
            </w:r>
          </w:p>
        </w:tc>
        <w:tc>
          <w:tcPr>
            <w:tcW w:w="1180" w:type="dxa"/>
            <w:vAlign w:val="bottom"/>
          </w:tcPr>
          <w:p>
            <w:pPr>
              <w:jc w:val="center"/>
              <w:ind w:left="448"/>
              <w:spacing w:after="0" w:line="149" w:lineRule="exact"/>
              <w:rPr>
                <w:sz w:val="20"/>
                <w:szCs w:val="20"/>
                <w:color w:val="auto"/>
              </w:rPr>
            </w:pPr>
            <w:r>
              <w:rPr>
                <w:rFonts w:ascii="Arial" w:cs="Arial" w:eastAsia="Arial" w:hAnsi="Arial"/>
                <w:sz w:val="14"/>
                <w:szCs w:val="14"/>
                <w:color w:val="auto"/>
              </w:rPr>
              <w:t>--</w:t>
            </w:r>
          </w:p>
        </w:tc>
        <w:tc>
          <w:tcPr>
            <w:tcW w:w="2000" w:type="dxa"/>
            <w:vAlign w:val="bottom"/>
          </w:tcPr>
          <w:p>
            <w:pPr>
              <w:jc w:val="right"/>
              <w:spacing w:after="0" w:line="149" w:lineRule="exact"/>
              <w:rPr>
                <w:sz w:val="20"/>
                <w:szCs w:val="20"/>
                <w:color w:val="auto"/>
              </w:rPr>
            </w:pPr>
            <w:r>
              <w:rPr>
                <w:rFonts w:ascii="Arial" w:cs="Arial" w:eastAsia="Arial" w:hAnsi="Arial"/>
                <w:sz w:val="14"/>
                <w:szCs w:val="14"/>
                <w:color w:val="auto"/>
              </w:rPr>
              <w:t>437,092</w:t>
            </w: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EPD IV (7)</w:t>
            </w:r>
          </w:p>
        </w:tc>
        <w:tc>
          <w:tcPr>
            <w:tcW w:w="2360" w:type="dxa"/>
            <w:vAlign w:val="bottom"/>
            <w:shd w:val="clear" w:color="auto" w:fill="CCEEFF"/>
          </w:tcPr>
          <w:p>
            <w:pPr>
              <w:jc w:val="center"/>
              <w:ind w:left="768"/>
              <w:spacing w:after="0" w:line="149" w:lineRule="exact"/>
              <w:rPr>
                <w:sz w:val="20"/>
                <w:szCs w:val="20"/>
                <w:color w:val="auto"/>
              </w:rPr>
            </w:pPr>
            <w:r>
              <w:rPr>
                <w:rFonts w:ascii="Arial" w:cs="Arial" w:eastAsia="Arial" w:hAnsi="Arial"/>
                <w:sz w:val="14"/>
                <w:szCs w:val="14"/>
                <w:color w:val="auto"/>
                <w:w w:val="95"/>
              </w:rPr>
              <w:t>12/03/23</w:t>
            </w:r>
          </w:p>
        </w:tc>
        <w:tc>
          <w:tcPr>
            <w:tcW w:w="1180" w:type="dxa"/>
            <w:vAlign w:val="bottom"/>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291,840</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4"/>
                <w:szCs w:val="14"/>
                <w:color w:val="auto"/>
              </w:rPr>
              <w:t>Harry P. Weitzel:</w:t>
            </w:r>
          </w:p>
        </w:tc>
        <w:tc>
          <w:tcPr>
            <w:tcW w:w="2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PubCo II (8)</w:t>
            </w:r>
          </w:p>
        </w:tc>
        <w:tc>
          <w:tcPr>
            <w:tcW w:w="2360" w:type="dxa"/>
            <w:vAlign w:val="bottom"/>
            <w:shd w:val="clear" w:color="auto" w:fill="CCEEFF"/>
          </w:tcPr>
          <w:p>
            <w:pPr>
              <w:jc w:val="center"/>
              <w:ind w:left="768"/>
              <w:spacing w:after="0" w:line="149" w:lineRule="exact"/>
              <w:rPr>
                <w:sz w:val="20"/>
                <w:szCs w:val="20"/>
                <w:color w:val="auto"/>
              </w:rPr>
            </w:pPr>
            <w:r>
              <w:rPr>
                <w:rFonts w:ascii="Arial" w:cs="Arial" w:eastAsia="Arial" w:hAnsi="Arial"/>
                <w:sz w:val="14"/>
                <w:szCs w:val="14"/>
                <w:color w:val="auto"/>
                <w:w w:val="94"/>
              </w:rPr>
              <w:t>2/22/21</w:t>
            </w:r>
          </w:p>
        </w:tc>
        <w:tc>
          <w:tcPr>
            <w:tcW w:w="1180" w:type="dxa"/>
            <w:vAlign w:val="bottom"/>
            <w:shd w:val="clear" w:color="auto" w:fill="CCEEFF"/>
          </w:tcPr>
          <w:p>
            <w:pPr>
              <w:jc w:val="center"/>
              <w:ind w:left="448"/>
              <w:spacing w:after="0" w:line="149" w:lineRule="exact"/>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349,674</w:t>
            </w:r>
          </w:p>
        </w:tc>
        <w:tc>
          <w:tcPr>
            <w:tcW w:w="0" w:type="dxa"/>
            <w:vAlign w:val="bottom"/>
          </w:tcPr>
          <w:p>
            <w:pPr>
              <w:spacing w:after="0"/>
              <w:rPr>
                <w:sz w:val="1"/>
                <w:szCs w:val="1"/>
                <w:color w:val="auto"/>
              </w:rPr>
            </w:pPr>
          </w:p>
        </w:tc>
      </w:tr>
      <w:tr>
        <w:trPr>
          <w:trHeight w:val="182"/>
        </w:trPr>
        <w:tc>
          <w:tcPr>
            <w:tcW w:w="5880" w:type="dxa"/>
            <w:vAlign w:val="bottom"/>
          </w:tcPr>
          <w:p>
            <w:pPr>
              <w:ind w:left="220"/>
              <w:spacing w:after="0"/>
              <w:rPr>
                <w:sz w:val="20"/>
                <w:szCs w:val="20"/>
                <w:color w:val="auto"/>
              </w:rPr>
            </w:pPr>
            <w:r>
              <w:rPr>
                <w:rFonts w:ascii="Arial" w:cs="Arial" w:eastAsia="Arial" w:hAnsi="Arial"/>
                <w:sz w:val="14"/>
                <w:szCs w:val="14"/>
                <w:color w:val="auto"/>
              </w:rPr>
              <w:t>EPD IV (7)</w:t>
            </w:r>
          </w:p>
        </w:tc>
        <w:tc>
          <w:tcPr>
            <w:tcW w:w="2360" w:type="dxa"/>
            <w:vAlign w:val="bottom"/>
          </w:tcPr>
          <w:p>
            <w:pPr>
              <w:jc w:val="center"/>
              <w:ind w:left="768"/>
              <w:spacing w:after="0"/>
              <w:rPr>
                <w:sz w:val="20"/>
                <w:szCs w:val="20"/>
                <w:color w:val="auto"/>
              </w:rPr>
            </w:pPr>
            <w:r>
              <w:rPr>
                <w:rFonts w:ascii="Arial" w:cs="Arial" w:eastAsia="Arial" w:hAnsi="Arial"/>
                <w:sz w:val="14"/>
                <w:szCs w:val="14"/>
                <w:color w:val="auto"/>
                <w:w w:val="95"/>
              </w:rPr>
              <w:t>12/03/23</w:t>
            </w:r>
          </w:p>
        </w:tc>
        <w:tc>
          <w:tcPr>
            <w:tcW w:w="1180" w:type="dxa"/>
            <w:vAlign w:val="bottom"/>
          </w:tcPr>
          <w:p>
            <w:pPr>
              <w:jc w:val="center"/>
              <w:ind w:left="448"/>
              <w:spacing w:after="0"/>
              <w:rPr>
                <w:sz w:val="20"/>
                <w:szCs w:val="20"/>
                <w:color w:val="auto"/>
              </w:rPr>
            </w:pPr>
            <w:r>
              <w:rPr>
                <w:rFonts w:ascii="Arial" w:cs="Arial" w:eastAsia="Arial" w:hAnsi="Arial"/>
                <w:sz w:val="14"/>
                <w:szCs w:val="14"/>
                <w:color w:val="auto"/>
              </w:rPr>
              <w:t>--</w:t>
            </w:r>
          </w:p>
        </w:tc>
        <w:tc>
          <w:tcPr>
            <w:tcW w:w="2000" w:type="dxa"/>
            <w:vAlign w:val="bottom"/>
          </w:tcPr>
          <w:p>
            <w:pPr>
              <w:jc w:val="right"/>
              <w:spacing w:after="0"/>
              <w:rPr>
                <w:sz w:val="20"/>
                <w:szCs w:val="20"/>
                <w:color w:val="auto"/>
              </w:rPr>
            </w:pPr>
            <w:r>
              <w:rPr>
                <w:rFonts w:ascii="Arial" w:cs="Arial" w:eastAsia="Arial" w:hAnsi="Arial"/>
                <w:sz w:val="14"/>
                <w:szCs w:val="14"/>
                <w:color w:val="auto"/>
              </w:rPr>
              <w:t>291,840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7"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the total number of phantom unit awards outstanding for each named executive officer.</w:t>
      </w:r>
    </w:p>
    <w:p>
      <w:pPr>
        <w:ind w:left="500" w:hanging="492"/>
        <w:spacing w:after="0" w:line="221" w:lineRule="auto"/>
        <w:tabs>
          <w:tab w:leader="none" w:pos="5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With respect to amounts presented for phantom unit awards, the market values were derived by multiplying the total number of each award type outstanding for the named executive officer by the closing price of our common units on December 31, 2019 (the last trading day of 2019) of $28.16 per unit.</w:t>
      </w:r>
    </w:p>
    <w:p>
      <w:pPr>
        <w:ind w:left="500" w:right="20" w:hanging="492"/>
        <w:spacing w:after="0" w:line="221" w:lineRule="auto"/>
        <w:tabs>
          <w:tab w:leader="none" w:pos="5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With respect to amounts presented for the profits interest awards, amount represents the estimated liquidation value to be received by the named executive officer based on the closing price of our common units on December 31, 2019 and the terms of liquidation outlined in the applicable Employee Partnership agreement.</w:t>
      </w:r>
    </w:p>
    <w:p>
      <w:pPr>
        <w:ind w:left="500" w:hanging="492"/>
        <w:spacing w:after="0" w:line="221" w:lineRule="auto"/>
        <w:tabs>
          <w:tab w:leader="none" w:pos="5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Of the 1,185,462 phantom unit awards presented in the table, the vesting schedule is as follows: 442,437 in 2020; 353,450 in 2021; 249,325 in 2022 and 140,250 in 2023.</w:t>
      </w:r>
    </w:p>
    <w:p>
      <w:pPr>
        <w:ind w:left="500" w:hanging="492"/>
        <w:spacing w:after="0" w:line="221" w:lineRule="auto"/>
        <w:tabs>
          <w:tab w:leader="none" w:pos="5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With respect to PubCo I, the profits interest share held by Messrs. Teague and Bacon at December 31, 2019 was approximately 5.47% and 6.25%, respectively.</w:t>
      </w:r>
    </w:p>
    <w:p>
      <w:pPr>
        <w:ind w:left="500" w:hanging="492"/>
        <w:spacing w:after="0" w:line="221" w:lineRule="auto"/>
        <w:tabs>
          <w:tab w:leader="none" w:pos="5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Mr. Fowler’s share of the profits interest in PrivCo I was approximately 15.46% at December 31, 2019.</w:t>
      </w:r>
    </w:p>
    <w:p>
      <w:pPr>
        <w:ind w:left="500" w:hanging="492"/>
        <w:spacing w:after="0" w:line="221" w:lineRule="auto"/>
        <w:tabs>
          <w:tab w:leader="none" w:pos="5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With respect to EPD IV, the profits interest share held by Messrs. Bacon, Secrest and Weitzel at December 31, 2019 was approximately 5.00%, 4.00% and 4.00%, respectively.</w:t>
      </w:r>
    </w:p>
    <w:p>
      <w:pPr>
        <w:ind w:left="500" w:hanging="492"/>
        <w:spacing w:after="0"/>
        <w:tabs>
          <w:tab w:leader="none" w:pos="5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With respect to PubCo II, the profits interest share held by Messrs. Secrest and Weitzel at December 31, 2019 was approximately 3.25% and 2.60%,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Phantom unit awards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phantom unit awards, see “Grants of Equity-Based Awards in Fiscal Year 2019” within this Item 11.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Profits interest awards</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For a description of the profits interest awards, see Note 13 of the Notes to Consolidated Financial Statements included under Part II, Item 8 of this annual report.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1" w:name="page132"/>
    <w:bookmarkEnd w:id="1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Change-in-Control</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None of the named executive officers have any employment agreements that call for the payment of termination or severance benefits or provide for any payments in the event of a change in control of Enterprise GP.</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EPCO has entered into retention bonus agreements with each of Messrs. Teague, Fowler, Bacon and Secrest, which are described under “Compensation Discussion and Analysis” within this Part III, Item 11. These agreements provide that, in the event of an involuntary termination of any such person’s employment prior to the end of his applicable Retention Period for specified reasons, including death, disability or termination of his employment by EPCO other than for “cause” (as defined in each retention bonus agreement), such person will receive (or in the event of his death, his designated beneficiary will receive), a cash payment equal to a pro-rata amount of his applicable Retention Payment (set forth previously), determined based on the number of days he is employed during the applicable Retention Period over the total number of days in such Retention Period (subject to meeting the Performance Requirement through his termination date).</w:t>
      </w: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vesting of profits interest awards under the Employee Partnerships is subject to acceleration upon a change of control (as defined below). In addition, vesting of equity-based awards under EPCO’s long-term incentive plans is subject to acceleration upon a qualifying termination, including termination after a change of control of Enterprise GP. Qualifying termination under such awards generally means a termination as an employee of EPCO or an affiliated group member (i) upon death, (ii) a qualifying long-term disability, (iii) a qualifying retirement, or (iv) within one year after a change of control (as defined), other than a termination for cause (as defined) or termination by such person that is not a qualifying termination for good reason (as defined).</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“change of control” under these awards is generally defined to mean that the descendants, heirs and/or legatees of Dan L Duncan, and/or trusts (including, without limitation, one or more voting trusts) established for their benefit, collectively, cease, directly or indirectly, to control our general partner. Mr. Duncan passed away in March 2010.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Report</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have a separate compensation committee. In addition, we do not directly employ or compensate our named executive officers. Rather, under the ASA, we reimburse EPCO for the compensation of our executive officers. As described in Compensation Discussion and Analysis, decisions regarding the compensation of our named executive officers with respect to 2019 were made, as applicable, by EPCO and Enterprise GP’s Co-CEO, Co-CEO/CFO and the Audit and Conflicts Committee (prior to May 8, 2019) or the IPA Subcommittee (on and after May 8, 2019).</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light of the foregoing, the Board has reviewed and discussed with management the Compensation Discussion and Analysis set forth above and determined that it be included in this annual report for the year ended December 31, 2019.</w:t>
      </w:r>
    </w:p>
    <w:p>
      <w:pPr>
        <w:spacing w:after="0" w:line="1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Submitted by:</w:t>
      </w:r>
      <w:r>
        <w:rPr>
          <w:sz w:val="20"/>
          <w:szCs w:val="20"/>
          <w:color w:val="auto"/>
        </w:rPr>
        <w:tab/>
      </w:r>
      <w:r>
        <w:rPr>
          <w:rFonts w:ascii="Arial" w:cs="Arial" w:eastAsia="Arial" w:hAnsi="Arial"/>
          <w:sz w:val="16"/>
          <w:szCs w:val="16"/>
          <w:color w:val="auto"/>
        </w:rPr>
        <w:t>Randa Duncan Williams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Richard H. Bachmann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James Teague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 Randall Fowler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Carin M. Barth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Murray E. Brasseux</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James T. Hackett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William C. Montgomery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John R. Rutherford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Richard S. Snell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Harry P. Weitzel</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anything to the contrary set forth in any previous filings under the Securities Act, as amended, or the Securities Exchange Act, as amended, that incorporate future filings, including this annual report, in whole or in part, the foregoing Compensation Committee Report shall not be incorporated by reference into any such filings.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2" w:name="page133"/>
    <w:bookmarkEnd w:id="1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None of the directors or executive officers of Enterprise GP served as members of the compensation committee of another entity that has or had an executive officer who served as a member of our Board during the year ended December 31, 2019. As previously noted, we do not have a separate compensation committee. As described in Compensation Discussion and Analysis, decisions regarding the compensation of our named executive officers with respect to 2019 were made, as applicable, by EPCO and Enterprise GP’s Co-CEO, Co-CEO/CFO and Audit and Conflicts Committee (prior to May 8,2019) or the IPA Subcommittee (on and after May 8,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Ratio Disclosure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disclosure presents the ratio of (i) the median of the total annual compensation of all employees of EPCO to (ii) the total annual compensation of Mr. Teague, who served as the CEO of Enterprise GP and as our principal executive officer during the year ended December 31, 2019. The pay ratio for the year ended December 31, 2019 is as follows:</w:t>
      </w:r>
    </w:p>
    <w:p>
      <w:pPr>
        <w:spacing w:after="0" w:line="223"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Median total annual compensation</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118,763</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4"/>
                <w:szCs w:val="14"/>
                <w:color w:val="auto"/>
              </w:rPr>
              <w:t>Total annual compensation of Mr. Teague</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w w:val="88"/>
              </w:rPr>
              <w:t>10,537,661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Ratio of CEO compensation to median compensation</w:t>
            </w:r>
          </w:p>
        </w:tc>
        <w:tc>
          <w:tcPr>
            <w:tcW w:w="10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980" w:type="dxa"/>
            <w:vAlign w:val="bottom"/>
            <w:vMerge w:val="continue"/>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median total annual compensation was determined as follows:</w:t>
      </w:r>
    </w:p>
    <w:p>
      <w:pPr>
        <w:spacing w:after="0" w:line="252" w:lineRule="exact"/>
        <w:rPr>
          <w:sz w:val="20"/>
          <w:szCs w:val="20"/>
          <w:color w:val="auto"/>
        </w:rPr>
      </w:pPr>
    </w:p>
    <w:p>
      <w:pPr>
        <w:jc w:val="both"/>
        <w:ind w:left="500" w:hanging="330"/>
        <w:spacing w:after="0" w:line="212" w:lineRule="auto"/>
        <w:tabs>
          <w:tab w:leader="none" w:pos="500" w:val="left"/>
        </w:tabs>
        <w:numPr>
          <w:ilvl w:val="0"/>
          <w:numId w:val="74"/>
        </w:numPr>
        <w:rPr>
          <w:rFonts w:ascii="Arial" w:cs="Arial" w:eastAsia="Arial" w:hAnsi="Arial"/>
          <w:sz w:val="29"/>
          <w:szCs w:val="29"/>
          <w:color w:val="auto"/>
          <w:vertAlign w:val="superscript"/>
        </w:rPr>
      </w:pPr>
      <w:r>
        <w:rPr>
          <w:rFonts w:ascii="Arial" w:cs="Arial" w:eastAsia="Arial" w:hAnsi="Arial"/>
          <w:sz w:val="18"/>
          <w:szCs w:val="18"/>
          <w:color w:val="auto"/>
        </w:rPr>
        <w:t>First, a list was prepared of all active EPCO employees, excluding Mr. Teague and those on long-term disability, that devote all or a substantial portion of their time to our consolidated businesses and affairs. This list was based on employee information as of December 31, 2019. There are approximately 7,300 EPCO personnel who spend all or a substantial portion of their time engaged in our business.</w:t>
      </w:r>
    </w:p>
    <w:p>
      <w:pPr>
        <w:spacing w:after="0" w:line="231" w:lineRule="exact"/>
        <w:rPr>
          <w:rFonts w:ascii="Arial" w:cs="Arial" w:eastAsia="Arial" w:hAnsi="Arial"/>
          <w:sz w:val="29"/>
          <w:szCs w:val="29"/>
          <w:color w:val="auto"/>
          <w:vertAlign w:val="superscript"/>
        </w:rPr>
      </w:pPr>
    </w:p>
    <w:p>
      <w:pPr>
        <w:ind w:left="500" w:hanging="330"/>
        <w:spacing w:after="0" w:line="221" w:lineRule="auto"/>
        <w:tabs>
          <w:tab w:leader="none" w:pos="500" w:val="left"/>
        </w:tabs>
        <w:numPr>
          <w:ilvl w:val="0"/>
          <w:numId w:val="74"/>
        </w:numPr>
        <w:rPr>
          <w:rFonts w:ascii="Arial" w:cs="Arial" w:eastAsia="Arial" w:hAnsi="Arial"/>
          <w:sz w:val="26"/>
          <w:szCs w:val="26"/>
          <w:color w:val="auto"/>
          <w:vertAlign w:val="superscript"/>
        </w:rPr>
      </w:pPr>
      <w:r>
        <w:rPr>
          <w:rFonts w:ascii="Arial" w:cs="Arial" w:eastAsia="Arial" w:hAnsi="Arial"/>
          <w:sz w:val="16"/>
          <w:szCs w:val="16"/>
          <w:color w:val="auto"/>
        </w:rPr>
        <w:t>Second, basic wage data for each employee was extracted from Form W-2 information provided to the Internal Revenue Service for calendar year 2019. This information was then sorted and the employee who earned the median compensation (the “median employee”) was selected from the list.</w:t>
      </w:r>
    </w:p>
    <w:p>
      <w:pPr>
        <w:spacing w:after="0" w:line="230" w:lineRule="exact"/>
        <w:rPr>
          <w:rFonts w:ascii="Arial" w:cs="Arial" w:eastAsia="Arial" w:hAnsi="Arial"/>
          <w:sz w:val="26"/>
          <w:szCs w:val="26"/>
          <w:color w:val="auto"/>
          <w:vertAlign w:val="superscript"/>
        </w:rPr>
      </w:pPr>
    </w:p>
    <w:p>
      <w:pPr>
        <w:ind w:left="500" w:hanging="330"/>
        <w:spacing w:after="0" w:line="221" w:lineRule="auto"/>
        <w:tabs>
          <w:tab w:leader="none" w:pos="500" w:val="left"/>
        </w:tabs>
        <w:numPr>
          <w:ilvl w:val="0"/>
          <w:numId w:val="74"/>
        </w:numPr>
        <w:rPr>
          <w:rFonts w:ascii="Arial" w:cs="Arial" w:eastAsia="Arial" w:hAnsi="Arial"/>
          <w:sz w:val="26"/>
          <w:szCs w:val="26"/>
          <w:color w:val="auto"/>
          <w:vertAlign w:val="superscript"/>
        </w:rPr>
      </w:pPr>
      <w:r>
        <w:rPr>
          <w:rFonts w:ascii="Arial" w:cs="Arial" w:eastAsia="Arial" w:hAnsi="Arial"/>
          <w:sz w:val="16"/>
          <w:szCs w:val="16"/>
          <w:color w:val="auto"/>
        </w:rPr>
        <w:t>Third, once the median employee was selected, his or her respective total annual compensation for 2019 was determined using the same method used to determine Mr. Teague’s total annual compensation for 2019 as presented in the Summary Compensation Table within this Part III, Item 11.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 the independent voting directors of Enterprise GP were compensated as follows:</w:t>
      </w:r>
    </w:p>
    <w:p>
      <w:pPr>
        <w:spacing w:after="0" w:line="252" w:lineRule="exact"/>
        <w:rPr>
          <w:sz w:val="20"/>
          <w:szCs w:val="20"/>
          <w:color w:val="auto"/>
        </w:rPr>
      </w:pPr>
    </w:p>
    <w:p>
      <w:pPr>
        <w:ind w:left="500" w:hanging="330"/>
        <w:spacing w:after="0" w:line="198" w:lineRule="auto"/>
        <w:tabs>
          <w:tab w:leader="none" w:pos="500" w:val="left"/>
        </w:tabs>
        <w:numPr>
          <w:ilvl w:val="0"/>
          <w:numId w:val="75"/>
        </w:numPr>
        <w:rPr>
          <w:rFonts w:ascii="Arial" w:cs="Arial" w:eastAsia="Arial" w:hAnsi="Arial"/>
          <w:sz w:val="29"/>
          <w:szCs w:val="29"/>
          <w:color w:val="auto"/>
          <w:vertAlign w:val="superscript"/>
        </w:rPr>
      </w:pPr>
      <w:r>
        <w:rPr>
          <w:rFonts w:ascii="Arial" w:cs="Arial" w:eastAsia="Arial" w:hAnsi="Arial"/>
          <w:sz w:val="18"/>
          <w:szCs w:val="18"/>
          <w:color w:val="auto"/>
        </w:rPr>
        <w:t>each received an $85,000 annual cash retainer and an annual grant of our common units having a fair market value, based on the closing price of such security on the trading day immediately preceding the date of grant, of $85,000;</w:t>
      </w:r>
    </w:p>
    <w:p>
      <w:pPr>
        <w:spacing w:after="0" w:line="160" w:lineRule="exact"/>
        <w:rPr>
          <w:rFonts w:ascii="Arial" w:cs="Arial" w:eastAsia="Arial" w:hAnsi="Arial"/>
          <w:sz w:val="29"/>
          <w:szCs w:val="29"/>
          <w:color w:val="auto"/>
          <w:vertAlign w:val="superscript"/>
        </w:rPr>
      </w:pPr>
    </w:p>
    <w:p>
      <w:pPr>
        <w:ind w:left="500" w:hanging="330"/>
        <w:spacing w:after="0"/>
        <w:tabs>
          <w:tab w:leader="none" w:pos="500" w:val="left"/>
        </w:tabs>
        <w:numPr>
          <w:ilvl w:val="0"/>
          <w:numId w:val="75"/>
        </w:numPr>
        <w:rPr>
          <w:rFonts w:ascii="Arial" w:cs="Arial" w:eastAsia="Arial" w:hAnsi="Arial"/>
          <w:sz w:val="26"/>
          <w:szCs w:val="26"/>
          <w:color w:val="auto"/>
          <w:vertAlign w:val="superscript"/>
        </w:rPr>
      </w:pPr>
      <w:r>
        <w:rPr>
          <w:rFonts w:ascii="Arial" w:cs="Arial" w:eastAsia="Arial" w:hAnsi="Arial"/>
          <w:sz w:val="16"/>
          <w:szCs w:val="16"/>
          <w:color w:val="auto"/>
        </w:rPr>
        <w:t>if the individual served as a chairman of the Audit and Conflicts Committee, then such individual received an additional $20,000 annual cash retainer;</w:t>
      </w:r>
    </w:p>
    <w:p>
      <w:pPr>
        <w:spacing w:after="0" w:line="160" w:lineRule="exact"/>
        <w:rPr>
          <w:rFonts w:ascii="Arial" w:cs="Arial" w:eastAsia="Arial" w:hAnsi="Arial"/>
          <w:sz w:val="26"/>
          <w:szCs w:val="26"/>
          <w:color w:val="auto"/>
          <w:vertAlign w:val="superscript"/>
        </w:rPr>
      </w:pPr>
    </w:p>
    <w:p>
      <w:pPr>
        <w:ind w:left="500" w:hanging="330"/>
        <w:spacing w:after="0"/>
        <w:tabs>
          <w:tab w:leader="none" w:pos="500" w:val="left"/>
        </w:tabs>
        <w:numPr>
          <w:ilvl w:val="0"/>
          <w:numId w:val="75"/>
        </w:numPr>
        <w:rPr>
          <w:rFonts w:ascii="Arial" w:cs="Arial" w:eastAsia="Arial" w:hAnsi="Arial"/>
          <w:sz w:val="26"/>
          <w:szCs w:val="26"/>
          <w:color w:val="auto"/>
          <w:vertAlign w:val="superscript"/>
        </w:rPr>
      </w:pPr>
      <w:r>
        <w:rPr>
          <w:rFonts w:ascii="Arial" w:cs="Arial" w:eastAsia="Arial" w:hAnsi="Arial"/>
          <w:sz w:val="16"/>
          <w:szCs w:val="16"/>
          <w:color w:val="auto"/>
        </w:rPr>
        <w:t>if the individual served as a chairman of the Governance Committee, then such individual received an additional $15,000 annual cash retainer; and,</w:t>
      </w:r>
    </w:p>
    <w:p>
      <w:pPr>
        <w:spacing w:after="0" w:line="228" w:lineRule="exact"/>
        <w:rPr>
          <w:rFonts w:ascii="Arial" w:cs="Arial" w:eastAsia="Arial" w:hAnsi="Arial"/>
          <w:sz w:val="26"/>
          <w:szCs w:val="26"/>
          <w:color w:val="auto"/>
          <w:vertAlign w:val="superscript"/>
        </w:rPr>
      </w:pPr>
    </w:p>
    <w:p>
      <w:pPr>
        <w:ind w:left="500" w:hanging="330"/>
        <w:spacing w:after="0" w:line="198" w:lineRule="auto"/>
        <w:tabs>
          <w:tab w:leader="none" w:pos="500" w:val="left"/>
        </w:tabs>
        <w:numPr>
          <w:ilvl w:val="0"/>
          <w:numId w:val="75"/>
        </w:numPr>
        <w:rPr>
          <w:rFonts w:ascii="Arial" w:cs="Arial" w:eastAsia="Arial" w:hAnsi="Arial"/>
          <w:sz w:val="29"/>
          <w:szCs w:val="29"/>
          <w:color w:val="auto"/>
          <w:vertAlign w:val="superscript"/>
        </w:rPr>
      </w:pPr>
      <w:r>
        <w:rPr>
          <w:rFonts w:ascii="Arial" w:cs="Arial" w:eastAsia="Arial" w:hAnsi="Arial"/>
          <w:sz w:val="18"/>
          <w:szCs w:val="18"/>
          <w:color w:val="auto"/>
        </w:rPr>
        <w:t>for those independent voting directors that serve on the Capital Projects Committee, a $2,500 per meeting cash fee for attendance at meetings of this committee.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3" w:name="page134"/>
    <w:bookmarkEnd w:id="1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program for independent voting directors for 2020 is expected to be the same as 2019.</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bear all costs attributable to the compensation of independent voting directors of Enterprise GP. The following table summarizes compensation paid to these directors in 2019:</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Fees Earned</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Value of</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or Paid</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Equity-Based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Cash</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Awards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08"/>
        </w:trPr>
        <w:tc>
          <w:tcPr>
            <w:tcW w:w="7320" w:type="dxa"/>
            <w:vAlign w:val="bottom"/>
            <w:tcBorders>
              <w:bottom w:val="single" w:sz="8" w:color="auto"/>
            </w:tcBorders>
          </w:tcPr>
          <w:p>
            <w:pPr>
              <w:ind w:left="2780"/>
              <w:spacing w:after="0"/>
              <w:rPr>
                <w:sz w:val="20"/>
                <w:szCs w:val="20"/>
                <w:color w:val="auto"/>
              </w:rPr>
            </w:pPr>
            <w:r>
              <w:rPr>
                <w:rFonts w:ascii="Arial" w:cs="Arial" w:eastAsia="Arial" w:hAnsi="Arial"/>
                <w:sz w:val="14"/>
                <w:szCs w:val="14"/>
                <w:b w:val="1"/>
                <w:bCs w:val="1"/>
                <w:color w:val="auto"/>
              </w:rPr>
              <w:t>Independent Voting Director</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4"/>
                <w:szCs w:val="14"/>
                <w:color w:val="auto"/>
              </w:rPr>
              <w:t>Carin M. Barth</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85,000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85,000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170,000</w:t>
            </w:r>
          </w:p>
        </w:tc>
      </w:tr>
      <w:tr>
        <w:trPr>
          <w:trHeight w:val="216"/>
        </w:trPr>
        <w:tc>
          <w:tcPr>
            <w:tcW w:w="7320" w:type="dxa"/>
            <w:vAlign w:val="bottom"/>
          </w:tcPr>
          <w:p>
            <w:pPr>
              <w:spacing w:after="0"/>
              <w:rPr>
                <w:sz w:val="20"/>
                <w:szCs w:val="20"/>
                <w:color w:val="auto"/>
              </w:rPr>
            </w:pPr>
            <w:r>
              <w:rPr>
                <w:rFonts w:ascii="Arial" w:cs="Arial" w:eastAsia="Arial" w:hAnsi="Arial"/>
                <w:sz w:val="14"/>
                <w:szCs w:val="14"/>
                <w:color w:val="auto"/>
              </w:rPr>
              <w:t>Murray E. Brasseux</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85,000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85,000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170,000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4"/>
                <w:szCs w:val="14"/>
                <w:color w:val="auto"/>
              </w:rPr>
              <w:t>James T. Hackett (1)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185,000</w:t>
            </w:r>
          </w:p>
        </w:tc>
      </w:tr>
      <w:tr>
        <w:trPr>
          <w:trHeight w:val="216"/>
        </w:trPr>
        <w:tc>
          <w:tcPr>
            <w:tcW w:w="7320" w:type="dxa"/>
            <w:vAlign w:val="bottom"/>
          </w:tcPr>
          <w:p>
            <w:pPr>
              <w:spacing w:after="0"/>
              <w:rPr>
                <w:sz w:val="20"/>
                <w:szCs w:val="20"/>
                <w:color w:val="auto"/>
              </w:rPr>
            </w:pPr>
            <w:r>
              <w:rPr>
                <w:rFonts w:ascii="Arial" w:cs="Arial" w:eastAsia="Arial" w:hAnsi="Arial"/>
                <w:sz w:val="14"/>
                <w:szCs w:val="14"/>
                <w:color w:val="auto"/>
              </w:rPr>
              <w:t>Charles E. McMahen (2)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105,000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85,000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190,000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4"/>
                <w:szCs w:val="14"/>
                <w:color w:val="auto"/>
              </w:rPr>
              <w:t>William C. Montgomery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85,000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170,000</w:t>
            </w:r>
          </w:p>
        </w:tc>
      </w:tr>
      <w:tr>
        <w:trPr>
          <w:trHeight w:val="216"/>
        </w:trPr>
        <w:tc>
          <w:tcPr>
            <w:tcW w:w="7320" w:type="dxa"/>
            <w:vAlign w:val="bottom"/>
          </w:tcPr>
          <w:p>
            <w:pPr>
              <w:spacing w:after="0"/>
              <w:rPr>
                <w:sz w:val="20"/>
                <w:szCs w:val="20"/>
                <w:color w:val="auto"/>
              </w:rPr>
            </w:pPr>
            <w:r>
              <w:rPr>
                <w:rFonts w:ascii="Arial" w:cs="Arial" w:eastAsia="Arial" w:hAnsi="Arial"/>
                <w:sz w:val="14"/>
                <w:szCs w:val="14"/>
                <w:color w:val="auto"/>
              </w:rPr>
              <w:t>John R. Rutherford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85,000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85,000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170,000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4"/>
                <w:szCs w:val="14"/>
                <w:color w:val="auto"/>
              </w:rPr>
              <w:t>Richard S. Snell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85,000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580" w:hanging="572"/>
        <w:spacing w:after="0"/>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Mr. Hackett serves as chairman of the Governance Committee.</w:t>
      </w:r>
    </w:p>
    <w:p>
      <w:pPr>
        <w:ind w:left="580" w:hanging="572"/>
        <w:spacing w:after="0"/>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Mr. McMahen served as a director and as chairman of the Audit and Conflicts Committee in 2019. He was not re-elected to the Board for 2020.</w:t>
      </w:r>
    </w:p>
    <w:p>
      <w:pPr>
        <w:spacing w:after="0" w:line="22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Messrs. Casey, Cunningham and Smith each received $150,000 in cash for their services as advisory directors in 2019. As an honorary director, O.S. Andras received $20,000 in cash in 2019.</w:t>
      </w:r>
    </w:p>
    <w:p>
      <w:pPr>
        <w:spacing w:after="0" w:line="19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Neither we nor Enterprise GP provide additional compensation to employees of EPCO for their services as voting directors of Enterprise GP. The employees of EPCO who served as voting directors of Enterprise GP in 2019 were Ms. Duncan Williams and Messrs. Bachmann, Teague, Fowler and Weitzel.</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4" w:name="page135"/>
    <w:bookmarkEnd w:id="1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12. SECURITY OWNERSHIP OF CERTAIN BENEFICIAL OWNERS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AND RELATED UNITHOLDER MATTERS.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certain information as of February 19, 2020, regarding each person known by Enterprise GP to beneficially own more than 5% of our limited partner units: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960" w:type="dxa"/>
            <w:vAlign w:val="bottom"/>
          </w:tcPr>
          <w:p>
            <w:pPr>
              <w:jc w:val="center"/>
              <w:ind w:left="568"/>
              <w:spacing w:after="0"/>
              <w:rPr>
                <w:sz w:val="20"/>
                <w:szCs w:val="20"/>
                <w:color w:val="auto"/>
              </w:rPr>
            </w:pPr>
            <w:r>
              <w:rPr>
                <w:rFonts w:ascii="Arial" w:cs="Arial" w:eastAsia="Arial" w:hAnsi="Arial"/>
                <w:sz w:val="14"/>
                <w:szCs w:val="14"/>
                <w:b w:val="1"/>
                <w:bCs w:val="1"/>
                <w:color w:val="auto"/>
                <w:w w:val="93"/>
              </w:rPr>
              <w:t>Amount and</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880" w:type="dxa"/>
            <w:vAlign w:val="bottom"/>
            <w:vMerge w:val="restart"/>
          </w:tcPr>
          <w:p>
            <w:pPr>
              <w:jc w:val="center"/>
              <w:ind w:left="408"/>
              <w:spacing w:after="0"/>
              <w:rPr>
                <w:sz w:val="20"/>
                <w:szCs w:val="20"/>
                <w:color w:val="auto"/>
              </w:rPr>
            </w:pPr>
            <w:r>
              <w:rPr>
                <w:rFonts w:ascii="Arial" w:cs="Arial" w:eastAsia="Arial" w:hAnsi="Arial"/>
                <w:sz w:val="14"/>
                <w:szCs w:val="14"/>
                <w:b w:val="1"/>
                <w:bCs w:val="1"/>
                <w:color w:val="auto"/>
                <w:w w:val="95"/>
              </w:rPr>
              <w:t>Title of</w:t>
            </w:r>
          </w:p>
        </w:tc>
        <w:tc>
          <w:tcPr>
            <w:tcW w:w="4840" w:type="dxa"/>
            <w:vAlign w:val="bottom"/>
            <w:vMerge w:val="restart"/>
          </w:tcPr>
          <w:p>
            <w:pPr>
              <w:jc w:val="center"/>
              <w:ind w:left="708"/>
              <w:spacing w:after="0"/>
              <w:rPr>
                <w:sz w:val="20"/>
                <w:szCs w:val="20"/>
                <w:color w:val="auto"/>
              </w:rPr>
            </w:pPr>
            <w:r>
              <w:rPr>
                <w:rFonts w:ascii="Arial" w:cs="Arial" w:eastAsia="Arial" w:hAnsi="Arial"/>
                <w:sz w:val="14"/>
                <w:szCs w:val="14"/>
                <w:b w:val="1"/>
                <w:bCs w:val="1"/>
                <w:color w:val="auto"/>
                <w:w w:val="93"/>
              </w:rPr>
              <w:t>Name and Address</w:t>
            </w:r>
          </w:p>
        </w:tc>
        <w:tc>
          <w:tcPr>
            <w:tcW w:w="2960" w:type="dxa"/>
            <w:vAlign w:val="bottom"/>
          </w:tcPr>
          <w:p>
            <w:pPr>
              <w:jc w:val="center"/>
              <w:ind w:left="548"/>
              <w:spacing w:after="0"/>
              <w:rPr>
                <w:sz w:val="20"/>
                <w:szCs w:val="20"/>
                <w:color w:val="auto"/>
              </w:rPr>
            </w:pPr>
            <w:r>
              <w:rPr>
                <w:rFonts w:ascii="Arial" w:cs="Arial" w:eastAsia="Arial" w:hAnsi="Arial"/>
                <w:sz w:val="14"/>
                <w:szCs w:val="14"/>
                <w:b w:val="1"/>
                <w:bCs w:val="1"/>
                <w:color w:val="auto"/>
                <w:w w:val="94"/>
              </w:rPr>
              <w:t>Nature of</w:t>
            </w:r>
          </w:p>
        </w:tc>
        <w:tc>
          <w:tcPr>
            <w:tcW w:w="174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9"/>
        </w:trPr>
        <w:tc>
          <w:tcPr>
            <w:tcW w:w="1880" w:type="dxa"/>
            <w:vAlign w:val="bottom"/>
            <w:vMerge w:val="continue"/>
          </w:tcPr>
          <w:p>
            <w:pPr>
              <w:spacing w:after="0"/>
              <w:rPr>
                <w:sz w:val="12"/>
                <w:szCs w:val="12"/>
                <w:color w:val="auto"/>
              </w:rPr>
            </w:pPr>
          </w:p>
        </w:tc>
        <w:tc>
          <w:tcPr>
            <w:tcW w:w="4840" w:type="dxa"/>
            <w:vAlign w:val="bottom"/>
            <w:vMerge w:val="continue"/>
          </w:tcPr>
          <w:p>
            <w:pPr>
              <w:spacing w:after="0"/>
              <w:rPr>
                <w:sz w:val="12"/>
                <w:szCs w:val="12"/>
                <w:color w:val="auto"/>
              </w:rPr>
            </w:pPr>
          </w:p>
        </w:tc>
        <w:tc>
          <w:tcPr>
            <w:tcW w:w="2960" w:type="dxa"/>
            <w:vAlign w:val="bottom"/>
          </w:tcPr>
          <w:p>
            <w:pPr>
              <w:jc w:val="center"/>
              <w:ind w:left="568"/>
              <w:spacing w:after="0" w:line="149" w:lineRule="exact"/>
              <w:rPr>
                <w:sz w:val="20"/>
                <w:szCs w:val="20"/>
                <w:color w:val="auto"/>
              </w:rPr>
            </w:pPr>
            <w:r>
              <w:rPr>
                <w:rFonts w:ascii="Arial" w:cs="Arial" w:eastAsia="Arial" w:hAnsi="Arial"/>
                <w:sz w:val="14"/>
                <w:szCs w:val="14"/>
                <w:b w:val="1"/>
                <w:bCs w:val="1"/>
                <w:color w:val="auto"/>
                <w:w w:val="90"/>
              </w:rPr>
              <w:t>Beneficial</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88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85"/>
              </w:rPr>
              <w:t>Class</w:t>
            </w:r>
          </w:p>
        </w:tc>
        <w:tc>
          <w:tcPr>
            <w:tcW w:w="4840" w:type="dxa"/>
            <w:vAlign w:val="bottom"/>
            <w:tcBorders>
              <w:bottom w:val="single" w:sz="8" w:color="auto"/>
            </w:tcBorders>
          </w:tcPr>
          <w:p>
            <w:pPr>
              <w:jc w:val="center"/>
              <w:ind w:left="708"/>
              <w:spacing w:after="0"/>
              <w:rPr>
                <w:sz w:val="20"/>
                <w:szCs w:val="20"/>
                <w:color w:val="auto"/>
              </w:rPr>
            </w:pPr>
            <w:r>
              <w:rPr>
                <w:rFonts w:ascii="Arial" w:cs="Arial" w:eastAsia="Arial" w:hAnsi="Arial"/>
                <w:sz w:val="14"/>
                <w:szCs w:val="14"/>
                <w:b w:val="1"/>
                <w:bCs w:val="1"/>
                <w:color w:val="auto"/>
                <w:w w:val="93"/>
              </w:rPr>
              <w:t>of Beneficial Owner</w:t>
            </w:r>
          </w:p>
        </w:tc>
        <w:tc>
          <w:tcPr>
            <w:tcW w:w="2960" w:type="dxa"/>
            <w:vAlign w:val="bottom"/>
            <w:tcBorders>
              <w:bottom w:val="single" w:sz="8" w:color="auto"/>
            </w:tcBorders>
          </w:tcPr>
          <w:p>
            <w:pPr>
              <w:jc w:val="center"/>
              <w:ind w:left="568"/>
              <w:spacing w:after="0"/>
              <w:rPr>
                <w:sz w:val="20"/>
                <w:szCs w:val="20"/>
                <w:color w:val="auto"/>
              </w:rPr>
            </w:pPr>
            <w:r>
              <w:rPr>
                <w:rFonts w:ascii="Arial" w:cs="Arial" w:eastAsia="Arial" w:hAnsi="Arial"/>
                <w:sz w:val="14"/>
                <w:szCs w:val="14"/>
                <w:b w:val="1"/>
                <w:bCs w:val="1"/>
                <w:color w:val="auto"/>
                <w:w w:val="93"/>
              </w:rPr>
              <w:t>Ownership</w:t>
            </w:r>
          </w:p>
        </w:tc>
        <w:tc>
          <w:tcPr>
            <w:tcW w:w="174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1"/>
              </w:rPr>
              <w:t>of Class</w:t>
            </w:r>
          </w:p>
        </w:tc>
        <w:tc>
          <w:tcPr>
            <w:tcW w:w="0" w:type="dxa"/>
            <w:vAlign w:val="bottom"/>
          </w:tcPr>
          <w:p>
            <w:pPr>
              <w:spacing w:after="0"/>
              <w:rPr>
                <w:sz w:val="1"/>
                <w:szCs w:val="1"/>
                <w:color w:val="auto"/>
              </w:rPr>
            </w:pPr>
          </w:p>
        </w:tc>
      </w:tr>
      <w:tr>
        <w:trPr>
          <w:trHeight w:val="149"/>
        </w:trPr>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units</w:t>
            </w:r>
          </w:p>
        </w:tc>
        <w:tc>
          <w:tcPr>
            <w:tcW w:w="4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Randa Duncan Williams (1)</w:t>
            </w:r>
          </w:p>
        </w:tc>
        <w:tc>
          <w:tcPr>
            <w:tcW w:w="2960" w:type="dxa"/>
            <w:vAlign w:val="bottom"/>
            <w:shd w:val="clear" w:color="auto" w:fill="CCEEFF"/>
          </w:tcPr>
          <w:p>
            <w:pPr>
              <w:jc w:val="center"/>
              <w:ind w:left="568"/>
              <w:spacing w:after="0" w:line="149" w:lineRule="exact"/>
              <w:rPr>
                <w:sz w:val="20"/>
                <w:szCs w:val="20"/>
                <w:color w:val="auto"/>
              </w:rPr>
            </w:pPr>
            <w:r>
              <w:rPr>
                <w:rFonts w:ascii="Arial" w:cs="Arial" w:eastAsia="Arial" w:hAnsi="Arial"/>
                <w:sz w:val="14"/>
                <w:szCs w:val="14"/>
                <w:color w:val="auto"/>
                <w:w w:val="92"/>
              </w:rPr>
              <w:t>701,533,776</w:t>
            </w:r>
          </w:p>
        </w:tc>
        <w:tc>
          <w:tcPr>
            <w:tcW w:w="1740" w:type="dxa"/>
            <w:vAlign w:val="bottom"/>
            <w:shd w:val="clear" w:color="auto" w:fill="CCEEFF"/>
          </w:tcPr>
          <w:p>
            <w:pPr>
              <w:jc w:val="center"/>
              <w:ind w:left="248"/>
              <w:spacing w:after="0" w:line="149" w:lineRule="exact"/>
              <w:rPr>
                <w:sz w:val="20"/>
                <w:szCs w:val="20"/>
                <w:color w:val="auto"/>
              </w:rPr>
            </w:pPr>
            <w:r>
              <w:rPr>
                <w:rFonts w:ascii="Arial" w:cs="Arial" w:eastAsia="Arial" w:hAnsi="Arial"/>
                <w:sz w:val="14"/>
                <w:szCs w:val="14"/>
                <w:color w:val="auto"/>
                <w:w w:val="95"/>
              </w:rPr>
              <w:t>32.0%</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840" w:type="dxa"/>
            <w:vAlign w:val="bottom"/>
          </w:tcPr>
          <w:p>
            <w:pPr>
              <w:ind w:left="460"/>
              <w:spacing w:after="0" w:line="216" w:lineRule="exact"/>
              <w:rPr>
                <w:sz w:val="20"/>
                <w:szCs w:val="20"/>
                <w:color w:val="auto"/>
              </w:rPr>
            </w:pPr>
            <w:r>
              <w:rPr>
                <w:rFonts w:ascii="Arial" w:cs="Arial" w:eastAsia="Arial" w:hAnsi="Arial"/>
                <w:sz w:val="14"/>
                <w:szCs w:val="14"/>
                <w:color w:val="auto"/>
              </w:rPr>
              <w:t>1100 Louisiana Street, 10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Floor</w:t>
            </w:r>
          </w:p>
        </w:tc>
        <w:tc>
          <w:tcPr>
            <w:tcW w:w="2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48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Houston, Texas 77002</w:t>
            </w:r>
          </w:p>
        </w:tc>
        <w:tc>
          <w:tcPr>
            <w:tcW w:w="29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500" w:hanging="492"/>
        <w:spacing w:after="0" w:line="253" w:lineRule="auto"/>
        <w:tabs>
          <w:tab w:leader="none" w:pos="5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For a detailed listing of the ownership amounts that comprise Ms. Duncan Williams’ total beneficial ownership of our common units, see the table presented in the following section, “Security Ownership of Management,” within this Part III, Item 12.</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Ms. Duncan Williams is a DD LLC Trustee and an EPCO Trustee. Ms. Duncan Williams is also currently Chairman and a director of EPCO and Chairman of the Board and a director of Enterprise GP. Ms. Duncan Williams disclaims beneficial ownership of the limited partner units beneficially owned by the EPCO Trustees, except to the extent of her voting and dispositive interests in such units.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set forth certain information regarding the beneficial ownership of our common units, as of February 19, 2020 by (i) our named executive officers for 2019; (ii) the current directors of Enterprise GP; and (iii) the current directors and executive officers (including named executive officers) of Enterprise GP as a group. All beneficial ownership information has been furnished by the respective directors and executive officers. Each person has sole voting and dispositive power over the securities shown unless indicated otherwise.</w:t>
      </w:r>
    </w:p>
    <w:p>
      <w:pPr>
        <w:spacing w:after="0" w:line="273" w:lineRule="exact"/>
        <w:rPr>
          <w:sz w:val="20"/>
          <w:szCs w:val="20"/>
          <w:color w:val="auto"/>
        </w:rPr>
      </w:pPr>
    </w:p>
    <w:tbl>
      <w:tblPr>
        <w:tblLayout w:type="fixed"/>
        <w:tblInd w:w="442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Amount and</w:t>
            </w:r>
          </w:p>
        </w:tc>
        <w:tc>
          <w:tcPr>
            <w:tcW w:w="1220" w:type="dxa"/>
            <w:vAlign w:val="bottom"/>
          </w:tcPr>
          <w:p>
            <w:pPr>
              <w:spacing w:after="0"/>
              <w:rPr>
                <w:sz w:val="16"/>
                <w:szCs w:val="16"/>
                <w:color w:val="auto"/>
              </w:rPr>
            </w:pPr>
          </w:p>
        </w:tc>
      </w:tr>
      <w:tr>
        <w:trPr>
          <w:trHeight w:val="216"/>
        </w:trPr>
        <w:tc>
          <w:tcPr>
            <w:tcW w:w="3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Positions with</w:t>
            </w:r>
          </w:p>
        </w:tc>
        <w:tc>
          <w:tcPr>
            <w:tcW w:w="1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Nature Of</w:t>
            </w:r>
          </w:p>
        </w:tc>
        <w:tc>
          <w:tcPr>
            <w:tcW w:w="1220" w:type="dxa"/>
            <w:vAlign w:val="bottom"/>
          </w:tcPr>
          <w:p>
            <w:pPr>
              <w:spacing w:after="0"/>
              <w:rPr>
                <w:sz w:val="18"/>
                <w:szCs w:val="18"/>
                <w:color w:val="auto"/>
              </w:rPr>
            </w:pPr>
          </w:p>
        </w:tc>
      </w:tr>
      <w:tr>
        <w:trPr>
          <w:trHeight w:val="216"/>
        </w:trPr>
        <w:tc>
          <w:tcPr>
            <w:tcW w:w="3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Enterprise GP</w:t>
            </w:r>
          </w:p>
        </w:tc>
        <w:tc>
          <w:tcPr>
            <w:tcW w:w="1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Beneficial</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r>
      <w:tr>
        <w:trPr>
          <w:trHeight w:val="208"/>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at February 19, 2020</w:t>
            </w:r>
          </w:p>
        </w:tc>
        <w:tc>
          <w:tcPr>
            <w:tcW w:w="20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26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67589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49" w:lineRule="exact"/>
        <w:rPr>
          <w:sz w:val="20"/>
          <w:szCs w:val="20"/>
          <w:color w:val="auto"/>
        </w:rPr>
      </w:pPr>
    </w:p>
    <w:p>
      <w:pPr>
        <w:ind w:left="120" w:right="1200" w:hanging="107"/>
        <w:spacing w:after="0" w:line="296" w:lineRule="auto"/>
        <w:rPr>
          <w:sz w:val="20"/>
          <w:szCs w:val="20"/>
          <w:color w:val="auto"/>
        </w:rPr>
      </w:pPr>
      <w:r>
        <w:rPr>
          <w:rFonts w:ascii="Arial" w:cs="Arial" w:eastAsia="Arial" w:hAnsi="Arial"/>
          <w:sz w:val="14"/>
          <w:szCs w:val="14"/>
          <w:color w:val="auto"/>
        </w:rPr>
        <w:t>Randa Duncan Williams:</w:t>
      </w:r>
      <w:r>
        <w:rPr>
          <w:sz w:val="20"/>
          <w:szCs w:val="20"/>
          <w:color w:val="auto"/>
        </w:rPr>
        <w:t xml:space="preserve"> </w:t>
      </w:r>
      <w:r>
        <w:rPr>
          <w:rFonts w:ascii="Arial" w:cs="Arial" w:eastAsia="Arial" w:hAnsi="Arial"/>
          <w:sz w:val="14"/>
          <w:szCs w:val="14"/>
          <w:color w:val="auto"/>
        </w:rPr>
        <w:t>Director and Chairman of the Board Units controlled by EPCO Voting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Through EPCO</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Through EPCO Investments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Through EPCO Holdings, Inc. (1)</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Through Employee Partnerships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Units controlled by Alkek and Williams, Ltd.</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Units controlled by Chaswil,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Units controlled by family trusts (2)</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Units owned personally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46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Total for Randa Duncan Williams</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left="80"/>
        <w:spacing w:after="0"/>
        <w:tabs>
          <w:tab w:leader="none" w:pos="1880" w:val="left"/>
        </w:tabs>
        <w:rPr>
          <w:sz w:val="20"/>
          <w:szCs w:val="20"/>
          <w:color w:val="auto"/>
        </w:rPr>
      </w:pPr>
      <w:r>
        <w:rPr>
          <w:rFonts w:ascii="Arial" w:cs="Arial" w:eastAsia="Arial" w:hAnsi="Arial"/>
          <w:sz w:val="13"/>
          <w:szCs w:val="13"/>
          <w:color w:val="auto"/>
        </w:rPr>
        <w:t>70,408,549</w:t>
      </w:r>
      <w:r>
        <w:rPr>
          <w:sz w:val="20"/>
          <w:szCs w:val="20"/>
          <w:color w:val="auto"/>
        </w:rPr>
        <w:tab/>
      </w:r>
      <w:r>
        <w:rPr>
          <w:rFonts w:ascii="Arial" w:cs="Arial" w:eastAsia="Arial" w:hAnsi="Arial"/>
          <w:sz w:val="13"/>
          <w:szCs w:val="13"/>
          <w:color w:val="auto"/>
        </w:rPr>
        <w:t>3.2%</w:t>
      </w:r>
    </w:p>
    <w:p>
      <w:pPr>
        <w:spacing w:after="0" w:line="67" w:lineRule="exact"/>
        <w:rPr>
          <w:sz w:val="20"/>
          <w:szCs w:val="20"/>
          <w:color w:val="auto"/>
        </w:rPr>
      </w:pPr>
    </w:p>
    <w:p>
      <w:pPr>
        <w:ind w:left="160"/>
        <w:spacing w:after="0"/>
        <w:tabs>
          <w:tab w:leader="none" w:pos="2100" w:val="left"/>
        </w:tabs>
        <w:rPr>
          <w:sz w:val="20"/>
          <w:szCs w:val="20"/>
          <w:color w:val="auto"/>
        </w:rPr>
      </w:pPr>
      <w:r>
        <w:rPr>
          <w:rFonts w:ascii="Arial" w:cs="Arial" w:eastAsia="Arial" w:hAnsi="Arial"/>
          <w:sz w:val="14"/>
          <w:szCs w:val="14"/>
          <w:color w:val="auto"/>
        </w:rPr>
        <w:t>4,346,154</w:t>
      </w:r>
      <w:r>
        <w:rPr>
          <w:sz w:val="20"/>
          <w:szCs w:val="20"/>
          <w:color w:val="auto"/>
        </w:rPr>
        <w:tab/>
      </w:r>
      <w:r>
        <w:rPr>
          <w:rFonts w:ascii="Arial" w:cs="Arial" w:eastAsia="Arial" w:hAnsi="Arial"/>
          <w:sz w:val="14"/>
          <w:szCs w:val="14"/>
          <w:color w:val="auto"/>
        </w:rPr>
        <w:t>*</w:t>
      </w:r>
    </w:p>
    <w:p>
      <w:pPr>
        <w:spacing w:after="0" w:line="55" w:lineRule="exact"/>
        <w:rPr>
          <w:sz w:val="20"/>
          <w:szCs w:val="20"/>
          <w:color w:val="auto"/>
        </w:rPr>
      </w:pPr>
    </w:p>
    <w:p>
      <w:pPr>
        <w:spacing w:after="0"/>
        <w:tabs>
          <w:tab w:leader="none" w:pos="1800" w:val="left"/>
        </w:tabs>
        <w:rPr>
          <w:sz w:val="20"/>
          <w:szCs w:val="20"/>
          <w:color w:val="auto"/>
        </w:rPr>
      </w:pPr>
      <w:r>
        <w:rPr>
          <w:rFonts w:ascii="Arial" w:cs="Arial" w:eastAsia="Arial" w:hAnsi="Arial"/>
          <w:sz w:val="13"/>
          <w:szCs w:val="13"/>
          <w:color w:val="auto"/>
        </w:rPr>
        <w:t>591,049,499</w:t>
      </w:r>
      <w:r>
        <w:rPr>
          <w:sz w:val="20"/>
          <w:szCs w:val="20"/>
          <w:color w:val="auto"/>
        </w:rPr>
        <w:tab/>
      </w:r>
      <w:r>
        <w:rPr>
          <w:rFonts w:ascii="Arial" w:cs="Arial" w:eastAsia="Arial" w:hAnsi="Arial"/>
          <w:sz w:val="13"/>
          <w:szCs w:val="13"/>
          <w:color w:val="auto"/>
        </w:rPr>
        <w:t>27.0%</w:t>
      </w:r>
    </w:p>
    <w:p>
      <w:pPr>
        <w:spacing w:after="0" w:line="67" w:lineRule="exact"/>
        <w:rPr>
          <w:sz w:val="20"/>
          <w:szCs w:val="20"/>
          <w:color w:val="auto"/>
        </w:rPr>
      </w:pPr>
    </w:p>
    <w:p>
      <w:pPr>
        <w:ind w:left="80"/>
        <w:spacing w:after="0"/>
        <w:tabs>
          <w:tab w:leader="none" w:pos="2100" w:val="left"/>
        </w:tabs>
        <w:rPr>
          <w:sz w:val="20"/>
          <w:szCs w:val="20"/>
          <w:color w:val="auto"/>
        </w:rPr>
      </w:pPr>
      <w:r>
        <w:rPr>
          <w:rFonts w:ascii="Arial" w:cs="Arial" w:eastAsia="Arial" w:hAnsi="Arial"/>
          <w:sz w:val="14"/>
          <w:szCs w:val="14"/>
          <w:color w:val="auto"/>
        </w:rPr>
        <w:t>14,668,688</w:t>
      </w:r>
      <w:r>
        <w:rPr>
          <w:sz w:val="20"/>
          <w:szCs w:val="20"/>
          <w:color w:val="auto"/>
        </w:rPr>
        <w:tab/>
      </w:r>
      <w:r>
        <w:rPr>
          <w:rFonts w:ascii="Arial" w:cs="Arial" w:eastAsia="Arial" w:hAnsi="Arial"/>
          <w:sz w:val="14"/>
          <w:szCs w:val="14"/>
          <w:color w:val="auto"/>
        </w:rPr>
        <w:t>*</w:t>
      </w:r>
    </w:p>
    <w:p>
      <w:pPr>
        <w:spacing w:after="0" w:line="55" w:lineRule="exact"/>
        <w:rPr>
          <w:sz w:val="20"/>
          <w:szCs w:val="20"/>
          <w:color w:val="auto"/>
        </w:rPr>
      </w:pPr>
    </w:p>
    <w:p>
      <w:pPr>
        <w:ind w:left="260"/>
        <w:spacing w:after="0"/>
        <w:tabs>
          <w:tab w:leader="none" w:pos="2100" w:val="left"/>
        </w:tabs>
        <w:rPr>
          <w:sz w:val="20"/>
          <w:szCs w:val="20"/>
          <w:color w:val="auto"/>
        </w:rPr>
      </w:pPr>
      <w:r>
        <w:rPr>
          <w:rFonts w:ascii="Arial" w:cs="Arial" w:eastAsia="Arial" w:hAnsi="Arial"/>
          <w:sz w:val="14"/>
          <w:szCs w:val="14"/>
          <w:color w:val="auto"/>
        </w:rPr>
        <w:t>407,807</w:t>
      </w:r>
      <w:r>
        <w:rPr>
          <w:sz w:val="20"/>
          <w:szCs w:val="20"/>
          <w:color w:val="auto"/>
        </w:rPr>
        <w:tab/>
      </w:r>
      <w:r>
        <w:rPr>
          <w:rFonts w:ascii="Arial" w:cs="Arial" w:eastAsia="Arial" w:hAnsi="Arial"/>
          <w:sz w:val="14"/>
          <w:szCs w:val="14"/>
          <w:color w:val="auto"/>
        </w:rPr>
        <w:t>*</w:t>
      </w:r>
    </w:p>
    <w:p>
      <w:pPr>
        <w:spacing w:after="0" w:line="55" w:lineRule="exact"/>
        <w:rPr>
          <w:sz w:val="20"/>
          <w:szCs w:val="20"/>
          <w:color w:val="auto"/>
        </w:rPr>
      </w:pPr>
    </w:p>
    <w:p>
      <w:pPr>
        <w:ind w:left="340"/>
        <w:spacing w:after="0"/>
        <w:tabs>
          <w:tab w:leader="none" w:pos="2100" w:val="left"/>
        </w:tabs>
        <w:rPr>
          <w:sz w:val="20"/>
          <w:szCs w:val="20"/>
          <w:color w:val="auto"/>
        </w:rPr>
      </w:pPr>
      <w:r>
        <w:rPr>
          <w:rFonts w:ascii="Arial" w:cs="Arial" w:eastAsia="Arial" w:hAnsi="Arial"/>
          <w:sz w:val="14"/>
          <w:szCs w:val="14"/>
          <w:color w:val="auto"/>
        </w:rPr>
        <w:t>10,000</w:t>
      </w:r>
      <w:r>
        <w:rPr>
          <w:sz w:val="20"/>
          <w:szCs w:val="20"/>
          <w:color w:val="auto"/>
        </w:rPr>
        <w:tab/>
      </w:r>
      <w:r>
        <w:rPr>
          <w:rFonts w:ascii="Arial" w:cs="Arial" w:eastAsia="Arial" w:hAnsi="Arial"/>
          <w:sz w:val="14"/>
          <w:szCs w:val="14"/>
          <w:color w:val="auto"/>
        </w:rPr>
        <w:t>*</w:t>
      </w:r>
    </w:p>
    <w:p>
      <w:pPr>
        <w:spacing w:after="0" w:line="55" w:lineRule="exact"/>
        <w:rPr>
          <w:sz w:val="20"/>
          <w:szCs w:val="20"/>
          <w:color w:val="auto"/>
        </w:rPr>
      </w:pPr>
    </w:p>
    <w:p>
      <w:pPr>
        <w:ind w:left="80"/>
        <w:spacing w:after="0"/>
        <w:tabs>
          <w:tab w:leader="none" w:pos="2100" w:val="left"/>
        </w:tabs>
        <w:rPr>
          <w:sz w:val="20"/>
          <w:szCs w:val="20"/>
          <w:color w:val="auto"/>
        </w:rPr>
      </w:pPr>
      <w:r>
        <w:rPr>
          <w:rFonts w:ascii="Arial" w:cs="Arial" w:eastAsia="Arial" w:hAnsi="Arial"/>
          <w:sz w:val="14"/>
          <w:szCs w:val="14"/>
          <w:color w:val="auto"/>
        </w:rPr>
        <w:t>20,629,949</w:t>
      </w:r>
      <w:r>
        <w:rPr>
          <w:sz w:val="20"/>
          <w:szCs w:val="20"/>
          <w:color w:val="auto"/>
        </w:rPr>
        <w:tab/>
      </w:r>
      <w:r>
        <w:rPr>
          <w:rFonts w:ascii="Arial" w:cs="Arial" w:eastAsia="Arial" w:hAnsi="Arial"/>
          <w:sz w:val="14"/>
          <w:szCs w:val="14"/>
          <w:color w:val="auto"/>
        </w:rPr>
        <w:t>*</w:t>
      </w:r>
    </w:p>
    <w:p>
      <w:pPr>
        <w:spacing w:after="0" w:line="55" w:lineRule="exact"/>
        <w:rPr>
          <w:sz w:val="20"/>
          <w:szCs w:val="20"/>
          <w:color w:val="auto"/>
        </w:rPr>
      </w:pPr>
    </w:p>
    <w:p>
      <w:pPr>
        <w:ind w:left="340"/>
        <w:spacing w:after="0"/>
        <w:tabs>
          <w:tab w:leader="none" w:pos="2100" w:val="left"/>
        </w:tabs>
        <w:rPr>
          <w:sz w:val="20"/>
          <w:szCs w:val="20"/>
          <w:color w:val="auto"/>
        </w:rPr>
      </w:pPr>
      <w:r>
        <w:rPr>
          <w:rFonts w:ascii="Arial" w:cs="Arial" w:eastAsia="Arial" w:hAnsi="Arial"/>
          <w:sz w:val="14"/>
          <w:szCs w:val="14"/>
          <w:color w:val="auto"/>
        </w:rPr>
        <w:t>13,130</w:t>
      </w:r>
      <w:r>
        <w:rPr>
          <w:sz w:val="20"/>
          <w:szCs w:val="20"/>
          <w:color w:val="auto"/>
        </w:rPr>
        <w:tab/>
      </w:r>
      <w:r>
        <w:rPr>
          <w:rFonts w:ascii="Arial" w:cs="Arial" w:eastAsia="Arial" w:hAnsi="Arial"/>
          <w:sz w:val="14"/>
          <w:szCs w:val="14"/>
          <w:color w:val="auto"/>
        </w:rPr>
        <w:t>*</w:t>
      </w:r>
    </w:p>
    <w:p>
      <w:pPr>
        <w:spacing w:after="0" w:line="69" w:lineRule="exact"/>
        <w:rPr>
          <w:sz w:val="20"/>
          <w:szCs w:val="20"/>
          <w:color w:val="auto"/>
        </w:rPr>
      </w:pPr>
    </w:p>
    <w:p>
      <w:pPr>
        <w:spacing w:after="0"/>
        <w:tabs>
          <w:tab w:leader="none" w:pos="1800" w:val="left"/>
        </w:tabs>
        <w:rPr>
          <w:sz w:val="20"/>
          <w:szCs w:val="20"/>
          <w:color w:val="auto"/>
        </w:rPr>
      </w:pPr>
      <w:r>
        <w:rPr>
          <w:rFonts w:ascii="Arial" w:cs="Arial" w:eastAsia="Arial" w:hAnsi="Arial"/>
          <w:sz w:val="13"/>
          <w:szCs w:val="13"/>
          <w:color w:val="auto"/>
        </w:rPr>
        <w:t>701,533,776</w:t>
      </w:r>
      <w:r>
        <w:rPr>
          <w:sz w:val="20"/>
          <w:szCs w:val="20"/>
          <w:color w:val="auto"/>
        </w:rPr>
        <w:tab/>
      </w:r>
      <w:r>
        <w:rPr>
          <w:rFonts w:ascii="Arial" w:cs="Arial" w:eastAsia="Arial" w:hAnsi="Arial"/>
          <w:sz w:val="13"/>
          <w:szCs w:val="13"/>
          <w:color w:val="auto"/>
        </w:rPr>
        <w:t>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53975</wp:posOffset>
            </wp:positionV>
            <wp:extent cx="19812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8500" w:space="720"/>
            <w:col w:w="2200"/>
          </w:cols>
          <w:pgMar w:left="240" w:top="122" w:right="239" w:bottom="1440" w:gutter="0" w:footer="0" w:header="0"/>
          <w:type w:val="continuous"/>
        </w:sectPr>
      </w:pP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Represents a beneficial ownership of less than 1%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 w:lineRule="exact"/>
        <w:rPr>
          <w:sz w:val="20"/>
          <w:szCs w:val="20"/>
          <w:color w:val="auto"/>
        </w:rPr>
      </w:pPr>
    </w:p>
    <w:p>
      <w:pPr>
        <w:jc w:val="both"/>
        <w:ind w:left="580" w:hanging="572"/>
        <w:spacing w:after="0" w:line="224" w:lineRule="auto"/>
        <w:tabs>
          <w:tab w:leader="none" w:pos="5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Within 30 days after February 22, 2020, PubCo I (one of the Employee Partnerships) will be liquidated and expects to distribute to EPCO Holdings, Inc. (the Class A limited partner of PubCo I) a total number of common units having a fair market value equal to $63,746,647. Any remaining common units will be distributed in kind to the Class B limited partners of PubCo I (including the named executive officers specified in the table below), pro rata relative to their share in PubCo I.</w:t>
      </w:r>
    </w:p>
    <w:p>
      <w:pPr>
        <w:ind w:left="580" w:hanging="572"/>
        <w:spacing w:after="0" w:line="221" w:lineRule="auto"/>
        <w:tabs>
          <w:tab w:leader="none" w:pos="5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number of common units presented for Ms. Duncan Williams includes common units held by family trusts for which she serves as a director of an entity trustee but has disclaimed beneficial ownership (except to the extent of her pecuniary interest therein).</w:t>
      </w:r>
    </w:p>
    <w:p>
      <w:pPr>
        <w:ind w:left="580" w:hanging="572"/>
        <w:spacing w:after="0"/>
        <w:tabs>
          <w:tab w:leader="none" w:pos="5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number of common units presented for Ms. Duncan Williams includes 9,090 common units held by her spouse and 4,040 common units held jointly with her spouse.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35" w:name="page136"/>
    <w:bookmarkEnd w:id="1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EPCO and its privately held affiliates have pledged 108,222,618 of our common units that they own as security under their credit facilities. These credit facilities include customary provisions regarding potential events of default. As a result, a change in ownership of these units could result if an event of default ultimately occurred.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Amount and</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Positions with</w:t>
            </w:r>
          </w:p>
        </w:tc>
        <w:tc>
          <w:tcPr>
            <w:tcW w:w="1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Nature Of</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Enterprise GP</w:t>
            </w:r>
          </w:p>
        </w:tc>
        <w:tc>
          <w:tcPr>
            <w:tcW w:w="1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Beneficial</w:t>
            </w:r>
          </w:p>
        </w:tc>
        <w:tc>
          <w:tcPr>
            <w:tcW w:w="1220" w:type="dxa"/>
            <w:vAlign w:val="bottom"/>
          </w:tcPr>
          <w:p>
            <w:pPr>
              <w:jc w:val="right"/>
              <w:ind w:right="228"/>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208"/>
        </w:trPr>
        <w:tc>
          <w:tcPr>
            <w:tcW w:w="42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at February 19, 2020</w:t>
            </w:r>
          </w:p>
        </w:tc>
        <w:tc>
          <w:tcPr>
            <w:tcW w:w="2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2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Richard H. Bachmann (1)</w:t>
            </w:r>
          </w:p>
        </w:tc>
        <w:tc>
          <w:tcPr>
            <w:tcW w:w="38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4"/>
              </w:rPr>
              <w:t>Director and Vice Chairman of the Board</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1,595,636</w:t>
            </w: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420" w:type="dxa"/>
            <w:vAlign w:val="bottom"/>
            <w:gridSpan w:val="2"/>
            <w:vMerge w:val="restart"/>
          </w:tcPr>
          <w:p>
            <w:pPr>
              <w:spacing w:after="0"/>
              <w:rPr>
                <w:sz w:val="20"/>
                <w:szCs w:val="20"/>
                <w:color w:val="auto"/>
              </w:rPr>
            </w:pPr>
            <w:r>
              <w:rPr>
                <w:rFonts w:ascii="Arial" w:cs="Arial" w:eastAsia="Arial" w:hAnsi="Arial"/>
                <w:sz w:val="14"/>
                <w:szCs w:val="14"/>
                <w:color w:val="auto"/>
              </w:rPr>
              <w:t>A. James Teague (2,3)</w:t>
            </w:r>
          </w:p>
        </w:tc>
        <w:tc>
          <w:tcPr>
            <w:tcW w:w="38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6"/>
              </w:rPr>
              <w:t>Director and Co-CEO</w:t>
            </w:r>
          </w:p>
        </w:tc>
        <w:tc>
          <w:tcPr>
            <w:tcW w:w="1900" w:type="dxa"/>
            <w:vAlign w:val="bottom"/>
            <w:gridSpan w:val="2"/>
          </w:tcPr>
          <w:p>
            <w:pPr>
              <w:jc w:val="right"/>
              <w:ind w:right="260"/>
              <w:spacing w:after="0"/>
              <w:rPr>
                <w:sz w:val="20"/>
                <w:szCs w:val="20"/>
                <w:color w:val="auto"/>
              </w:rPr>
            </w:pPr>
            <w:r>
              <w:rPr>
                <w:rFonts w:ascii="Arial" w:cs="Arial" w:eastAsia="Arial" w:hAnsi="Arial"/>
                <w:sz w:val="14"/>
                <w:szCs w:val="14"/>
                <w:color w:val="auto"/>
              </w:rPr>
              <w:t>1,990,744</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4420" w:type="dxa"/>
            <w:vAlign w:val="bottom"/>
            <w:gridSpan w:val="2"/>
            <w:vMerge w:val="continue"/>
          </w:tcPr>
          <w:p>
            <w:pPr>
              <w:spacing w:after="0"/>
              <w:rPr>
                <w:sz w:val="2"/>
                <w:szCs w:val="2"/>
                <w:color w:val="auto"/>
              </w:rPr>
            </w:pPr>
          </w:p>
        </w:tc>
        <w:tc>
          <w:tcPr>
            <w:tcW w:w="3880" w:type="dxa"/>
            <w:vAlign w:val="bottom"/>
            <w:gridSpan w:val="2"/>
            <w:vMerge w:val="continue"/>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 Randall Fowler (2,4)</w:t>
            </w:r>
          </w:p>
        </w:tc>
        <w:tc>
          <w:tcPr>
            <w:tcW w:w="38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4"/>
              </w:rPr>
              <w:t>Director and Co-CEO and CFO</w:t>
            </w:r>
          </w:p>
        </w:tc>
        <w:tc>
          <w:tcPr>
            <w:tcW w:w="1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1,589,440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420" w:type="dxa"/>
            <w:vAlign w:val="bottom"/>
            <w:gridSpan w:val="2"/>
            <w:vMerge w:val="restart"/>
          </w:tcPr>
          <w:p>
            <w:pPr>
              <w:spacing w:after="0"/>
              <w:rPr>
                <w:sz w:val="20"/>
                <w:szCs w:val="20"/>
                <w:color w:val="auto"/>
              </w:rPr>
            </w:pPr>
            <w:r>
              <w:rPr>
                <w:rFonts w:ascii="Arial" w:cs="Arial" w:eastAsia="Arial" w:hAnsi="Arial"/>
                <w:sz w:val="14"/>
                <w:szCs w:val="14"/>
                <w:color w:val="auto"/>
              </w:rPr>
              <w:t>Carin M. Barth</w:t>
            </w:r>
          </w:p>
        </w:tc>
        <w:tc>
          <w:tcPr>
            <w:tcW w:w="38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7"/>
              </w:rPr>
              <w:t>Director</w:t>
            </w:r>
          </w:p>
        </w:tc>
        <w:tc>
          <w:tcPr>
            <w:tcW w:w="1900" w:type="dxa"/>
            <w:vAlign w:val="bottom"/>
            <w:gridSpan w:val="2"/>
          </w:tcPr>
          <w:p>
            <w:pPr>
              <w:jc w:val="right"/>
              <w:ind w:right="260"/>
              <w:spacing w:after="0"/>
              <w:rPr>
                <w:sz w:val="20"/>
                <w:szCs w:val="20"/>
                <w:color w:val="auto"/>
              </w:rPr>
            </w:pPr>
            <w:r>
              <w:rPr>
                <w:rFonts w:ascii="Arial" w:cs="Arial" w:eastAsia="Arial" w:hAnsi="Arial"/>
                <w:sz w:val="14"/>
                <w:szCs w:val="14"/>
                <w:color w:val="auto"/>
              </w:rPr>
              <w:t>47,693</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4420" w:type="dxa"/>
            <w:vAlign w:val="bottom"/>
            <w:gridSpan w:val="2"/>
            <w:vMerge w:val="continue"/>
          </w:tcPr>
          <w:p>
            <w:pPr>
              <w:spacing w:after="0"/>
              <w:rPr>
                <w:sz w:val="2"/>
                <w:szCs w:val="2"/>
                <w:color w:val="auto"/>
              </w:rPr>
            </w:pPr>
          </w:p>
        </w:tc>
        <w:tc>
          <w:tcPr>
            <w:tcW w:w="3880" w:type="dxa"/>
            <w:vAlign w:val="bottom"/>
            <w:gridSpan w:val="2"/>
            <w:vMerge w:val="continue"/>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Murray E. Brasseux (5)</w:t>
            </w:r>
          </w:p>
        </w:tc>
        <w:tc>
          <w:tcPr>
            <w:tcW w:w="38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7"/>
              </w:rPr>
              <w:t>Director</w:t>
            </w:r>
          </w:p>
        </w:tc>
        <w:tc>
          <w:tcPr>
            <w:tcW w:w="1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24,040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420" w:type="dxa"/>
            <w:vAlign w:val="bottom"/>
            <w:gridSpan w:val="2"/>
            <w:vMerge w:val="restart"/>
          </w:tcPr>
          <w:p>
            <w:pPr>
              <w:spacing w:after="0"/>
              <w:rPr>
                <w:sz w:val="20"/>
                <w:szCs w:val="20"/>
                <w:color w:val="auto"/>
              </w:rPr>
            </w:pPr>
            <w:r>
              <w:rPr>
                <w:rFonts w:ascii="Arial" w:cs="Arial" w:eastAsia="Arial" w:hAnsi="Arial"/>
                <w:sz w:val="14"/>
                <w:szCs w:val="14"/>
                <w:color w:val="auto"/>
              </w:rPr>
              <w:t>James T. Hackett (6)</w:t>
            </w:r>
          </w:p>
        </w:tc>
        <w:tc>
          <w:tcPr>
            <w:tcW w:w="38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7"/>
              </w:rPr>
              <w:t>Director</w:t>
            </w:r>
          </w:p>
        </w:tc>
        <w:tc>
          <w:tcPr>
            <w:tcW w:w="1900" w:type="dxa"/>
            <w:vAlign w:val="bottom"/>
            <w:gridSpan w:val="2"/>
          </w:tcPr>
          <w:p>
            <w:pPr>
              <w:jc w:val="right"/>
              <w:ind w:right="260"/>
              <w:spacing w:after="0"/>
              <w:rPr>
                <w:sz w:val="20"/>
                <w:szCs w:val="20"/>
                <w:color w:val="auto"/>
              </w:rPr>
            </w:pPr>
            <w:r>
              <w:rPr>
                <w:rFonts w:ascii="Arial" w:cs="Arial" w:eastAsia="Arial" w:hAnsi="Arial"/>
                <w:sz w:val="14"/>
                <w:szCs w:val="14"/>
                <w:color w:val="auto"/>
              </w:rPr>
              <w:t>275,851</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4420" w:type="dxa"/>
            <w:vAlign w:val="bottom"/>
            <w:gridSpan w:val="2"/>
            <w:vMerge w:val="continue"/>
          </w:tcPr>
          <w:p>
            <w:pPr>
              <w:spacing w:after="0"/>
              <w:rPr>
                <w:sz w:val="2"/>
                <w:szCs w:val="2"/>
                <w:color w:val="auto"/>
              </w:rPr>
            </w:pPr>
          </w:p>
        </w:tc>
        <w:tc>
          <w:tcPr>
            <w:tcW w:w="3880" w:type="dxa"/>
            <w:vAlign w:val="bottom"/>
            <w:gridSpan w:val="2"/>
            <w:vMerge w:val="continue"/>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William C. Montgomery</w:t>
            </w:r>
          </w:p>
        </w:tc>
        <w:tc>
          <w:tcPr>
            <w:tcW w:w="38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7"/>
              </w:rPr>
              <w:t>Director</w:t>
            </w:r>
          </w:p>
        </w:tc>
        <w:tc>
          <w:tcPr>
            <w:tcW w:w="1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53,193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420" w:type="dxa"/>
            <w:vAlign w:val="bottom"/>
            <w:gridSpan w:val="2"/>
            <w:vMerge w:val="restart"/>
          </w:tcPr>
          <w:p>
            <w:pPr>
              <w:spacing w:after="0"/>
              <w:rPr>
                <w:sz w:val="20"/>
                <w:szCs w:val="20"/>
                <w:color w:val="auto"/>
              </w:rPr>
            </w:pPr>
            <w:r>
              <w:rPr>
                <w:rFonts w:ascii="Arial" w:cs="Arial" w:eastAsia="Arial" w:hAnsi="Arial"/>
                <w:sz w:val="14"/>
                <w:szCs w:val="14"/>
                <w:color w:val="auto"/>
              </w:rPr>
              <w:t>John R. Rutherford</w:t>
            </w:r>
          </w:p>
        </w:tc>
        <w:tc>
          <w:tcPr>
            <w:tcW w:w="38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7"/>
              </w:rPr>
              <w:t>Director</w:t>
            </w:r>
          </w:p>
        </w:tc>
        <w:tc>
          <w:tcPr>
            <w:tcW w:w="1900" w:type="dxa"/>
            <w:vAlign w:val="bottom"/>
            <w:gridSpan w:val="2"/>
          </w:tcPr>
          <w:p>
            <w:pPr>
              <w:jc w:val="right"/>
              <w:ind w:right="260"/>
              <w:spacing w:after="0"/>
              <w:rPr>
                <w:sz w:val="20"/>
                <w:szCs w:val="20"/>
                <w:color w:val="auto"/>
              </w:rPr>
            </w:pPr>
            <w:r>
              <w:rPr>
                <w:rFonts w:ascii="Arial" w:cs="Arial" w:eastAsia="Arial" w:hAnsi="Arial"/>
                <w:sz w:val="14"/>
                <w:szCs w:val="14"/>
                <w:color w:val="auto"/>
              </w:rPr>
              <w:t>24,358</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4420" w:type="dxa"/>
            <w:vAlign w:val="bottom"/>
            <w:gridSpan w:val="2"/>
            <w:vMerge w:val="continue"/>
          </w:tcPr>
          <w:p>
            <w:pPr>
              <w:spacing w:after="0"/>
              <w:rPr>
                <w:sz w:val="2"/>
                <w:szCs w:val="2"/>
                <w:color w:val="auto"/>
              </w:rPr>
            </w:pPr>
          </w:p>
        </w:tc>
        <w:tc>
          <w:tcPr>
            <w:tcW w:w="3880" w:type="dxa"/>
            <w:vAlign w:val="bottom"/>
            <w:gridSpan w:val="2"/>
            <w:vMerge w:val="continue"/>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Richard S. Snell (7)</w:t>
            </w:r>
          </w:p>
        </w:tc>
        <w:tc>
          <w:tcPr>
            <w:tcW w:w="38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7"/>
              </w:rPr>
              <w:t>Director</w:t>
            </w:r>
          </w:p>
        </w:tc>
        <w:tc>
          <w:tcPr>
            <w:tcW w:w="1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75,735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3"/>
              </w:rPr>
              <w:t>Director and Executive Vice President,</w:t>
            </w:r>
          </w:p>
        </w:tc>
        <w:tc>
          <w:tcPr>
            <w:tcW w:w="1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20" w:type="dxa"/>
            <w:vAlign w:val="bottom"/>
            <w:gridSpan w:val="2"/>
          </w:tcPr>
          <w:p>
            <w:pPr>
              <w:spacing w:after="0"/>
              <w:rPr>
                <w:sz w:val="20"/>
                <w:szCs w:val="20"/>
                <w:color w:val="auto"/>
              </w:rPr>
            </w:pPr>
            <w:r>
              <w:rPr>
                <w:rFonts w:ascii="Arial" w:cs="Arial" w:eastAsia="Arial" w:hAnsi="Arial"/>
                <w:sz w:val="14"/>
                <w:szCs w:val="14"/>
                <w:color w:val="auto"/>
              </w:rPr>
              <w:t>Harry P. Weitzel (2)</w:t>
            </w:r>
          </w:p>
        </w:tc>
        <w:tc>
          <w:tcPr>
            <w:tcW w:w="38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General Counsel and Secretary</w:t>
            </w:r>
          </w:p>
        </w:tc>
        <w:tc>
          <w:tcPr>
            <w:tcW w:w="1900" w:type="dxa"/>
            <w:vAlign w:val="bottom"/>
            <w:gridSpan w:val="2"/>
          </w:tcPr>
          <w:p>
            <w:pPr>
              <w:jc w:val="right"/>
              <w:ind w:right="260"/>
              <w:spacing w:after="0"/>
              <w:rPr>
                <w:sz w:val="20"/>
                <w:szCs w:val="20"/>
                <w:color w:val="auto"/>
              </w:rPr>
            </w:pPr>
            <w:r>
              <w:rPr>
                <w:rFonts w:ascii="Arial" w:cs="Arial" w:eastAsia="Arial" w:hAnsi="Arial"/>
                <w:sz w:val="14"/>
                <w:szCs w:val="14"/>
                <w:color w:val="auto"/>
              </w:rPr>
              <w:t>82,840</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Executive Vice President and</w:t>
            </w:r>
          </w:p>
        </w:tc>
        <w:tc>
          <w:tcPr>
            <w:tcW w:w="1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Graham W. Bacon (2,8)</w:t>
            </w:r>
          </w:p>
        </w:tc>
        <w:tc>
          <w:tcPr>
            <w:tcW w:w="38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6"/>
              </w:rPr>
              <w:t>Chief Operating Officer</w:t>
            </w:r>
          </w:p>
        </w:tc>
        <w:tc>
          <w:tcPr>
            <w:tcW w:w="1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281,467</w:t>
            </w: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2"/>
              </w:rPr>
              <w:t>Executive Vice President and</w:t>
            </w:r>
          </w:p>
        </w:tc>
        <w:tc>
          <w:tcPr>
            <w:tcW w:w="1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4420" w:type="dxa"/>
            <w:vAlign w:val="bottom"/>
            <w:gridSpan w:val="2"/>
          </w:tcPr>
          <w:p>
            <w:pPr>
              <w:spacing w:after="0"/>
              <w:rPr>
                <w:sz w:val="20"/>
                <w:szCs w:val="20"/>
                <w:color w:val="auto"/>
              </w:rPr>
            </w:pPr>
            <w:r>
              <w:rPr>
                <w:rFonts w:ascii="Arial" w:cs="Arial" w:eastAsia="Arial" w:hAnsi="Arial"/>
                <w:sz w:val="14"/>
                <w:szCs w:val="14"/>
                <w:color w:val="auto"/>
              </w:rPr>
              <w:t>Brent B. Secrest (2)</w:t>
            </w:r>
          </w:p>
        </w:tc>
        <w:tc>
          <w:tcPr>
            <w:tcW w:w="388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Chief Commercial Officer</w:t>
            </w:r>
          </w:p>
        </w:tc>
        <w:tc>
          <w:tcPr>
            <w:tcW w:w="1900" w:type="dxa"/>
            <w:vAlign w:val="bottom"/>
            <w:gridSpan w:val="2"/>
          </w:tcPr>
          <w:p>
            <w:pPr>
              <w:jc w:val="right"/>
              <w:ind w:right="260"/>
              <w:spacing w:after="0"/>
              <w:rPr>
                <w:sz w:val="20"/>
                <w:szCs w:val="20"/>
                <w:color w:val="auto"/>
              </w:rPr>
            </w:pPr>
            <w:r>
              <w:rPr>
                <w:rFonts w:ascii="Arial" w:cs="Arial" w:eastAsia="Arial" w:hAnsi="Arial"/>
                <w:sz w:val="14"/>
                <w:szCs w:val="14"/>
                <w:color w:val="auto"/>
              </w:rPr>
              <w:t>90,163</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William Ordemann (2,9)</w:t>
            </w:r>
          </w:p>
        </w:tc>
        <w:tc>
          <w:tcPr>
            <w:tcW w:w="38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4"/>
              </w:rPr>
              <w:t>Former Executive Vice President</w:t>
            </w:r>
          </w:p>
        </w:tc>
        <w:tc>
          <w:tcPr>
            <w:tcW w:w="1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997,563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420" w:type="dxa"/>
            <w:vAlign w:val="bottom"/>
            <w:gridSpan w:val="2"/>
          </w:tcPr>
          <w:p>
            <w:pPr>
              <w:spacing w:after="0" w:line="130" w:lineRule="exact"/>
              <w:rPr>
                <w:sz w:val="20"/>
                <w:szCs w:val="20"/>
                <w:color w:val="auto"/>
              </w:rPr>
            </w:pPr>
            <w:r>
              <w:rPr>
                <w:rFonts w:ascii="Arial" w:cs="Arial" w:eastAsia="Arial" w:hAnsi="Arial"/>
                <w:sz w:val="14"/>
                <w:szCs w:val="14"/>
                <w:color w:val="auto"/>
              </w:rPr>
              <w:t>All directors and executive officers (including all named executive</w:t>
            </w:r>
          </w:p>
        </w:tc>
        <w:tc>
          <w:tcPr>
            <w:tcW w:w="3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420" w:type="dxa"/>
            <w:vAlign w:val="bottom"/>
            <w:gridSpan w:val="2"/>
          </w:tcPr>
          <w:p>
            <w:pPr>
              <w:spacing w:after="0"/>
              <w:rPr>
                <w:sz w:val="20"/>
                <w:szCs w:val="20"/>
                <w:color w:val="auto"/>
              </w:rPr>
            </w:pPr>
            <w:r>
              <w:rPr>
                <w:rFonts w:ascii="Arial" w:cs="Arial" w:eastAsia="Arial" w:hAnsi="Arial"/>
                <w:sz w:val="14"/>
                <w:szCs w:val="14"/>
                <w:color w:val="auto"/>
              </w:rPr>
              <w:t>officers) of Enterprise GP, as a group (18 individuals in total)</w:t>
            </w:r>
          </w:p>
        </w:tc>
        <w:tc>
          <w:tcPr>
            <w:tcW w:w="3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2"/>
          </w:tcPr>
          <w:p>
            <w:pPr>
              <w:jc w:val="right"/>
              <w:ind w:right="260"/>
              <w:spacing w:after="0"/>
              <w:rPr>
                <w:sz w:val="20"/>
                <w:szCs w:val="20"/>
                <w:color w:val="auto"/>
              </w:rPr>
            </w:pPr>
            <w:r>
              <w:rPr>
                <w:rFonts w:ascii="Arial" w:cs="Arial" w:eastAsia="Arial" w:hAnsi="Arial"/>
                <w:sz w:val="14"/>
                <w:szCs w:val="14"/>
                <w:color w:val="auto"/>
              </w:rPr>
              <w:t>708,966,076</w:t>
            </w:r>
          </w:p>
        </w:tc>
        <w:tc>
          <w:tcPr>
            <w:tcW w:w="1220" w:type="dxa"/>
            <w:vAlign w:val="bottom"/>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Represents a beneficial ownership of less than 1%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80" w:hanging="572"/>
        <w:spacing w:after="0"/>
        <w:tabs>
          <w:tab w:leader="none" w:pos="5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number of common units presented for Mr. Bachmann includes 9,588 common units held by his spouse.</w:t>
      </w:r>
    </w:p>
    <w:p>
      <w:pPr>
        <w:ind w:left="580" w:hanging="572"/>
        <w:spacing w:after="0" w:line="221" w:lineRule="auto"/>
        <w:tabs>
          <w:tab w:leader="none" w:pos="5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These individuals are named executive officers for the year ended December 31, 2019.</w:t>
      </w:r>
    </w:p>
    <w:p>
      <w:pPr>
        <w:ind w:left="580" w:hanging="572"/>
        <w:spacing w:after="0" w:line="221" w:lineRule="auto"/>
        <w:tabs>
          <w:tab w:leader="none" w:pos="5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number of common units presented for Mr. Teague includes (i) 56,721 common units held by a trust and (ii) 37,175 common units held by his spouse. The number of common units presented for Mr. Teague (a Class B limited partner in PubCo I) does not include any common units that he may receive upon liquidation of PubCo I.</w:t>
      </w:r>
    </w:p>
    <w:p>
      <w:pPr>
        <w:ind w:left="580" w:right="20" w:hanging="572"/>
        <w:spacing w:after="0" w:line="221" w:lineRule="auto"/>
        <w:tabs>
          <w:tab w:leader="none" w:pos="5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number of common units presented for Mr. Fowler includes 605,927 common units held by a family limited partnership (for which he has disclaimed beneficial ownership except to the extent of his pecuniary interest).</w:t>
      </w:r>
    </w:p>
    <w:p>
      <w:pPr>
        <w:ind w:left="580" w:hanging="572"/>
        <w:spacing w:after="0" w:line="221" w:lineRule="auto"/>
        <w:tabs>
          <w:tab w:leader="none" w:pos="5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number of common units presented for Mr. Brasseux includes 2,882 common units held by his spouse.</w:t>
      </w:r>
    </w:p>
    <w:p>
      <w:pPr>
        <w:ind w:left="580" w:hanging="572"/>
        <w:spacing w:after="0" w:line="221" w:lineRule="auto"/>
        <w:tabs>
          <w:tab w:leader="none" w:pos="5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number of common units presented for Mr. Hackett includes (i) 9,661 common units held by family trusts and (ii) 33,000 common units held by a family limited partnership.</w:t>
      </w:r>
    </w:p>
    <w:p>
      <w:pPr>
        <w:ind w:left="580" w:hanging="572"/>
        <w:spacing w:after="0" w:line="221" w:lineRule="auto"/>
        <w:tabs>
          <w:tab w:leader="none" w:pos="5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number of common units presented for Mr. Snell includes 2,956 common units held by his spouse.</w:t>
      </w:r>
    </w:p>
    <w:p>
      <w:pPr>
        <w:ind w:left="580" w:hanging="572"/>
        <w:spacing w:after="0"/>
        <w:tabs>
          <w:tab w:leader="none" w:pos="5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number of common units presented for Mr. Bacon (a Class B limited partner in PubCo I) does not include any common units that he may receive upon liquidation of PubCo I.</w:t>
      </w:r>
    </w:p>
    <w:p>
      <w:pPr>
        <w:ind w:left="580" w:hanging="572"/>
        <w:spacing w:after="0" w:line="237" w:lineRule="auto"/>
        <w:tabs>
          <w:tab w:leader="none" w:pos="5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ownership information presented is based on Mr. Ordemann’s reported holdings of our common units immediately prior to his retirement. Mr. Ordemann retired effective August 16, 2019.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Ownership Guidelines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further align the interests and actions of our general partner’s directors and executive officers with our long-term interests and those of our general partner and other unitholders, the Board has adopted and approved certain equity ownership guidelines for our general partner’s directors and executive officers. Under these guidelines:</w:t>
      </w:r>
    </w:p>
    <w:p>
      <w:pPr>
        <w:spacing w:after="0" w:line="208" w:lineRule="exact"/>
        <w:rPr>
          <w:sz w:val="20"/>
          <w:szCs w:val="20"/>
          <w:color w:val="auto"/>
        </w:rPr>
      </w:pPr>
    </w:p>
    <w:p>
      <w:pPr>
        <w:jc w:val="both"/>
        <w:ind w:left="500" w:hanging="330"/>
        <w:spacing w:after="0" w:line="212" w:lineRule="auto"/>
        <w:tabs>
          <w:tab w:leader="none" w:pos="500" w:val="left"/>
        </w:tabs>
        <w:numPr>
          <w:ilvl w:val="0"/>
          <w:numId w:val="80"/>
        </w:numPr>
        <w:rPr>
          <w:rFonts w:ascii="Arial" w:cs="Arial" w:eastAsia="Arial" w:hAnsi="Arial"/>
          <w:sz w:val="29"/>
          <w:szCs w:val="29"/>
          <w:color w:val="auto"/>
          <w:vertAlign w:val="superscript"/>
        </w:rPr>
      </w:pPr>
      <w:r>
        <w:rPr>
          <w:rFonts w:ascii="Arial" w:cs="Arial" w:eastAsia="Arial" w:hAnsi="Arial"/>
          <w:sz w:val="18"/>
          <w:szCs w:val="18"/>
          <w:color w:val="auto"/>
        </w:rPr>
        <w:t>each non-management director of our general partner is required to own Enterprise common units having an aggregate value (as defined in the guidelines) of three times the dollar amount of such non-management director’s aggregate annual cash retainer for service on the Board for the most recently completed calendar year; and</w:t>
      </w:r>
    </w:p>
    <w:p>
      <w:pPr>
        <w:spacing w:after="0" w:line="231" w:lineRule="exact"/>
        <w:rPr>
          <w:rFonts w:ascii="Arial" w:cs="Arial" w:eastAsia="Arial" w:hAnsi="Arial"/>
          <w:sz w:val="29"/>
          <w:szCs w:val="29"/>
          <w:color w:val="auto"/>
          <w:vertAlign w:val="superscript"/>
        </w:rPr>
      </w:pPr>
    </w:p>
    <w:p>
      <w:pPr>
        <w:ind w:left="500" w:right="20" w:hanging="330"/>
        <w:spacing w:after="0" w:line="221" w:lineRule="auto"/>
        <w:tabs>
          <w:tab w:leader="none" w:pos="500" w:val="left"/>
        </w:tabs>
        <w:numPr>
          <w:ilvl w:val="0"/>
          <w:numId w:val="80"/>
        </w:numPr>
        <w:rPr>
          <w:rFonts w:ascii="Arial" w:cs="Arial" w:eastAsia="Arial" w:hAnsi="Arial"/>
          <w:sz w:val="26"/>
          <w:szCs w:val="26"/>
          <w:color w:val="auto"/>
          <w:vertAlign w:val="superscript"/>
        </w:rPr>
      </w:pPr>
      <w:r>
        <w:rPr>
          <w:rFonts w:ascii="Arial" w:cs="Arial" w:eastAsia="Arial" w:hAnsi="Arial"/>
          <w:sz w:val="16"/>
          <w:szCs w:val="16"/>
          <w:color w:val="auto"/>
        </w:rPr>
        <w:t>each executive officer of our general partner is required to own Enterprise common units having an aggregate value (as defined in the guidelines) of three times the dollar amount of such executive officer’s aggregate annual base salary for the most recently completed calendar year.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6" w:name="page137"/>
    <w:bookmarkEnd w:id="1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2008 Plan is EPCO’s only long-term incentive plan under which our common units have been authorized for issuance. The 2008 Plan provides for awards of our common units and other rights to our non-management directors and to consultants and employees of EPCO and its affiliates providing services to us. Awards under the 2008 Plan may be granted in the form of unit options, restricted common units, phantom units, UARs, DERs, unit awards and other unit-based awards or substitute awards.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2008 Plan as of January 1,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2860" w:type="dxa"/>
            <w:vAlign w:val="bottom"/>
          </w:tcPr>
          <w:p>
            <w:pPr>
              <w:jc w:val="center"/>
              <w:ind w:left="968"/>
              <w:spacing w:after="0"/>
              <w:rPr>
                <w:sz w:val="20"/>
                <w:szCs w:val="20"/>
                <w:color w:val="auto"/>
              </w:rPr>
            </w:pPr>
            <w:r>
              <w:rPr>
                <w:rFonts w:ascii="Arial" w:cs="Arial" w:eastAsia="Arial" w:hAnsi="Arial"/>
                <w:sz w:val="14"/>
                <w:szCs w:val="14"/>
                <w:b w:val="1"/>
                <w:bCs w:val="1"/>
                <w:color w:val="auto"/>
                <w:w w:val="94"/>
              </w:rPr>
              <w:t>Number of</w:t>
            </w:r>
          </w:p>
        </w:tc>
        <w:tc>
          <w:tcPr>
            <w:tcW w:w="18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Future Issuance</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2860" w:type="dxa"/>
            <w:vAlign w:val="bottom"/>
          </w:tcPr>
          <w:p>
            <w:pPr>
              <w:jc w:val="center"/>
              <w:ind w:left="968"/>
              <w:spacing w:after="0"/>
              <w:rPr>
                <w:sz w:val="20"/>
                <w:szCs w:val="20"/>
                <w:color w:val="auto"/>
              </w:rPr>
            </w:pPr>
            <w:r>
              <w:rPr>
                <w:rFonts w:ascii="Arial" w:cs="Arial" w:eastAsia="Arial" w:hAnsi="Arial"/>
                <w:sz w:val="14"/>
                <w:szCs w:val="14"/>
                <w:b w:val="1"/>
                <w:bCs w:val="1"/>
                <w:color w:val="auto"/>
                <w:w w:val="95"/>
              </w:rPr>
              <w:t>Units to</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2860" w:type="dxa"/>
            <w:vAlign w:val="bottom"/>
          </w:tcPr>
          <w:p>
            <w:pPr>
              <w:jc w:val="center"/>
              <w:ind w:left="968"/>
              <w:spacing w:after="0"/>
              <w:rPr>
                <w:sz w:val="20"/>
                <w:szCs w:val="20"/>
                <w:color w:val="auto"/>
              </w:rPr>
            </w:pPr>
            <w:r>
              <w:rPr>
                <w:rFonts w:ascii="Arial" w:cs="Arial" w:eastAsia="Arial" w:hAnsi="Arial"/>
                <w:sz w:val="14"/>
                <w:szCs w:val="14"/>
                <w:b w:val="1"/>
                <w:bCs w:val="1"/>
                <w:color w:val="auto"/>
                <w:w w:val="87"/>
              </w:rPr>
              <w:t>Be Issued</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2860" w:type="dxa"/>
            <w:vAlign w:val="bottom"/>
          </w:tcPr>
          <w:p>
            <w:pPr>
              <w:jc w:val="center"/>
              <w:ind w:left="968"/>
              <w:spacing w:after="0"/>
              <w:rPr>
                <w:sz w:val="20"/>
                <w:szCs w:val="20"/>
                <w:color w:val="auto"/>
              </w:rPr>
            </w:pPr>
            <w:r>
              <w:rPr>
                <w:rFonts w:ascii="Arial" w:cs="Arial" w:eastAsia="Arial" w:hAnsi="Arial"/>
                <w:sz w:val="14"/>
                <w:szCs w:val="14"/>
                <w:b w:val="1"/>
                <w:bCs w:val="1"/>
                <w:color w:val="auto"/>
                <w:w w:val="92"/>
              </w:rPr>
              <w:t>Upon Exercise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9"/>
              </w:rPr>
              <w:t>Plans (excluding</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2860" w:type="dxa"/>
            <w:vAlign w:val="bottom"/>
          </w:tcPr>
          <w:p>
            <w:pPr>
              <w:jc w:val="center"/>
              <w:ind w:left="968"/>
              <w:spacing w:after="0"/>
              <w:rPr>
                <w:sz w:val="20"/>
                <w:szCs w:val="20"/>
                <w:color w:val="auto"/>
              </w:rPr>
            </w:pPr>
            <w:r>
              <w:rPr>
                <w:rFonts w:ascii="Arial" w:cs="Arial" w:eastAsia="Arial" w:hAnsi="Arial"/>
                <w:sz w:val="14"/>
                <w:szCs w:val="14"/>
                <w:b w:val="1"/>
                <w:bCs w:val="1"/>
                <w:color w:val="auto"/>
                <w:w w:val="94"/>
              </w:rPr>
              <w:t>of Outstanding</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2"/>
              </w:rPr>
              <w:t>of Outstanding</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78"/>
        </w:trPr>
        <w:tc>
          <w:tcPr>
            <w:tcW w:w="488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Plan Category</w:t>
            </w:r>
          </w:p>
        </w:tc>
        <w:tc>
          <w:tcPr>
            <w:tcW w:w="2860" w:type="dxa"/>
            <w:vAlign w:val="bottom"/>
          </w:tcPr>
          <w:p>
            <w:pPr>
              <w:jc w:val="center"/>
              <w:ind w:left="968"/>
              <w:spacing w:after="0"/>
              <w:rPr>
                <w:sz w:val="20"/>
                <w:szCs w:val="20"/>
                <w:color w:val="auto"/>
              </w:rPr>
            </w:pPr>
            <w:r>
              <w:rPr>
                <w:rFonts w:ascii="Arial" w:cs="Arial" w:eastAsia="Arial" w:hAnsi="Arial"/>
                <w:sz w:val="14"/>
                <w:szCs w:val="14"/>
                <w:b w:val="1"/>
                <w:bCs w:val="1"/>
                <w:color w:val="auto"/>
                <w:w w:val="93"/>
              </w:rPr>
              <w:t>Common Unit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5"/>
              </w:rPr>
              <w:t>Common Unit</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78"/>
        </w:trPr>
        <w:tc>
          <w:tcPr>
            <w:tcW w:w="4880" w:type="dxa"/>
            <w:vAlign w:val="bottom"/>
            <w:tcBorders>
              <w:bottom w:val="single" w:sz="8" w:color="auto"/>
            </w:tcBorders>
            <w:vMerge w:val="continue"/>
          </w:tcPr>
          <w:p>
            <w:pPr>
              <w:spacing w:after="0"/>
              <w:rPr>
                <w:sz w:val="15"/>
                <w:szCs w:val="15"/>
                <w:color w:val="auto"/>
              </w:rPr>
            </w:pPr>
          </w:p>
        </w:tc>
        <w:tc>
          <w:tcPr>
            <w:tcW w:w="2860" w:type="dxa"/>
            <w:vAlign w:val="bottom"/>
            <w:tcBorders>
              <w:bottom w:val="single" w:sz="8" w:color="auto"/>
            </w:tcBorders>
          </w:tcPr>
          <w:p>
            <w:pPr>
              <w:jc w:val="center"/>
              <w:ind w:left="968"/>
              <w:spacing w:after="0"/>
              <w:rPr>
                <w:sz w:val="20"/>
                <w:szCs w:val="20"/>
                <w:color w:val="auto"/>
              </w:rPr>
            </w:pPr>
            <w:r>
              <w:rPr>
                <w:rFonts w:ascii="Arial" w:cs="Arial" w:eastAsia="Arial" w:hAnsi="Arial"/>
                <w:sz w:val="14"/>
                <w:szCs w:val="14"/>
                <w:b w:val="1"/>
                <w:bCs w:val="1"/>
                <w:color w:val="auto"/>
                <w:w w:val="94"/>
              </w:rPr>
              <w:t>Options</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231"/>
        </w:trPr>
        <w:tc>
          <w:tcPr>
            <w:tcW w:w="4880" w:type="dxa"/>
            <w:vAlign w:val="bottom"/>
          </w:tcPr>
          <w:p>
            <w:pPr>
              <w:spacing w:after="0"/>
              <w:rPr>
                <w:sz w:val="20"/>
                <w:szCs w:val="20"/>
                <w:color w:val="auto"/>
              </w:rPr>
            </w:pPr>
          </w:p>
        </w:tc>
        <w:tc>
          <w:tcPr>
            <w:tcW w:w="2860" w:type="dxa"/>
            <w:vAlign w:val="bottom"/>
          </w:tcPr>
          <w:p>
            <w:pPr>
              <w:jc w:val="center"/>
              <w:ind w:left="968"/>
              <w:spacing w:after="0"/>
              <w:rPr>
                <w:sz w:val="20"/>
                <w:szCs w:val="20"/>
                <w:color w:val="auto"/>
              </w:rPr>
            </w:pPr>
            <w:r>
              <w:rPr>
                <w:rFonts w:ascii="Arial" w:cs="Arial" w:eastAsia="Arial" w:hAnsi="Arial"/>
                <w:sz w:val="14"/>
                <w:szCs w:val="14"/>
                <w:b w:val="1"/>
                <w:bCs w:val="1"/>
                <w:color w:val="auto"/>
              </w:rPr>
              <w:t>(a)</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bl>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00" w:type="dxa"/>
            <w:vAlign w:val="bottom"/>
          </w:tcPr>
          <w:p>
            <w:pPr>
              <w:spacing w:after="0"/>
              <w:rPr>
                <w:sz w:val="20"/>
                <w:szCs w:val="20"/>
                <w:color w:val="auto"/>
              </w:rPr>
            </w:pPr>
            <w:r>
              <w:rPr>
                <w:rFonts w:ascii="Arial" w:cs="Arial" w:eastAsia="Arial" w:hAnsi="Arial"/>
                <w:sz w:val="14"/>
                <w:szCs w:val="14"/>
                <w:color w:val="auto"/>
              </w:rPr>
              <w:t>Equity compensation plans approved by unitholders:</w:t>
            </w:r>
          </w:p>
        </w:tc>
        <w:tc>
          <w:tcPr>
            <w:tcW w:w="1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49"/>
        </w:trPr>
        <w:tc>
          <w:tcPr>
            <w:tcW w:w="5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2008 Plan (1)</w:t>
            </w:r>
          </w:p>
        </w:tc>
        <w:tc>
          <w:tcPr>
            <w:tcW w:w="1840" w:type="dxa"/>
            <w:vAlign w:val="bottom"/>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22,106,468</w:t>
            </w:r>
          </w:p>
        </w:tc>
      </w:tr>
      <w:tr>
        <w:trPr>
          <w:trHeight w:val="216"/>
        </w:trPr>
        <w:tc>
          <w:tcPr>
            <w:tcW w:w="5900" w:type="dxa"/>
            <w:vAlign w:val="bottom"/>
          </w:tcPr>
          <w:p>
            <w:pPr>
              <w:spacing w:after="0"/>
              <w:rPr>
                <w:sz w:val="20"/>
                <w:szCs w:val="20"/>
                <w:color w:val="auto"/>
              </w:rPr>
            </w:pPr>
            <w:r>
              <w:rPr>
                <w:rFonts w:ascii="Arial" w:cs="Arial" w:eastAsia="Arial" w:hAnsi="Arial"/>
                <w:sz w:val="14"/>
                <w:szCs w:val="14"/>
                <w:color w:val="auto"/>
              </w:rPr>
              <w:t>Equity compensation plans not approved by unitholders:</w:t>
            </w:r>
          </w:p>
        </w:tc>
        <w:tc>
          <w:tcPr>
            <w:tcW w:w="1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56"/>
        </w:trPr>
        <w:tc>
          <w:tcPr>
            <w:tcW w:w="5900" w:type="dxa"/>
            <w:vAlign w:val="bottom"/>
            <w:tcBorders>
              <w:bottom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None</w:t>
            </w:r>
          </w:p>
        </w:tc>
        <w:tc>
          <w:tcPr>
            <w:tcW w:w="1840" w:type="dxa"/>
            <w:vAlign w:val="bottom"/>
            <w:tcBorders>
              <w:bottom w:val="single" w:sz="8" w:color="auto"/>
            </w:tcBorders>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900" w:type="dxa"/>
            <w:vAlign w:val="bottom"/>
          </w:tcPr>
          <w:p>
            <w:pPr>
              <w:spacing w:after="0" w:line="129" w:lineRule="exact"/>
              <w:rPr>
                <w:sz w:val="20"/>
                <w:szCs w:val="20"/>
                <w:color w:val="auto"/>
              </w:rPr>
            </w:pPr>
            <w:r>
              <w:rPr>
                <w:rFonts w:ascii="Arial" w:cs="Arial" w:eastAsia="Arial" w:hAnsi="Arial"/>
                <w:sz w:val="14"/>
                <w:szCs w:val="14"/>
                <w:color w:val="auto"/>
              </w:rPr>
              <w:t>Total for equity compensation plans</w:t>
            </w:r>
          </w:p>
        </w:tc>
        <w:tc>
          <w:tcPr>
            <w:tcW w:w="1840" w:type="dxa"/>
            <w:vAlign w:val="bottom"/>
            <w:tcBorders>
              <w:bottom w:val="single" w:sz="8" w:color="auto"/>
            </w:tcBorders>
          </w:tcPr>
          <w:p>
            <w:pPr>
              <w:ind w:left="900"/>
              <w:spacing w:after="0" w:line="129" w:lineRule="exact"/>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tcPr>
          <w:p>
            <w:pPr>
              <w:ind w:left="880"/>
              <w:spacing w:after="0" w:line="129"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22,106,468</w:t>
            </w:r>
          </w:p>
        </w:tc>
      </w:tr>
      <w:tr>
        <w:trPr>
          <w:trHeight w:val="21"/>
        </w:trPr>
        <w:tc>
          <w:tcPr>
            <w:tcW w:w="59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jc w:val="both"/>
        <w:ind w:left="380" w:hanging="372"/>
        <w:spacing w:after="0" w:line="238" w:lineRule="auto"/>
        <w:tabs>
          <w:tab w:leader="none" w:pos="3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At December 31, 2019, the total number of common units authorized for issuance under the 2008 Plan was 50,000,000 common units. This amount increased by 5,000,000 common units on January 1, 2020 and will increase by an additional 5,000,000 common units subsequently on each January 1 thereafter during the term of the 2008 Plan; provided, however, that in no event shall the maximum aggregate amount available for issuance under the 2008 Plan exceed 70,000,000 common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7" w:name="page138"/>
    <w:bookmarkEnd w:id="1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DIRECTOR INDEPENDENCE.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the terms and provisions of our related party agreements are fair to us; however, such agreements and transactions may not be as favorable to us as we could have obtained from unaffiliated third parties.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information regarding our related party transactions is set forth in Note 15 of the Notes to Consolidated Financial Statements included under Part II, Item 8 of this annual report and is incorporated by reference into this Part III, Item 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Transactions with Related Parties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consider transactions between us and our subsidiaries and unconsolidated affiliates, on the one hand, and our executive officers and directors (or their immediate family members), Enterprise GP or its affiliates (including other companies owned or controlled by the DD LLC Trustees or the EPCO Trustees), on the other hand, to be related party transactions. As further described below, our partnership agreement sets forth general procedures by which related party transactions and conflicts of interest may be approved or resolved by Enterprise GP or its Audit and Conflicts Committee. In addition, the Audit and Conflicts Committee charter, Enterprise GP’s written internal review and approval policies and procedures (referred to as its “management authorization policy”) and the amended and restated ASA with EPCO address specific types of related party transactions, as further described below.</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Audit and Conflicts Committee is comprised of four independent directors: Messrs. Brasseux, Montgomery, Rutherford and Snell. In accordance with its charter, the Audit and Conflicts Committee reviews and approves related party transactions:</w:t>
      </w:r>
    </w:p>
    <w:p>
      <w:pPr>
        <w:spacing w:after="0" w:line="197" w:lineRule="exact"/>
        <w:rPr>
          <w:sz w:val="20"/>
          <w:szCs w:val="20"/>
          <w:color w:val="auto"/>
        </w:rPr>
      </w:pPr>
    </w:p>
    <w:p>
      <w:pPr>
        <w:ind w:left="500" w:hanging="330"/>
        <w:spacing w:after="0" w:line="198" w:lineRule="auto"/>
        <w:tabs>
          <w:tab w:leader="none" w:pos="500" w:val="left"/>
        </w:tabs>
        <w:numPr>
          <w:ilvl w:val="0"/>
          <w:numId w:val="82"/>
        </w:numPr>
        <w:rPr>
          <w:rFonts w:ascii="Arial" w:cs="Arial" w:eastAsia="Arial" w:hAnsi="Arial"/>
          <w:sz w:val="29"/>
          <w:szCs w:val="29"/>
          <w:color w:val="auto"/>
          <w:vertAlign w:val="superscript"/>
        </w:rPr>
      </w:pPr>
      <w:r>
        <w:rPr>
          <w:rFonts w:ascii="Arial" w:cs="Arial" w:eastAsia="Arial" w:hAnsi="Arial"/>
          <w:sz w:val="18"/>
          <w:szCs w:val="18"/>
          <w:color w:val="auto"/>
        </w:rPr>
        <w:t>pursuant to our partnership agreement or the limited liability company agreement of Enterprise GP, as such agreements may be amended from time to time;</w:t>
      </w:r>
    </w:p>
    <w:p>
      <w:pPr>
        <w:spacing w:after="0" w:line="229" w:lineRule="exact"/>
        <w:rPr>
          <w:rFonts w:ascii="Arial" w:cs="Arial" w:eastAsia="Arial" w:hAnsi="Arial"/>
          <w:sz w:val="29"/>
          <w:szCs w:val="29"/>
          <w:color w:val="auto"/>
          <w:vertAlign w:val="superscript"/>
        </w:rPr>
      </w:pPr>
    </w:p>
    <w:p>
      <w:pPr>
        <w:ind w:left="500" w:right="20" w:hanging="330"/>
        <w:spacing w:after="0" w:line="198" w:lineRule="auto"/>
        <w:tabs>
          <w:tab w:leader="none" w:pos="500" w:val="left"/>
        </w:tabs>
        <w:numPr>
          <w:ilvl w:val="0"/>
          <w:numId w:val="82"/>
        </w:numPr>
        <w:rPr>
          <w:rFonts w:ascii="Arial" w:cs="Arial" w:eastAsia="Arial" w:hAnsi="Arial"/>
          <w:sz w:val="29"/>
          <w:szCs w:val="29"/>
          <w:color w:val="auto"/>
          <w:vertAlign w:val="superscript"/>
        </w:rPr>
      </w:pPr>
      <w:r>
        <w:rPr>
          <w:rFonts w:ascii="Arial" w:cs="Arial" w:eastAsia="Arial" w:hAnsi="Arial"/>
          <w:sz w:val="18"/>
          <w:szCs w:val="18"/>
          <w:color w:val="auto"/>
        </w:rPr>
        <w:t>in which an officer or director of Enterprise GP or any of our subsidiaries, or an immediate family member of such an officer or director, has a material financial interest or is otherwise a party;</w:t>
      </w:r>
    </w:p>
    <w:p>
      <w:pPr>
        <w:spacing w:after="0" w:line="126" w:lineRule="exact"/>
        <w:rPr>
          <w:rFonts w:ascii="Arial" w:cs="Arial" w:eastAsia="Arial" w:hAnsi="Arial"/>
          <w:sz w:val="29"/>
          <w:szCs w:val="29"/>
          <w:color w:val="auto"/>
          <w:vertAlign w:val="superscript"/>
        </w:rPr>
      </w:pPr>
    </w:p>
    <w:p>
      <w:pPr>
        <w:ind w:left="500" w:hanging="330"/>
        <w:spacing w:after="0"/>
        <w:tabs>
          <w:tab w:leader="none" w:pos="500" w:val="left"/>
        </w:tabs>
        <w:numPr>
          <w:ilvl w:val="0"/>
          <w:numId w:val="82"/>
        </w:numPr>
        <w:rPr>
          <w:rFonts w:ascii="Arial" w:cs="Arial" w:eastAsia="Arial" w:hAnsi="Arial"/>
          <w:sz w:val="29"/>
          <w:szCs w:val="29"/>
          <w:color w:val="auto"/>
          <w:vertAlign w:val="superscript"/>
        </w:rPr>
      </w:pPr>
      <w:r>
        <w:rPr>
          <w:rFonts w:ascii="Arial" w:cs="Arial" w:eastAsia="Arial" w:hAnsi="Arial"/>
          <w:sz w:val="18"/>
          <w:szCs w:val="18"/>
          <w:color w:val="auto"/>
        </w:rPr>
        <w:t>when requested to do so by management or the Board;</w:t>
      </w:r>
    </w:p>
    <w:p>
      <w:pPr>
        <w:spacing w:after="0" w:line="139" w:lineRule="exact"/>
        <w:rPr>
          <w:rFonts w:ascii="Arial" w:cs="Arial" w:eastAsia="Arial" w:hAnsi="Arial"/>
          <w:sz w:val="29"/>
          <w:szCs w:val="29"/>
          <w:color w:val="auto"/>
          <w:vertAlign w:val="superscript"/>
        </w:rPr>
      </w:pPr>
    </w:p>
    <w:p>
      <w:pPr>
        <w:ind w:left="500" w:hanging="330"/>
        <w:spacing w:after="0" w:line="229" w:lineRule="auto"/>
        <w:tabs>
          <w:tab w:leader="none" w:pos="500" w:val="left"/>
        </w:tabs>
        <w:numPr>
          <w:ilvl w:val="0"/>
          <w:numId w:val="82"/>
        </w:numPr>
        <w:rPr>
          <w:rFonts w:ascii="Arial" w:cs="Arial" w:eastAsia="Arial" w:hAnsi="Arial"/>
          <w:sz w:val="29"/>
          <w:szCs w:val="29"/>
          <w:color w:val="auto"/>
          <w:vertAlign w:val="superscript"/>
        </w:rPr>
      </w:pPr>
      <w:r>
        <w:rPr>
          <w:rFonts w:ascii="Arial" w:cs="Arial" w:eastAsia="Arial" w:hAnsi="Arial"/>
          <w:sz w:val="18"/>
          <w:szCs w:val="18"/>
          <w:color w:val="auto"/>
        </w:rPr>
        <w:t>with a value of $5 million or more (unless such transaction is equivalent to an arm’s length transaction with a third party); or</w:t>
      </w:r>
    </w:p>
    <w:p>
      <w:pPr>
        <w:spacing w:after="0" w:line="140" w:lineRule="exact"/>
        <w:rPr>
          <w:rFonts w:ascii="Arial" w:cs="Arial" w:eastAsia="Arial" w:hAnsi="Arial"/>
          <w:sz w:val="29"/>
          <w:szCs w:val="29"/>
          <w:color w:val="auto"/>
          <w:vertAlign w:val="superscript"/>
        </w:rPr>
      </w:pPr>
    </w:p>
    <w:p>
      <w:pPr>
        <w:ind w:left="500" w:hanging="330"/>
        <w:spacing w:after="0" w:line="229" w:lineRule="auto"/>
        <w:tabs>
          <w:tab w:leader="none" w:pos="500" w:val="left"/>
        </w:tabs>
        <w:numPr>
          <w:ilvl w:val="0"/>
          <w:numId w:val="82"/>
        </w:numPr>
        <w:rPr>
          <w:rFonts w:ascii="Arial" w:cs="Arial" w:eastAsia="Arial" w:hAnsi="Arial"/>
          <w:sz w:val="29"/>
          <w:szCs w:val="29"/>
          <w:color w:val="auto"/>
          <w:vertAlign w:val="superscript"/>
        </w:rPr>
      </w:pPr>
      <w:r>
        <w:rPr>
          <w:rFonts w:ascii="Arial" w:cs="Arial" w:eastAsia="Arial" w:hAnsi="Arial"/>
          <w:sz w:val="18"/>
          <w:szCs w:val="18"/>
          <w:color w:val="auto"/>
        </w:rPr>
        <w:t>that it may otherwise deem appropriate from time to time.</w:t>
      </w:r>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Enterprise GP’s management authorization policy generally requires Board approval for asset purchase or sales transactions and capital investments to the extent such transactions have a value in excess of $250 million. Any such transaction would typically also require Audit and Conflicts Committee review under its charter if such transaction is also a related party transaction.</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noted previously, all of our management, administrative and operating functions are performed by employees of EPCO (pursuant to an administrative services agreement, or ASA) or by other service providers. The ASA governs numerous day-to-day transactions between us, Enterprise GP and EPCO and its affiliates, including the provision by EPCO of administrative and other services to us and our reimbursement to EPCO of costs, without markup or discount, for those services. The ASA was reviewed, approved and recommended to the Board by our Audit and Conflicts Committee, and the Board also approved it upon receiving such recommendation.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8" w:name="page139"/>
    <w:bookmarkEnd w:id="1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Related party transactions that are outside the scope of the ASA and not reviewed by the Audit and Conflicts Committee are subject to Enterprise GP’s management authorization policy. This policy, which applies to related party transactions as well as transactions with third parties, specifies thresholds for our general partner’s officers and Board to authorize various categories of transactions, including purchases and sales of assets, commercial and financial transactions and legal agreements.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Agreement Standards for Audit and Conflicts Committee Review</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our partnership agreement, whenever a potential conflict of interest exists or arises between Enterprise GP or any of its affiliates, on the one hand, and us, any of our subsidiaries or any partner, on the other hand, any resolution or course of action by Enterprise GP or its affiliates in respect of such conflict of interest is permitted and deemed approved by our limited partners, and will not constitute a breach of our partnership agreement or any agreement contemplated by such agreement, or of any duty stated or implied by law or equity, if the resolution or course of action is or, by operation of the partnership agreement is deemed to be, fair and reasonable to us; provided that, any conflict of interest and any resolution of such conflict of interest will be conclusively deemed fair and reasonable to us if such conflict of interest or resolution is (i) approved by a majority of the members of the Audit and Conflicts Committee (i.e., a “Special Approval” is granted) or (ii) on terms objectively demonstrable to be no less favorable to us than those generally being provided to or available from third parties.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Audit and Conflicts Committee (in connection with its Special Approval process) may consider the following when resolving conflicts of interest:</w:t>
      </w:r>
    </w:p>
    <w:p>
      <w:pPr>
        <w:spacing w:after="0" w:line="172" w:lineRule="exact"/>
        <w:rPr>
          <w:sz w:val="20"/>
          <w:szCs w:val="20"/>
          <w:color w:val="auto"/>
        </w:rPr>
      </w:pPr>
    </w:p>
    <w:p>
      <w:pPr>
        <w:ind w:left="500" w:hanging="330"/>
        <w:spacing w:after="0"/>
        <w:tabs>
          <w:tab w:leader="none" w:pos="500" w:val="left"/>
        </w:tabs>
        <w:numPr>
          <w:ilvl w:val="0"/>
          <w:numId w:val="83"/>
        </w:numPr>
        <w:rPr>
          <w:rFonts w:ascii="Arial" w:cs="Arial" w:eastAsia="Arial" w:hAnsi="Arial"/>
          <w:sz w:val="28"/>
          <w:szCs w:val="28"/>
          <w:color w:val="auto"/>
          <w:vertAlign w:val="superscript"/>
        </w:rPr>
      </w:pPr>
      <w:r>
        <w:rPr>
          <w:rFonts w:ascii="Arial" w:cs="Arial" w:eastAsia="Arial" w:hAnsi="Arial"/>
          <w:sz w:val="17"/>
          <w:szCs w:val="17"/>
          <w:color w:val="auto"/>
        </w:rPr>
        <w:t>the relative interests of any party to such conflict, agreement, transaction or situation and the benefits and burdens relating to such interest;</w:t>
      </w:r>
    </w:p>
    <w:p>
      <w:pPr>
        <w:spacing w:after="0" w:line="160" w:lineRule="exact"/>
        <w:rPr>
          <w:rFonts w:ascii="Arial" w:cs="Arial" w:eastAsia="Arial" w:hAnsi="Arial"/>
          <w:sz w:val="28"/>
          <w:szCs w:val="28"/>
          <w:color w:val="auto"/>
          <w:vertAlign w:val="superscript"/>
        </w:rPr>
      </w:pPr>
    </w:p>
    <w:p>
      <w:pPr>
        <w:ind w:left="500" w:hanging="330"/>
        <w:spacing w:after="0"/>
        <w:tabs>
          <w:tab w:leader="none" w:pos="500" w:val="left"/>
        </w:tabs>
        <w:numPr>
          <w:ilvl w:val="0"/>
          <w:numId w:val="83"/>
        </w:numPr>
        <w:rPr>
          <w:rFonts w:ascii="Arial" w:cs="Arial" w:eastAsia="Arial" w:hAnsi="Arial"/>
          <w:sz w:val="26"/>
          <w:szCs w:val="26"/>
          <w:color w:val="auto"/>
          <w:vertAlign w:val="superscript"/>
        </w:rPr>
      </w:pPr>
      <w:r>
        <w:rPr>
          <w:rFonts w:ascii="Arial" w:cs="Arial" w:eastAsia="Arial" w:hAnsi="Arial"/>
          <w:sz w:val="16"/>
          <w:szCs w:val="16"/>
          <w:color w:val="auto"/>
        </w:rPr>
        <w:t>the totality of the relationships between the parties involved (including other transactions that may be particularly favorable or advantageous to us);</w:t>
      </w:r>
    </w:p>
    <w:p>
      <w:pPr>
        <w:spacing w:after="0" w:line="139" w:lineRule="exact"/>
        <w:rPr>
          <w:rFonts w:ascii="Arial" w:cs="Arial" w:eastAsia="Arial" w:hAnsi="Arial"/>
          <w:sz w:val="26"/>
          <w:szCs w:val="26"/>
          <w:color w:val="auto"/>
          <w:vertAlign w:val="superscript"/>
        </w:rPr>
      </w:pPr>
    </w:p>
    <w:p>
      <w:pPr>
        <w:ind w:left="500" w:hanging="330"/>
        <w:spacing w:after="0" w:line="229" w:lineRule="auto"/>
        <w:tabs>
          <w:tab w:leader="none" w:pos="500" w:val="left"/>
        </w:tabs>
        <w:numPr>
          <w:ilvl w:val="0"/>
          <w:numId w:val="83"/>
        </w:numPr>
        <w:rPr>
          <w:rFonts w:ascii="Arial" w:cs="Arial" w:eastAsia="Arial" w:hAnsi="Arial"/>
          <w:sz w:val="29"/>
          <w:szCs w:val="29"/>
          <w:color w:val="auto"/>
          <w:vertAlign w:val="superscript"/>
        </w:rPr>
      </w:pPr>
      <w:r>
        <w:rPr>
          <w:rFonts w:ascii="Arial" w:cs="Arial" w:eastAsia="Arial" w:hAnsi="Arial"/>
          <w:sz w:val="18"/>
          <w:szCs w:val="18"/>
          <w:color w:val="auto"/>
        </w:rPr>
        <w:t>any customary or accepted industry practices and any customary or historical dealings with a particular party;</w:t>
      </w:r>
    </w:p>
    <w:p>
      <w:pPr>
        <w:spacing w:after="0" w:line="140" w:lineRule="exact"/>
        <w:rPr>
          <w:rFonts w:ascii="Arial" w:cs="Arial" w:eastAsia="Arial" w:hAnsi="Arial"/>
          <w:sz w:val="29"/>
          <w:szCs w:val="29"/>
          <w:color w:val="auto"/>
          <w:vertAlign w:val="superscript"/>
        </w:rPr>
      </w:pPr>
    </w:p>
    <w:p>
      <w:pPr>
        <w:ind w:left="500" w:hanging="330"/>
        <w:spacing w:after="0" w:line="229" w:lineRule="auto"/>
        <w:tabs>
          <w:tab w:leader="none" w:pos="500" w:val="left"/>
        </w:tabs>
        <w:numPr>
          <w:ilvl w:val="0"/>
          <w:numId w:val="83"/>
        </w:numPr>
        <w:rPr>
          <w:rFonts w:ascii="Arial" w:cs="Arial" w:eastAsia="Arial" w:hAnsi="Arial"/>
          <w:sz w:val="29"/>
          <w:szCs w:val="29"/>
          <w:color w:val="auto"/>
          <w:vertAlign w:val="superscript"/>
        </w:rPr>
      </w:pPr>
      <w:r>
        <w:rPr>
          <w:rFonts w:ascii="Arial" w:cs="Arial" w:eastAsia="Arial" w:hAnsi="Arial"/>
          <w:sz w:val="18"/>
          <w:szCs w:val="18"/>
          <w:color w:val="auto"/>
        </w:rPr>
        <w:t>any applicable generally accepted accounting or engineering practices or principles;</w:t>
      </w:r>
    </w:p>
    <w:p>
      <w:pPr>
        <w:spacing w:after="0" w:line="140" w:lineRule="exact"/>
        <w:rPr>
          <w:rFonts w:ascii="Arial" w:cs="Arial" w:eastAsia="Arial" w:hAnsi="Arial"/>
          <w:sz w:val="29"/>
          <w:szCs w:val="29"/>
          <w:color w:val="auto"/>
          <w:vertAlign w:val="superscript"/>
        </w:rPr>
      </w:pPr>
    </w:p>
    <w:p>
      <w:pPr>
        <w:ind w:left="500" w:hanging="330"/>
        <w:spacing w:after="0" w:line="229" w:lineRule="auto"/>
        <w:tabs>
          <w:tab w:leader="none" w:pos="500" w:val="left"/>
        </w:tabs>
        <w:numPr>
          <w:ilvl w:val="0"/>
          <w:numId w:val="83"/>
        </w:numPr>
        <w:rPr>
          <w:rFonts w:ascii="Arial" w:cs="Arial" w:eastAsia="Arial" w:hAnsi="Arial"/>
          <w:sz w:val="29"/>
          <w:szCs w:val="29"/>
          <w:color w:val="auto"/>
          <w:vertAlign w:val="superscript"/>
        </w:rPr>
      </w:pPr>
      <w:r>
        <w:rPr>
          <w:rFonts w:ascii="Arial" w:cs="Arial" w:eastAsia="Arial" w:hAnsi="Arial"/>
          <w:sz w:val="18"/>
          <w:szCs w:val="18"/>
          <w:color w:val="auto"/>
        </w:rPr>
        <w:t>the relative cost of capital of the parties involved and the consequent rates of return to the equity holders of such parties; and</w:t>
      </w:r>
    </w:p>
    <w:p>
      <w:pPr>
        <w:spacing w:after="0" w:line="229" w:lineRule="exact"/>
        <w:rPr>
          <w:rFonts w:ascii="Arial" w:cs="Arial" w:eastAsia="Arial" w:hAnsi="Arial"/>
          <w:sz w:val="29"/>
          <w:szCs w:val="29"/>
          <w:color w:val="auto"/>
          <w:vertAlign w:val="superscript"/>
        </w:rPr>
      </w:pPr>
    </w:p>
    <w:p>
      <w:pPr>
        <w:ind w:left="500" w:right="20" w:hanging="330"/>
        <w:spacing w:after="0" w:line="198" w:lineRule="auto"/>
        <w:tabs>
          <w:tab w:leader="none" w:pos="500" w:val="left"/>
        </w:tabs>
        <w:numPr>
          <w:ilvl w:val="0"/>
          <w:numId w:val="83"/>
        </w:numPr>
        <w:rPr>
          <w:rFonts w:ascii="Arial" w:cs="Arial" w:eastAsia="Arial" w:hAnsi="Arial"/>
          <w:sz w:val="29"/>
          <w:szCs w:val="29"/>
          <w:color w:val="auto"/>
          <w:vertAlign w:val="superscript"/>
        </w:rPr>
      </w:pPr>
      <w:r>
        <w:rPr>
          <w:rFonts w:ascii="Arial" w:cs="Arial" w:eastAsia="Arial" w:hAnsi="Arial"/>
          <w:sz w:val="18"/>
          <w:szCs w:val="18"/>
          <w:color w:val="auto"/>
        </w:rPr>
        <w:t>such additional factors as the Audit and Conflicts Committee determines in its sole discretion to be relevant, reasonable or appropriate under the circumstances.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level of review and work performed by the Audit and Conflicts Committee with respect to a given transaction varies depending upon the nature of the transaction and the scope of the Audit and Conflicts Committee’s obligation. Examples of functions the Audit and Conflicts Committee may, as it deems appropriate, perform in the course of reviewing a transaction include, but are not limited to:</w:t>
      </w:r>
    </w:p>
    <w:p>
      <w:pPr>
        <w:spacing w:after="0" w:line="105" w:lineRule="exact"/>
        <w:rPr>
          <w:sz w:val="20"/>
          <w:szCs w:val="20"/>
          <w:color w:val="auto"/>
        </w:rPr>
      </w:pPr>
    </w:p>
    <w:p>
      <w:pPr>
        <w:ind w:left="500" w:hanging="330"/>
        <w:spacing w:after="0"/>
        <w:tabs>
          <w:tab w:leader="none" w:pos="500" w:val="left"/>
        </w:tabs>
        <w:numPr>
          <w:ilvl w:val="0"/>
          <w:numId w:val="84"/>
        </w:numPr>
        <w:rPr>
          <w:rFonts w:ascii="Arial" w:cs="Arial" w:eastAsia="Arial" w:hAnsi="Arial"/>
          <w:sz w:val="29"/>
          <w:szCs w:val="29"/>
          <w:color w:val="auto"/>
          <w:vertAlign w:val="superscript"/>
        </w:rPr>
      </w:pPr>
      <w:r>
        <w:rPr>
          <w:rFonts w:ascii="Arial" w:cs="Arial" w:eastAsia="Arial" w:hAnsi="Arial"/>
          <w:sz w:val="18"/>
          <w:szCs w:val="18"/>
          <w:color w:val="auto"/>
        </w:rPr>
        <w:t>assessing the business rationale for the transaction;</w:t>
      </w:r>
    </w:p>
    <w:p>
      <w:pPr>
        <w:spacing w:after="0" w:line="139" w:lineRule="exact"/>
        <w:rPr>
          <w:rFonts w:ascii="Arial" w:cs="Arial" w:eastAsia="Arial" w:hAnsi="Arial"/>
          <w:sz w:val="29"/>
          <w:szCs w:val="29"/>
          <w:color w:val="auto"/>
          <w:vertAlign w:val="superscript"/>
        </w:rPr>
      </w:pPr>
    </w:p>
    <w:p>
      <w:pPr>
        <w:ind w:left="500" w:hanging="330"/>
        <w:spacing w:after="0" w:line="229" w:lineRule="auto"/>
        <w:tabs>
          <w:tab w:leader="none" w:pos="500" w:val="left"/>
        </w:tabs>
        <w:numPr>
          <w:ilvl w:val="0"/>
          <w:numId w:val="84"/>
        </w:numPr>
        <w:rPr>
          <w:rFonts w:ascii="Arial" w:cs="Arial" w:eastAsia="Arial" w:hAnsi="Arial"/>
          <w:sz w:val="29"/>
          <w:szCs w:val="29"/>
          <w:color w:val="auto"/>
          <w:vertAlign w:val="superscript"/>
        </w:rPr>
      </w:pPr>
      <w:r>
        <w:rPr>
          <w:rFonts w:ascii="Arial" w:cs="Arial" w:eastAsia="Arial" w:hAnsi="Arial"/>
          <w:sz w:val="18"/>
          <w:szCs w:val="18"/>
          <w:color w:val="auto"/>
        </w:rPr>
        <w:t>reviewing the terms and conditions of the proposed transaction, including consideration and financing requirements, if any;</w:t>
      </w:r>
    </w:p>
    <w:p>
      <w:pPr>
        <w:spacing w:after="0" w:line="140" w:lineRule="exact"/>
        <w:rPr>
          <w:rFonts w:ascii="Arial" w:cs="Arial" w:eastAsia="Arial" w:hAnsi="Arial"/>
          <w:sz w:val="29"/>
          <w:szCs w:val="29"/>
          <w:color w:val="auto"/>
          <w:vertAlign w:val="superscript"/>
        </w:rPr>
      </w:pPr>
    </w:p>
    <w:p>
      <w:pPr>
        <w:ind w:left="500" w:hanging="330"/>
        <w:spacing w:after="0" w:line="237" w:lineRule="auto"/>
        <w:tabs>
          <w:tab w:leader="none" w:pos="500" w:val="left"/>
        </w:tabs>
        <w:numPr>
          <w:ilvl w:val="0"/>
          <w:numId w:val="84"/>
        </w:numPr>
        <w:rPr>
          <w:rFonts w:ascii="Arial" w:cs="Arial" w:eastAsia="Arial" w:hAnsi="Arial"/>
          <w:sz w:val="28"/>
          <w:szCs w:val="28"/>
          <w:color w:val="auto"/>
          <w:vertAlign w:val="superscript"/>
        </w:rPr>
      </w:pPr>
      <w:r>
        <w:rPr>
          <w:rFonts w:ascii="Arial" w:cs="Arial" w:eastAsia="Arial" w:hAnsi="Arial"/>
          <w:sz w:val="17"/>
          <w:szCs w:val="17"/>
          <w:color w:val="auto"/>
        </w:rPr>
        <w:t>assessing the effect of the transaction on our results of operations, financial condition, cash available for distribution, properties or prospects;</w:t>
      </w:r>
    </w:p>
    <w:p>
      <w:pPr>
        <w:spacing w:after="0" w:line="230" w:lineRule="exact"/>
        <w:rPr>
          <w:rFonts w:ascii="Arial" w:cs="Arial" w:eastAsia="Arial" w:hAnsi="Arial"/>
          <w:sz w:val="28"/>
          <w:szCs w:val="28"/>
          <w:color w:val="auto"/>
          <w:vertAlign w:val="superscript"/>
        </w:rPr>
      </w:pPr>
    </w:p>
    <w:p>
      <w:pPr>
        <w:ind w:left="500" w:right="20" w:hanging="330"/>
        <w:spacing w:after="0" w:line="198" w:lineRule="auto"/>
        <w:tabs>
          <w:tab w:leader="none" w:pos="500" w:val="left"/>
        </w:tabs>
        <w:numPr>
          <w:ilvl w:val="0"/>
          <w:numId w:val="84"/>
        </w:numPr>
        <w:rPr>
          <w:rFonts w:ascii="Arial" w:cs="Arial" w:eastAsia="Arial" w:hAnsi="Arial"/>
          <w:sz w:val="29"/>
          <w:szCs w:val="29"/>
          <w:color w:val="auto"/>
          <w:vertAlign w:val="superscript"/>
        </w:rPr>
      </w:pPr>
      <w:r>
        <w:rPr>
          <w:rFonts w:ascii="Arial" w:cs="Arial" w:eastAsia="Arial" w:hAnsi="Arial"/>
          <w:sz w:val="18"/>
          <w:szCs w:val="18"/>
          <w:color w:val="auto"/>
        </w:rPr>
        <w:t>conducting due diligence, including interviews and discussions with management and other representatives and reviewing transaction materials and findings of management and other representatives;</w:t>
      </w:r>
    </w:p>
    <w:p>
      <w:pPr>
        <w:spacing w:after="0" w:line="126" w:lineRule="exact"/>
        <w:rPr>
          <w:rFonts w:ascii="Arial" w:cs="Arial" w:eastAsia="Arial" w:hAnsi="Arial"/>
          <w:sz w:val="29"/>
          <w:szCs w:val="29"/>
          <w:color w:val="auto"/>
          <w:vertAlign w:val="superscript"/>
        </w:rPr>
      </w:pPr>
    </w:p>
    <w:p>
      <w:pPr>
        <w:ind w:left="500" w:hanging="330"/>
        <w:spacing w:after="0"/>
        <w:tabs>
          <w:tab w:leader="none" w:pos="500" w:val="left"/>
        </w:tabs>
        <w:numPr>
          <w:ilvl w:val="0"/>
          <w:numId w:val="84"/>
        </w:numPr>
        <w:rPr>
          <w:rFonts w:ascii="Arial" w:cs="Arial" w:eastAsia="Arial" w:hAnsi="Arial"/>
          <w:sz w:val="29"/>
          <w:szCs w:val="29"/>
          <w:color w:val="auto"/>
          <w:vertAlign w:val="superscript"/>
        </w:rPr>
      </w:pPr>
      <w:r>
        <w:rPr>
          <w:rFonts w:ascii="Arial" w:cs="Arial" w:eastAsia="Arial" w:hAnsi="Arial"/>
          <w:sz w:val="18"/>
          <w:szCs w:val="18"/>
          <w:color w:val="auto"/>
        </w:rPr>
        <w:t>considering the relative advantages and disadvantages of the transactions to the parties involved;</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9" w:name="page140"/>
    <w:bookmarkEnd w:id="1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07" w:lineRule="exact"/>
        <w:rPr>
          <w:sz w:val="20"/>
          <w:szCs w:val="20"/>
          <w:color w:val="auto"/>
        </w:rPr>
      </w:pPr>
    </w:p>
    <w:p>
      <w:pPr>
        <w:ind w:left="500" w:hanging="330"/>
        <w:spacing w:after="0"/>
        <w:tabs>
          <w:tab w:leader="none" w:pos="500" w:val="left"/>
        </w:tabs>
        <w:numPr>
          <w:ilvl w:val="0"/>
          <w:numId w:val="85"/>
        </w:numPr>
        <w:rPr>
          <w:rFonts w:ascii="Arial" w:cs="Arial" w:eastAsia="Arial" w:hAnsi="Arial"/>
          <w:sz w:val="29"/>
          <w:szCs w:val="29"/>
          <w:color w:val="auto"/>
          <w:vertAlign w:val="superscript"/>
        </w:rPr>
      </w:pPr>
      <w:r>
        <w:rPr>
          <w:rFonts w:ascii="Arial" w:cs="Arial" w:eastAsia="Arial" w:hAnsi="Arial"/>
          <w:sz w:val="18"/>
          <w:szCs w:val="18"/>
          <w:color w:val="auto"/>
        </w:rPr>
        <w:t>engaging third party financial advisors to provide financial advice and assistance, including fairness opinions if requested;</w:t>
      </w:r>
    </w:p>
    <w:p>
      <w:pPr>
        <w:spacing w:after="0" w:line="139" w:lineRule="exact"/>
        <w:rPr>
          <w:rFonts w:ascii="Arial" w:cs="Arial" w:eastAsia="Arial" w:hAnsi="Arial"/>
          <w:sz w:val="29"/>
          <w:szCs w:val="29"/>
          <w:color w:val="auto"/>
          <w:vertAlign w:val="superscript"/>
        </w:rPr>
      </w:pPr>
    </w:p>
    <w:p>
      <w:pPr>
        <w:ind w:left="500" w:hanging="330"/>
        <w:spacing w:after="0" w:line="229" w:lineRule="auto"/>
        <w:tabs>
          <w:tab w:leader="none" w:pos="500" w:val="left"/>
        </w:tabs>
        <w:numPr>
          <w:ilvl w:val="0"/>
          <w:numId w:val="85"/>
        </w:numPr>
        <w:rPr>
          <w:rFonts w:ascii="Arial" w:cs="Arial" w:eastAsia="Arial" w:hAnsi="Arial"/>
          <w:sz w:val="29"/>
          <w:szCs w:val="29"/>
          <w:color w:val="auto"/>
          <w:vertAlign w:val="superscript"/>
        </w:rPr>
      </w:pPr>
      <w:r>
        <w:rPr>
          <w:rFonts w:ascii="Arial" w:cs="Arial" w:eastAsia="Arial" w:hAnsi="Arial"/>
          <w:sz w:val="18"/>
          <w:szCs w:val="18"/>
          <w:color w:val="auto"/>
        </w:rPr>
        <w:t>engaging legal advisors; and</w:t>
      </w:r>
    </w:p>
    <w:p>
      <w:pPr>
        <w:spacing w:after="0" w:line="140" w:lineRule="exact"/>
        <w:rPr>
          <w:rFonts w:ascii="Arial" w:cs="Arial" w:eastAsia="Arial" w:hAnsi="Arial"/>
          <w:sz w:val="29"/>
          <w:szCs w:val="29"/>
          <w:color w:val="auto"/>
          <w:vertAlign w:val="superscript"/>
        </w:rPr>
      </w:pPr>
    </w:p>
    <w:p>
      <w:pPr>
        <w:ind w:left="500" w:hanging="330"/>
        <w:spacing w:after="0" w:line="229" w:lineRule="auto"/>
        <w:tabs>
          <w:tab w:leader="none" w:pos="500" w:val="left"/>
        </w:tabs>
        <w:numPr>
          <w:ilvl w:val="0"/>
          <w:numId w:val="85"/>
        </w:numPr>
        <w:rPr>
          <w:rFonts w:ascii="Arial" w:cs="Arial" w:eastAsia="Arial" w:hAnsi="Arial"/>
          <w:sz w:val="29"/>
          <w:szCs w:val="29"/>
          <w:color w:val="auto"/>
          <w:vertAlign w:val="superscript"/>
        </w:rPr>
      </w:pPr>
      <w:r>
        <w:rPr>
          <w:rFonts w:ascii="Arial" w:cs="Arial" w:eastAsia="Arial" w:hAnsi="Arial"/>
          <w:sz w:val="18"/>
          <w:szCs w:val="18"/>
          <w:color w:val="auto"/>
        </w:rPr>
        <w:t>evaluating and negotiating the transaction and recommending for approval or approving the transaction, as the case may be.</w:t>
      </w:r>
    </w:p>
    <w:p>
      <w:pPr>
        <w:spacing w:after="0" w:line="2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Nothing contained in our partnership agreement requires the Audit and Conflicts Committee to consider the interests of any party other than us. In the absence of the Audit and Conflicts Committee or our general partner acting in bad faith, the resolution, action or terms so made, taken or provided (including granting Special Approval) by the Audit and Conflicts Committee or our general partner with respect to such matter are deemed conclusive and binding on all persons (including all of our limited partners) and do not constitute a breach of partnership agreement, or any other agreement contemplated thereby, or a breach of any standard of care or duty imposed in our partnership agreement or under the Delaware Revised Uniform Limited Partnership Act or any other law, rule or regulation. Our partnership agreement provides that it is presumed that the resolution, action or terms made, taken or provided by the Audit and Conflicts Committee or our general partner were not made, taken or provided in bad faith, and in any proceeding brought by any limited partner or by or on behalf of such limited partner or any other limited partner or us challenging such resolution, action or terms, the person bringing or prosecuting such proceeding will have the burden of overcoming such presumption.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of the current members of the Audit and Conflicts Committee, namely Messrs. Brasseux, Montgomery, Rutherford and Snell, and two members of the Governance Committee, namely Ms. Barth and Mr. Hackett, have been determined to be independent under the applicable NYSE listing standards and rules of the SEC. For a discussion of independence standards applicable to our Board and factors considered by our Board in making its independence determinations, please refer to “Partnership Governance” included under Part III, Item 10 of this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immediate family member of Mr. Teague, an immediate family member of Mr. Sanders and two immediate family members of William Ordemann (who served as an executive officer of Enterprise GP for a portion of 2019) are employees of EPCO that perform services on our behalf. None of these individuals serves as an executive officer of Enterprise GP, EPCO or any of their respective affiliates, and each such individual’s compensation and other terms of employment are determined on a basis consistent with EPCO’s human resources policies. For 2019, (i) the immediate family member of Mr. Teague earned total compensation from EPCO of $650 thousand, (ii) the immediate family member of Mr. Sanders earned total compensation from EPCO of $160 thousand and (iii) the two immediate family members of Mr. Ordemann earned total compensation from EPCO of $220 thousand and $200 thousand, respectively.</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Mr. Brasseux owns a minority equity interest in Worldwide Power Products, LLC (“Worldwide”), a privately-owned company in the business of buying, selling, renting and servicing generators and buying and selling generator parts. Mr. Brasseux’s son-in-law is the Chief Executive Officer and majority equity owner of Worldwide. From time to time, we engage in business transactions with Worldwide. The aggregate dollar amount involved in these transactions was approximately $138,000 for 2019. The terms of these transactions are determined on an arms-length basis, and Mr. Brasseux (who does not serve as an employee or director of Worldwide) does not participate in the negotiation or approval of any such transactions.</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November 2019, we purchased pipeline right-of-way from a private family corporation, approximately 80% of which is owned by Mr. Snell and members of his immediate family and for which Mr. Snell regularly acts as legal counsel. The total purchase price paid to the family corporation for the right-of-way was approximately $0.3 million and was based on market rates recently paid by us in similar transactions with unaffiliated landowners.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0" w:name="page141"/>
    <w:bookmarkEnd w:id="1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00" w:lineRule="exact"/>
        <w:rPr>
          <w:sz w:val="20"/>
          <w:szCs w:val="20"/>
          <w:color w:val="auto"/>
        </w:rPr>
      </w:pPr>
    </w:p>
    <w:p>
      <w:pPr>
        <w:spacing w:after="0" w:line="29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the approval of the Audit and Conflicts Committee of Enterprise GP, we have engaged Deloitte &amp; Touche LLP, the member firms of Deloitte Touche Tohmatsu, and their respective affiliates (collectively, “Deloitte &amp; Touche”) as our independent registered public accounting firm and principal accountants. The following table summarizes amounts billed to us by Deloitte &amp; Touche for each of the years presented, as applicable:</w:t>
      </w:r>
    </w:p>
    <w:p>
      <w:pPr>
        <w:spacing w:after="0" w:line="252"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6350</wp:posOffset>
            </wp:positionV>
            <wp:extent cx="158623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62" w:lineRule="exact"/>
        <w:rPr>
          <w:sz w:val="20"/>
          <w:szCs w:val="20"/>
          <w:color w:val="auto"/>
        </w:rPr>
      </w:pPr>
    </w:p>
    <w:p>
      <w:pPr>
        <w:ind w:left="9240"/>
        <w:spacing w:after="0"/>
        <w:tabs>
          <w:tab w:leader="none" w:pos="105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6" w:lineRule="exact"/>
        <w:rPr>
          <w:sz w:val="20"/>
          <w:szCs w:val="20"/>
          <w:color w:val="auto"/>
        </w:rPr>
      </w:pPr>
    </w:p>
    <w:p>
      <w:pPr>
        <w:spacing w:after="0"/>
        <w:tabs>
          <w:tab w:leader="none" w:pos="8800" w:val="left"/>
          <w:tab w:leader="none" w:pos="9360" w:val="left"/>
          <w:tab w:leader="none" w:pos="10160" w:val="left"/>
          <w:tab w:leader="none" w:pos="10720" w:val="left"/>
        </w:tabs>
        <w:rPr>
          <w:sz w:val="20"/>
          <w:szCs w:val="20"/>
          <w:color w:val="auto"/>
        </w:rPr>
      </w:pPr>
      <w:r>
        <w:rPr>
          <w:rFonts w:ascii="Arial" w:cs="Arial" w:eastAsia="Arial" w:hAnsi="Arial"/>
          <w:sz w:val="14"/>
          <w:szCs w:val="14"/>
          <w:color w:val="auto"/>
        </w:rPr>
        <w:t>Audit fees (1)</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5,283,280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5,253,365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ind w:left="540" w:hanging="532"/>
        <w:spacing w:after="0"/>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Audit fees for 2019 and 2018 include $40,000 and $50,000, respectively, of charges for audit-related projects that were reimbursed by business partners.</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presented in the preceding table, “Audit Fees” represent amounts billed for each year in connection with (i) the annual audit of our consolidated financial statements filed on Form 10-K and related internal controls over financial reporting, (ii) the quarterly review of our consolidated financial statements filed on Form 10-Q, (iii) standalone annual audits of our consolidated subsidiaries and (iv) those services normally provided by Deloitte &amp; Touche in connection with our statutory and regulatory filings or engagements, including comfort letters, consents and other services related to SEC matters. We did not engage Deloitte</w:t>
      </w:r>
    </w:p>
    <w:p>
      <w:pPr>
        <w:spacing w:after="0" w:line="2" w:lineRule="exact"/>
        <w:rPr>
          <w:sz w:val="20"/>
          <w:szCs w:val="20"/>
          <w:color w:val="auto"/>
        </w:rPr>
      </w:pPr>
    </w:p>
    <w:p>
      <w:pPr>
        <w:ind w:firstLine="8"/>
        <w:spacing w:after="0" w:line="261" w:lineRule="auto"/>
        <w:tabs>
          <w:tab w:leader="none" w:pos="19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Touche to perform any other services for us during the last two years. We are prohibited from using Deloitte &amp; Touche to perform general bookkeeping, human resources or management functions for us, and any other service not permitted by the PCAOB.</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its oversight responsibilities, the Audit and Conflicts Committee has adopted a pre-approval policy regarding any services to be performed by Deloitte &amp; Touche. The pre-approval policy includes four primary service categories: Audit, Audit-related, Tax and Other. When Deloitte &amp; Touche’s services are required, management and Deloitte &amp; Touche discuss the proposed work with the Audit and Conflicts Committee. These discussions typically address the reasons for the project, the scope of the work to be performed and an estimate of the fee to be charged by Deloitte &amp; Touche for such work. The Audit and Conflicts Committee discusses the request with management and Deloitte &amp; Touche and, if the work is deemed necessary and appropriate for Deloitte &amp; Touche to perform, approves the request subject to the fee estimate (the initial “pre-approved” fee amount). If at a later date, it appears that the initial pre-approved fee amount is insufficient to complete the work, management and Deloitte &amp; Touche must present a supplemental request to the Audit and Conflicts Committee to increase the approved amount along with reasons for the increase. Under the pre-approval policy, management cannot act upon its own to authorize an expenditure for Deloitte &amp; Touche services outside of the pre-approved amounts. On a quarterly basis, the Audit and Conflicts Committee is provided a schedule that compares the pre-approved amounts for each primary service category with the actual fees billed for each type of service. We believe the Audit and Conflicts Committee’s pre-approval process maintains the independence of Deloitte &amp; Touche from management.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1" w:name="page142"/>
    <w:bookmarkEnd w:id="1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annual report:</w:t>
      </w:r>
    </w:p>
    <w:p>
      <w:pPr>
        <w:spacing w:after="0" w:line="252" w:lineRule="exact"/>
        <w:rPr>
          <w:sz w:val="20"/>
          <w:szCs w:val="20"/>
          <w:color w:val="auto"/>
        </w:rPr>
      </w:pPr>
    </w:p>
    <w:p>
      <w:pPr>
        <w:ind w:left="66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Financial Statements: See “Index to Consolidated Financial Statements” beginning on page F-1 of this annual report for the financial statements included herein.</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Financial Statement Schedules: The separate filing of financial statement schedules has been omitted because such schedules are either not applicable or the information called for therein appears in the footnotes of our Consolidated Financial Statements.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Exhibit Number</w:t>
            </w: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360" w:type="dxa"/>
            <w:vAlign w:val="bottom"/>
            <w:gridSpan w:val="6"/>
          </w:tcPr>
          <w:p>
            <w:pPr>
              <w:ind w:left="40"/>
              <w:spacing w:after="0"/>
              <w:rPr>
                <w:sz w:val="20"/>
                <w:szCs w:val="20"/>
                <w:color w:val="auto"/>
              </w:rPr>
            </w:pPr>
            <w:r>
              <w:rPr>
                <w:rFonts w:ascii="Arial" w:cs="Arial" w:eastAsia="Arial" w:hAnsi="Arial"/>
                <w:sz w:val="18"/>
                <w:szCs w:val="18"/>
                <w:b w:val="1"/>
                <w:bCs w:val="1"/>
                <w:color w:val="auto"/>
              </w:rPr>
              <w:t>Exhibit*</w:t>
            </w:r>
          </w:p>
        </w:tc>
      </w:tr>
      <w:tr>
        <w:trPr>
          <w:trHeight w:val="176"/>
        </w:trPr>
        <w:tc>
          <w:tcPr>
            <w:tcW w:w="20" w:type="dxa"/>
            <w:vAlign w:val="bottom"/>
          </w:tcPr>
          <w:p>
            <w:pPr>
              <w:spacing w:after="0"/>
              <w:rPr>
                <w:sz w:val="15"/>
                <w:szCs w:val="15"/>
                <w:color w:val="auto"/>
              </w:rPr>
            </w:pPr>
          </w:p>
        </w:tc>
        <w:tc>
          <w:tcPr>
            <w:tcW w:w="1480" w:type="dxa"/>
            <w:vAlign w:val="bottom"/>
            <w:tcBorders>
              <w:top w:val="single" w:sz="8" w:color="auto"/>
            </w:tcBorders>
          </w:tcPr>
          <w:p>
            <w:pPr>
              <w:jc w:val="right"/>
              <w:ind w:right="1170"/>
              <w:spacing w:after="0" w:line="176" w:lineRule="exact"/>
              <w:rPr>
                <w:sz w:val="20"/>
                <w:szCs w:val="20"/>
                <w:color w:val="auto"/>
              </w:rPr>
            </w:pPr>
            <w:r>
              <w:rPr>
                <w:rFonts w:ascii="Arial" w:cs="Arial" w:eastAsia="Arial" w:hAnsi="Arial"/>
                <w:sz w:val="18"/>
                <w:szCs w:val="18"/>
                <w:color w:val="auto"/>
                <w:w w:val="79"/>
              </w:rPr>
              <w:t>2.1</w:t>
            </w:r>
          </w:p>
        </w:tc>
        <w:tc>
          <w:tcPr>
            <w:tcW w:w="9920" w:type="dxa"/>
            <w:vAlign w:val="bottom"/>
            <w:tcBorders>
              <w:top w:val="single" w:sz="8" w:color="auto"/>
              <w:bottom w:val="single" w:sz="8" w:color="0000EE"/>
            </w:tcBorders>
            <w:gridSpan w:val="11"/>
          </w:tcPr>
          <w:p>
            <w:pPr>
              <w:spacing w:after="0" w:line="176" w:lineRule="exact"/>
              <w:rPr>
                <w:rFonts w:ascii="Arial" w:cs="Arial" w:eastAsia="Arial" w:hAnsi="Arial"/>
                <w:sz w:val="18"/>
                <w:szCs w:val="18"/>
                <w:color w:val="0000EE"/>
                <w:w w:val="93"/>
              </w:rPr>
            </w:pPr>
            <w:hyperlink r:id="rId208">
              <w:r>
                <w:rPr>
                  <w:rFonts w:ascii="Arial" w:cs="Arial" w:eastAsia="Arial" w:hAnsi="Arial"/>
                  <w:sz w:val="18"/>
                  <w:szCs w:val="18"/>
                  <w:color w:val="0000EE"/>
                  <w:w w:val="93"/>
                </w:rPr>
                <w:t>Merger Agreement, dated as of December 15, 2003, by and among Enterprise Products Partners L.P., Enterprise Products GP, LLC,</w:t>
              </w:r>
            </w:hyperlink>
          </w:p>
        </w:tc>
        <w:tc>
          <w:tcPr>
            <w:tcW w:w="20" w:type="dxa"/>
            <w:vAlign w:val="bottom"/>
            <w:tcBorders>
              <w:bottom w:val="single" w:sz="8" w:color="0000EE"/>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r:id="rId208">
              <w:r>
                <w:rPr>
                  <w:rFonts w:ascii="Arial" w:cs="Arial" w:eastAsia="Arial" w:hAnsi="Arial"/>
                  <w:sz w:val="18"/>
                  <w:szCs w:val="18"/>
                  <w:color w:val="0000EE"/>
                  <w:w w:val="97"/>
                </w:rPr>
                <w:t>Enterprise Products Management LLC, GulfTerra Energy Partners, L.P. and GulfTerra Energy Company, L.L.C. (incorporated by</w:t>
              </w:r>
            </w:hyperlink>
          </w:p>
        </w:tc>
      </w:tr>
      <w:tr>
        <w:trPr>
          <w:trHeight w:val="196"/>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5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208">
              <w:r>
                <w:rPr>
                  <w:rFonts w:ascii="Arial" w:cs="Arial" w:eastAsia="Arial" w:hAnsi="Arial"/>
                  <w:sz w:val="18"/>
                  <w:szCs w:val="18"/>
                  <w:color w:val="0000EE"/>
                  <w:w w:val="91"/>
                </w:rPr>
                <w:t>reference to Exhibit 2.1 to Form 8-K filed December 15, 2003).</w:t>
              </w:r>
            </w:hyperlink>
          </w:p>
        </w:tc>
        <w:tc>
          <w:tcPr>
            <w:tcW w:w="5360" w:type="dxa"/>
            <w:vAlign w:val="bottom"/>
            <w:gridSpan w:val="6"/>
          </w:tcPr>
          <w:p>
            <w:pPr>
              <w:spacing w:after="0"/>
              <w:rPr>
                <w:sz w:val="17"/>
                <w:szCs w:val="17"/>
                <w:color w:val="auto"/>
              </w:rPr>
            </w:pPr>
          </w:p>
        </w:tc>
      </w:tr>
      <w:tr>
        <w:trPr>
          <w:trHeight w:val="196"/>
        </w:trPr>
        <w:tc>
          <w:tcPr>
            <w:tcW w:w="1500" w:type="dxa"/>
            <w:vAlign w:val="bottom"/>
            <w:gridSpan w:val="2"/>
          </w:tcPr>
          <w:p>
            <w:pPr>
              <w:jc w:val="right"/>
              <w:ind w:right="1170"/>
              <w:spacing w:after="0" w:line="196" w:lineRule="exact"/>
              <w:rPr>
                <w:sz w:val="20"/>
                <w:szCs w:val="20"/>
                <w:color w:val="auto"/>
              </w:rPr>
            </w:pPr>
            <w:r>
              <w:rPr>
                <w:rFonts w:ascii="Arial" w:cs="Arial" w:eastAsia="Arial" w:hAnsi="Arial"/>
                <w:sz w:val="18"/>
                <w:szCs w:val="18"/>
                <w:color w:val="auto"/>
                <w:w w:val="87"/>
              </w:rPr>
              <w:t>2.2</w:t>
            </w: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r:id="rId209">
              <w:r>
                <w:rPr>
                  <w:rFonts w:ascii="Arial" w:cs="Arial" w:eastAsia="Arial" w:hAnsi="Arial"/>
                  <w:sz w:val="18"/>
                  <w:szCs w:val="18"/>
                  <w:color w:val="0000EE"/>
                  <w:w w:val="94"/>
                </w:rPr>
                <w:t>Amendment No. 1 to Merger Agreement, dated as of August 31, 2004, by and among Enterprise Products Partners L.P., Enterprise</w:t>
              </w:r>
            </w:hyperlink>
          </w:p>
        </w:tc>
      </w:tr>
      <w:tr>
        <w:trPr>
          <w:trHeight w:val="196"/>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92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r:id="rId209">
              <w:r>
                <w:rPr>
                  <w:rFonts w:ascii="Arial" w:cs="Arial" w:eastAsia="Arial" w:hAnsi="Arial"/>
                  <w:sz w:val="18"/>
                  <w:szCs w:val="18"/>
                  <w:color w:val="0000EE"/>
                  <w:w w:val="94"/>
                </w:rPr>
                <w:t>Products GP, LLC, Enterprise Products Management LLC, GulfTerra Energy Partners, L.P. and GulfTerra Energy Company, L.L.C.</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7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209">
              <w:r>
                <w:rPr>
                  <w:rFonts w:ascii="Arial" w:cs="Arial" w:eastAsia="Arial" w:hAnsi="Arial"/>
                  <w:sz w:val="18"/>
                  <w:szCs w:val="18"/>
                  <w:color w:val="0000EE"/>
                  <w:w w:val="91"/>
                </w:rPr>
                <w:t>(incorporated by reference to Exhibit 2.1 to Form 8-K filed September 7, 2004).</w:t>
              </w:r>
            </w:hyperlink>
          </w:p>
        </w:tc>
        <w:tc>
          <w:tcPr>
            <w:tcW w:w="4180" w:type="dxa"/>
            <w:vAlign w:val="bottom"/>
            <w:gridSpan w:val="5"/>
          </w:tcPr>
          <w:p>
            <w:pPr>
              <w:spacing w:after="0"/>
              <w:rPr>
                <w:sz w:val="17"/>
                <w:szCs w:val="17"/>
                <w:color w:val="auto"/>
              </w:rPr>
            </w:pPr>
          </w:p>
        </w:tc>
      </w:tr>
      <w:tr>
        <w:trPr>
          <w:trHeight w:val="196"/>
        </w:trPr>
        <w:tc>
          <w:tcPr>
            <w:tcW w:w="1500" w:type="dxa"/>
            <w:vAlign w:val="bottom"/>
            <w:gridSpan w:val="2"/>
          </w:tcPr>
          <w:p>
            <w:pPr>
              <w:jc w:val="right"/>
              <w:ind w:right="1170"/>
              <w:spacing w:after="0" w:line="196" w:lineRule="exact"/>
              <w:rPr>
                <w:sz w:val="20"/>
                <w:szCs w:val="20"/>
                <w:color w:val="auto"/>
              </w:rPr>
            </w:pPr>
            <w:r>
              <w:rPr>
                <w:rFonts w:ascii="Arial" w:cs="Arial" w:eastAsia="Arial" w:hAnsi="Arial"/>
                <w:sz w:val="18"/>
                <w:szCs w:val="18"/>
                <w:color w:val="auto"/>
                <w:w w:val="87"/>
              </w:rPr>
              <w:t>2.3</w:t>
            </w:r>
          </w:p>
        </w:tc>
        <w:tc>
          <w:tcPr>
            <w:tcW w:w="99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210">
              <w:r>
                <w:rPr>
                  <w:rFonts w:ascii="Arial" w:cs="Arial" w:eastAsia="Arial" w:hAnsi="Arial"/>
                  <w:sz w:val="18"/>
                  <w:szCs w:val="18"/>
                  <w:color w:val="0000EE"/>
                  <w:w w:val="90"/>
                </w:rPr>
                <w:t>Parent Company Agreement, dated as of December 15, 2003, by and among Enterprise Products Partners L.P., Enterprise Products GP,</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210">
              <w:r>
                <w:rPr>
                  <w:rFonts w:ascii="Arial" w:cs="Arial" w:eastAsia="Arial" w:hAnsi="Arial"/>
                  <w:sz w:val="18"/>
                  <w:szCs w:val="18"/>
                  <w:color w:val="0000EE"/>
                  <w:w w:val="93"/>
                </w:rPr>
                <w:t>LLC, Enterprise Products GTM, LLC, El Paso Corporation, Sabine River Investors I, L.L.C., Sabine River Investors II, L.L.C., El Paso</w:t>
              </w:r>
            </w:hyperlink>
          </w:p>
        </w:tc>
      </w:tr>
      <w:tr>
        <w:trPr>
          <w:trHeight w:val="196"/>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940" w:type="dxa"/>
            <w:vAlign w:val="bottom"/>
            <w:gridSpan w:val="12"/>
          </w:tcPr>
          <w:p>
            <w:pPr>
              <w:spacing w:after="0" w:line="196" w:lineRule="exact"/>
              <w:rPr>
                <w:rFonts w:ascii="Arial" w:cs="Arial" w:eastAsia="Arial" w:hAnsi="Arial"/>
                <w:sz w:val="18"/>
                <w:szCs w:val="18"/>
                <w:color w:val="0000EE"/>
                <w:w w:val="92"/>
              </w:rPr>
            </w:pPr>
            <w:hyperlink r:id="rId210">
              <w:r>
                <w:rPr>
                  <w:rFonts w:ascii="Arial" w:cs="Arial" w:eastAsia="Arial" w:hAnsi="Arial"/>
                  <w:sz w:val="18"/>
                  <w:szCs w:val="18"/>
                  <w:color w:val="0000EE"/>
                  <w:w w:val="92"/>
                </w:rPr>
                <w:t>EPN Investments, L.L.C. and GulfTerra GP Holding Company (incorporated by reference to Exhibit 2.2 to Form 8-K filed December 15,</w:t>
              </w:r>
            </w:hyperlink>
          </w:p>
        </w:tc>
      </w:tr>
      <w:tr>
        <w:trPr>
          <w:trHeight w:val="196"/>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10">
              <w:r>
                <w:rPr>
                  <w:rFonts w:ascii="Arial" w:cs="Arial" w:eastAsia="Arial" w:hAnsi="Arial"/>
                  <w:sz w:val="18"/>
                  <w:szCs w:val="18"/>
                  <w:color w:val="0000EE"/>
                  <w:w w:val="86"/>
                </w:rPr>
                <w:t>2003).</w:t>
              </w:r>
            </w:hyperlink>
          </w:p>
        </w:tc>
        <w:tc>
          <w:tcPr>
            <w:tcW w:w="13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2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500" w:type="dxa"/>
            <w:vAlign w:val="bottom"/>
            <w:gridSpan w:val="2"/>
          </w:tcPr>
          <w:p>
            <w:pPr>
              <w:jc w:val="right"/>
              <w:ind w:right="1170"/>
              <w:spacing w:after="0" w:line="196" w:lineRule="exact"/>
              <w:rPr>
                <w:sz w:val="20"/>
                <w:szCs w:val="20"/>
                <w:color w:val="auto"/>
              </w:rPr>
            </w:pPr>
            <w:r>
              <w:rPr>
                <w:rFonts w:ascii="Arial" w:cs="Arial" w:eastAsia="Arial" w:hAnsi="Arial"/>
                <w:sz w:val="18"/>
                <w:szCs w:val="18"/>
                <w:color w:val="auto"/>
                <w:w w:val="87"/>
              </w:rPr>
              <w:t>2.4</w:t>
            </w: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r:id="rId211">
              <w:r>
                <w:rPr>
                  <w:rFonts w:ascii="Arial" w:cs="Arial" w:eastAsia="Arial" w:hAnsi="Arial"/>
                  <w:sz w:val="18"/>
                  <w:szCs w:val="18"/>
                  <w:color w:val="0000EE"/>
                  <w:w w:val="97"/>
                </w:rPr>
                <w:t>Amendment No. 1 to Parent Company Agreement, dated as of April 19, 2004, by and among Enterprise Products Partners L.P.,</w:t>
              </w:r>
            </w:hyperlink>
          </w:p>
        </w:tc>
      </w:tr>
      <w:tr>
        <w:trPr>
          <w:trHeight w:val="196"/>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92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r:id="rId211">
              <w:r>
                <w:rPr>
                  <w:rFonts w:ascii="Arial" w:cs="Arial" w:eastAsia="Arial" w:hAnsi="Arial"/>
                  <w:sz w:val="18"/>
                  <w:szCs w:val="18"/>
                  <w:color w:val="0000EE"/>
                  <w:w w:val="95"/>
                </w:rPr>
                <w:t>Enterprise Products GP, LLC, Enterprise Products GTM, LLC, El Paso Corporation, Sabine River Investors I, L.L.C., Sabine River</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211">
              <w:r>
                <w:rPr>
                  <w:rFonts w:ascii="Arial" w:cs="Arial" w:eastAsia="Arial" w:hAnsi="Arial"/>
                  <w:sz w:val="18"/>
                  <w:szCs w:val="18"/>
                  <w:color w:val="0000EE"/>
                  <w:w w:val="93"/>
                </w:rPr>
                <w:t>Investors II, L.L.C., El Paso EPN Investments, L.L.C. and GulfTerra GP Holding Company (incorporated by reference to Exhibit 2.1 to</w:t>
              </w:r>
            </w:hyperlink>
          </w:p>
        </w:tc>
      </w:tr>
      <w:tr>
        <w:trPr>
          <w:trHeight w:val="196"/>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940" w:type="dxa"/>
            <w:vAlign w:val="bottom"/>
            <w:gridSpan w:val="12"/>
          </w:tcPr>
          <w:p>
            <w:pPr>
              <w:spacing w:after="0" w:line="196" w:lineRule="exact"/>
              <w:rPr>
                <w:rFonts w:ascii="Arial" w:cs="Arial" w:eastAsia="Arial" w:hAnsi="Arial"/>
                <w:sz w:val="18"/>
                <w:szCs w:val="18"/>
                <w:color w:val="0000EE"/>
              </w:rPr>
            </w:pPr>
            <w:hyperlink r:id="rId211">
              <w:r>
                <w:rPr>
                  <w:rFonts w:ascii="Arial" w:cs="Arial" w:eastAsia="Arial" w:hAnsi="Arial"/>
                  <w:sz w:val="18"/>
                  <w:szCs w:val="18"/>
                  <w:color w:val="0000EE"/>
                </w:rPr>
                <w:t>Form 8-K filed April 21, 2004).</w:t>
              </w:r>
            </w:hyperlink>
          </w:p>
        </w:tc>
      </w:tr>
      <w:tr>
        <w:trPr>
          <w:trHeight w:val="20"/>
        </w:trPr>
        <w:tc>
          <w:tcPr>
            <w:tcW w:w="1500" w:type="dxa"/>
            <w:vAlign w:val="bottom"/>
            <w:gridSpan w:val="2"/>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gridSpan w:val="2"/>
          </w:tcPr>
          <w:p>
            <w:pPr>
              <w:jc w:val="right"/>
              <w:ind w:right="1170"/>
              <w:spacing w:after="0" w:line="196" w:lineRule="exact"/>
              <w:rPr>
                <w:sz w:val="20"/>
                <w:szCs w:val="20"/>
                <w:color w:val="auto"/>
              </w:rPr>
            </w:pPr>
            <w:r>
              <w:rPr>
                <w:rFonts w:ascii="Arial" w:cs="Arial" w:eastAsia="Arial" w:hAnsi="Arial"/>
                <w:sz w:val="18"/>
                <w:szCs w:val="18"/>
                <w:color w:val="auto"/>
                <w:w w:val="87"/>
              </w:rPr>
              <w:t>2.5</w:t>
            </w: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212">
              <w:r>
                <w:rPr>
                  <w:rFonts w:ascii="Arial" w:cs="Arial" w:eastAsia="Arial" w:hAnsi="Arial"/>
                  <w:sz w:val="18"/>
                  <w:szCs w:val="18"/>
                  <w:color w:val="0000EE"/>
                  <w:w w:val="89"/>
                </w:rPr>
                <w:t>Purchase and Sale Agreement (Gas Plants), dated as of December 15, 2003, by and between El Paso Corporation, El Paso Field Services</w:t>
              </w:r>
            </w:hyperlink>
          </w:p>
        </w:tc>
      </w:tr>
      <w:tr>
        <w:trPr>
          <w:trHeight w:val="196"/>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r:id="rId212">
              <w:r>
                <w:rPr>
                  <w:rFonts w:ascii="Arial" w:cs="Arial" w:eastAsia="Arial" w:hAnsi="Arial"/>
                  <w:sz w:val="18"/>
                  <w:szCs w:val="18"/>
                  <w:color w:val="0000EE"/>
                  <w:w w:val="95"/>
                </w:rPr>
                <w:t>Management, Inc., El Paso Transmission, L.L.C., El Paso Field Services Holding Company and Enterprise Products Operating L.P.</w:t>
              </w:r>
            </w:hyperlink>
          </w:p>
        </w:tc>
      </w:tr>
      <w:tr>
        <w:trPr>
          <w:trHeight w:val="196"/>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8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212">
              <w:r>
                <w:rPr>
                  <w:rFonts w:ascii="Arial" w:cs="Arial" w:eastAsia="Arial" w:hAnsi="Arial"/>
                  <w:sz w:val="18"/>
                  <w:szCs w:val="18"/>
                  <w:color w:val="0000EE"/>
                  <w:w w:val="92"/>
                </w:rPr>
                <w:t>(incorporated by reference to Exhibit 2.4 to Form 8-K filed December 15, 2003).</w:t>
              </w:r>
            </w:hyperlink>
          </w:p>
        </w:tc>
        <w:tc>
          <w:tcPr>
            <w:tcW w:w="4080" w:type="dxa"/>
            <w:vAlign w:val="bottom"/>
            <w:gridSpan w:val="4"/>
          </w:tcPr>
          <w:p>
            <w:pPr>
              <w:spacing w:after="0"/>
              <w:rPr>
                <w:sz w:val="17"/>
                <w:szCs w:val="17"/>
                <w:color w:val="auto"/>
              </w:rPr>
            </w:pPr>
          </w:p>
        </w:tc>
      </w:tr>
      <w:tr>
        <w:trPr>
          <w:trHeight w:val="196"/>
        </w:trPr>
        <w:tc>
          <w:tcPr>
            <w:tcW w:w="1500" w:type="dxa"/>
            <w:vAlign w:val="bottom"/>
            <w:gridSpan w:val="2"/>
          </w:tcPr>
          <w:p>
            <w:pPr>
              <w:jc w:val="right"/>
              <w:ind w:right="1170"/>
              <w:spacing w:after="0" w:line="196" w:lineRule="exact"/>
              <w:rPr>
                <w:sz w:val="20"/>
                <w:szCs w:val="20"/>
                <w:color w:val="auto"/>
              </w:rPr>
            </w:pPr>
            <w:r>
              <w:rPr>
                <w:rFonts w:ascii="Arial" w:cs="Arial" w:eastAsia="Arial" w:hAnsi="Arial"/>
                <w:sz w:val="18"/>
                <w:szCs w:val="18"/>
                <w:color w:val="auto"/>
                <w:w w:val="87"/>
              </w:rPr>
              <w:t>2.6</w:t>
            </w: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213">
              <w:r>
                <w:rPr>
                  <w:rFonts w:ascii="Arial" w:cs="Arial" w:eastAsia="Arial" w:hAnsi="Arial"/>
                  <w:sz w:val="18"/>
                  <w:szCs w:val="18"/>
                  <w:color w:val="0000EE"/>
                  <w:w w:val="89"/>
                </w:rPr>
                <w:t>Agreement and Plan of Merger, dated as of June 28, 2009, by and among Enterprise Products Partners L.P., Enterprise Products GP, LLC,</w:t>
              </w:r>
            </w:hyperlink>
          </w:p>
        </w:tc>
      </w:tr>
      <w:tr>
        <w:trPr>
          <w:trHeight w:val="196"/>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213">
              <w:r>
                <w:rPr>
                  <w:rFonts w:ascii="Arial" w:cs="Arial" w:eastAsia="Arial" w:hAnsi="Arial"/>
                  <w:sz w:val="18"/>
                  <w:szCs w:val="18"/>
                  <w:color w:val="0000EE"/>
                  <w:w w:val="90"/>
                </w:rPr>
                <w:t>Enterprise Sub B LLC, TEPPCO Partners, L.P. and Texas Eastern Products Pipeline Company, LLC (incorporated by reference to Exhibit</w:t>
              </w:r>
            </w:hyperlink>
          </w:p>
        </w:tc>
      </w:tr>
      <w:tr>
        <w:trPr>
          <w:trHeight w:val="196"/>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7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213">
              <w:r>
                <w:rPr>
                  <w:rFonts w:ascii="Arial" w:cs="Arial" w:eastAsia="Arial" w:hAnsi="Arial"/>
                  <w:sz w:val="18"/>
                  <w:szCs w:val="18"/>
                  <w:color w:val="0000EE"/>
                  <w:w w:val="91"/>
                </w:rPr>
                <w:t>2.</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Form 8-K filed June 29, 2009).</w:t>
              </w:r>
            </w:hyperlink>
          </w:p>
        </w:tc>
        <w:tc>
          <w:tcPr>
            <w:tcW w:w="7240" w:type="dxa"/>
            <w:vAlign w:val="bottom"/>
            <w:gridSpan w:val="8"/>
          </w:tcPr>
          <w:p>
            <w:pPr>
              <w:spacing w:after="0"/>
              <w:rPr>
                <w:sz w:val="17"/>
                <w:szCs w:val="17"/>
                <w:color w:val="auto"/>
              </w:rPr>
            </w:pPr>
          </w:p>
        </w:tc>
      </w:tr>
      <w:tr>
        <w:trPr>
          <w:trHeight w:val="196"/>
        </w:trPr>
        <w:tc>
          <w:tcPr>
            <w:tcW w:w="1500" w:type="dxa"/>
            <w:vAlign w:val="bottom"/>
            <w:gridSpan w:val="2"/>
          </w:tcPr>
          <w:p>
            <w:pPr>
              <w:jc w:val="right"/>
              <w:ind w:right="1170"/>
              <w:spacing w:after="0" w:line="196" w:lineRule="exact"/>
              <w:rPr>
                <w:sz w:val="20"/>
                <w:szCs w:val="20"/>
                <w:color w:val="auto"/>
              </w:rPr>
            </w:pPr>
            <w:r>
              <w:rPr>
                <w:rFonts w:ascii="Arial" w:cs="Arial" w:eastAsia="Arial" w:hAnsi="Arial"/>
                <w:sz w:val="18"/>
                <w:szCs w:val="18"/>
                <w:color w:val="auto"/>
                <w:w w:val="87"/>
              </w:rPr>
              <w:t>2.7</w:t>
            </w: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214">
              <w:r>
                <w:rPr>
                  <w:rFonts w:ascii="Arial" w:cs="Arial" w:eastAsia="Arial" w:hAnsi="Arial"/>
                  <w:sz w:val="18"/>
                  <w:szCs w:val="18"/>
                  <w:color w:val="0000EE"/>
                  <w:w w:val="89"/>
                </w:rPr>
                <w:t>Agreement and Plan of Merger, dated as of June 28, 2009, by and among Enterprise Products Partners L.P., Enterprise Products GP, LLC,</w:t>
              </w:r>
            </w:hyperlink>
          </w:p>
        </w:tc>
      </w:tr>
      <w:tr>
        <w:trPr>
          <w:trHeight w:val="196"/>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r:id="rId214">
              <w:r>
                <w:rPr>
                  <w:rFonts w:ascii="Arial" w:cs="Arial" w:eastAsia="Arial" w:hAnsi="Arial"/>
                  <w:sz w:val="18"/>
                  <w:szCs w:val="18"/>
                  <w:color w:val="0000EE"/>
                  <w:w w:val="95"/>
                </w:rPr>
                <w:t>Enterprise Sub A LLC, TEPPCO Partners, L.P. and Texas Eastern Products Pipeline Company, LLC (incorporated by reference to</w:t>
              </w:r>
            </w:hyperlink>
          </w:p>
        </w:tc>
      </w:tr>
      <w:tr>
        <w:trPr>
          <w:trHeight w:val="196"/>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940" w:type="dxa"/>
            <w:vAlign w:val="bottom"/>
            <w:gridSpan w:val="12"/>
          </w:tcPr>
          <w:p>
            <w:pPr>
              <w:spacing w:after="0" w:line="196" w:lineRule="exact"/>
              <w:rPr>
                <w:rFonts w:ascii="Arial" w:cs="Arial" w:eastAsia="Arial" w:hAnsi="Arial"/>
                <w:sz w:val="18"/>
                <w:szCs w:val="18"/>
                <w:color w:val="0000EE"/>
              </w:rPr>
            </w:pPr>
            <w:hyperlink r:id="rId214">
              <w:r>
                <w:rPr>
                  <w:rFonts w:ascii="Arial" w:cs="Arial" w:eastAsia="Arial" w:hAnsi="Arial"/>
                  <w:sz w:val="18"/>
                  <w:szCs w:val="18"/>
                  <w:color w:val="0000EE"/>
                </w:rPr>
                <w:t>Exhibit 2.2 to Form 8-K filed June 29, 2009).</w:t>
              </w:r>
            </w:hyperlink>
          </w:p>
        </w:tc>
      </w:tr>
      <w:tr>
        <w:trPr>
          <w:trHeight w:val="20"/>
        </w:trPr>
        <w:tc>
          <w:tcPr>
            <w:tcW w:w="1500" w:type="dxa"/>
            <w:vAlign w:val="bottom"/>
            <w:gridSpan w:val="2"/>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gridSpan w:val="2"/>
          </w:tcPr>
          <w:p>
            <w:pPr>
              <w:jc w:val="right"/>
              <w:ind w:right="1170"/>
              <w:spacing w:after="0" w:line="196" w:lineRule="exact"/>
              <w:rPr>
                <w:sz w:val="20"/>
                <w:szCs w:val="20"/>
                <w:color w:val="auto"/>
              </w:rPr>
            </w:pPr>
            <w:r>
              <w:rPr>
                <w:rFonts w:ascii="Arial" w:cs="Arial" w:eastAsia="Arial" w:hAnsi="Arial"/>
                <w:sz w:val="18"/>
                <w:szCs w:val="18"/>
                <w:color w:val="auto"/>
                <w:w w:val="87"/>
              </w:rPr>
              <w:t>2.8</w:t>
            </w:r>
          </w:p>
        </w:tc>
        <w:tc>
          <w:tcPr>
            <w:tcW w:w="9940" w:type="dxa"/>
            <w:vAlign w:val="bottom"/>
            <w:gridSpan w:val="12"/>
          </w:tcPr>
          <w:p>
            <w:pPr>
              <w:spacing w:after="0" w:line="196" w:lineRule="exact"/>
              <w:rPr>
                <w:rFonts w:ascii="Arial" w:cs="Arial" w:eastAsia="Arial" w:hAnsi="Arial"/>
                <w:sz w:val="18"/>
                <w:szCs w:val="18"/>
                <w:color w:val="0000EE"/>
                <w:w w:val="89"/>
              </w:rPr>
            </w:pPr>
            <w:hyperlink r:id="rId215">
              <w:r>
                <w:rPr>
                  <w:rFonts w:ascii="Arial" w:cs="Arial" w:eastAsia="Arial" w:hAnsi="Arial"/>
                  <w:sz w:val="18"/>
                  <w:szCs w:val="18"/>
                  <w:color w:val="0000EE"/>
                  <w:w w:val="89"/>
                </w:rPr>
                <w:t>Agreement and Plan of Merger, dated as of September 3, 2010, by and among Enterprise Products Partners L.P., Enterprise Products GP,</w:t>
              </w:r>
            </w:hyperlink>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740" w:type="dxa"/>
            <w:vAlign w:val="bottom"/>
            <w:gridSpan w:val="7"/>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215">
              <w:r>
                <w:rPr>
                  <w:rFonts w:ascii="Arial" w:cs="Arial" w:eastAsia="Arial" w:hAnsi="Arial"/>
                  <w:sz w:val="18"/>
                  <w:szCs w:val="18"/>
                  <w:color w:val="0000EE"/>
                  <w:w w:val="93"/>
                </w:rPr>
                <w:t>LLC, Enterprise ETE LLC, Enterprise GP Holdings L.P. and EPE Holdings, LLC (incorporated by reference to Exhibit 2.1 to Form 8-K</w:t>
              </w:r>
            </w:hyperlink>
          </w:p>
        </w:tc>
      </w:tr>
      <w:tr>
        <w:trPr>
          <w:trHeight w:val="196"/>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940" w:type="dxa"/>
            <w:vAlign w:val="bottom"/>
            <w:gridSpan w:val="12"/>
          </w:tcPr>
          <w:p>
            <w:pPr>
              <w:spacing w:after="0" w:line="196" w:lineRule="exact"/>
              <w:rPr>
                <w:rFonts w:ascii="Arial" w:cs="Arial" w:eastAsia="Arial" w:hAnsi="Arial"/>
                <w:sz w:val="18"/>
                <w:szCs w:val="18"/>
                <w:color w:val="0000EE"/>
              </w:rPr>
            </w:pPr>
            <w:hyperlink r:id="rId215">
              <w:r>
                <w:rPr>
                  <w:rFonts w:ascii="Arial" w:cs="Arial" w:eastAsia="Arial" w:hAnsi="Arial"/>
                  <w:sz w:val="18"/>
                  <w:szCs w:val="18"/>
                  <w:color w:val="0000EE"/>
                </w:rPr>
                <w:t>filed September 7, 2010).</w:t>
              </w:r>
            </w:hyperlink>
          </w:p>
        </w:tc>
      </w:tr>
      <w:tr>
        <w:trPr>
          <w:trHeight w:val="20"/>
        </w:trPr>
        <w:tc>
          <w:tcPr>
            <w:tcW w:w="1500" w:type="dxa"/>
            <w:vAlign w:val="bottom"/>
            <w:gridSpan w:val="2"/>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74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500" w:type="dxa"/>
            <w:vAlign w:val="bottom"/>
            <w:gridSpan w:val="2"/>
          </w:tcPr>
          <w:p>
            <w:pPr>
              <w:jc w:val="right"/>
              <w:ind w:right="1170"/>
              <w:spacing w:after="0" w:line="196" w:lineRule="exact"/>
              <w:rPr>
                <w:sz w:val="20"/>
                <w:szCs w:val="20"/>
                <w:color w:val="auto"/>
              </w:rPr>
            </w:pPr>
            <w:r>
              <w:rPr>
                <w:rFonts w:ascii="Arial" w:cs="Arial" w:eastAsia="Arial" w:hAnsi="Arial"/>
                <w:sz w:val="18"/>
                <w:szCs w:val="18"/>
                <w:color w:val="auto"/>
                <w:w w:val="87"/>
              </w:rPr>
              <w:t>2.9</w:t>
            </w:r>
          </w:p>
        </w:tc>
        <w:tc>
          <w:tcPr>
            <w:tcW w:w="9940" w:type="dxa"/>
            <w:vAlign w:val="bottom"/>
            <w:gridSpan w:val="12"/>
          </w:tcPr>
          <w:p>
            <w:pPr>
              <w:spacing w:after="0" w:line="196" w:lineRule="exact"/>
              <w:rPr>
                <w:rFonts w:ascii="Arial" w:cs="Arial" w:eastAsia="Arial" w:hAnsi="Arial"/>
                <w:sz w:val="18"/>
                <w:szCs w:val="18"/>
                <w:color w:val="0000EE"/>
                <w:w w:val="90"/>
              </w:rPr>
            </w:pPr>
            <w:hyperlink r:id="rId216">
              <w:r>
                <w:rPr>
                  <w:rFonts w:ascii="Arial" w:cs="Arial" w:eastAsia="Arial" w:hAnsi="Arial"/>
                  <w:sz w:val="18"/>
                  <w:szCs w:val="18"/>
                  <w:color w:val="0000EE"/>
                  <w:w w:val="90"/>
                </w:rPr>
                <w:t>Agreement and Plan of Merger, dated as of September 3, 2010, by and among Enterprise Products GP, LLC, Enterprise GP Holdings L.P.</w:t>
              </w:r>
            </w:hyperlink>
          </w:p>
        </w:tc>
      </w:tr>
      <w:tr>
        <w:trPr>
          <w:trHeight w:val="196"/>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9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16">
              <w:r>
                <w:rPr>
                  <w:rFonts w:ascii="Arial" w:cs="Arial" w:eastAsia="Arial" w:hAnsi="Arial"/>
                  <w:sz w:val="18"/>
                  <w:szCs w:val="18"/>
                  <w:color w:val="0000EE"/>
                </w:rPr>
                <w:t>and EPE Holdings, LLC (incorporated by reference to Exhibit 2.2 to Form 8-K filed September 7, 2010).</w:t>
              </w:r>
            </w:hyperlink>
          </w:p>
        </w:tc>
        <w:tc>
          <w:tcPr>
            <w:tcW w:w="40" w:type="dxa"/>
            <w:vAlign w:val="bottom"/>
            <w:gridSpan w:val="2"/>
          </w:tcPr>
          <w:p>
            <w:pPr>
              <w:spacing w:after="0"/>
              <w:rPr>
                <w:sz w:val="17"/>
                <w:szCs w:val="17"/>
                <w:color w:val="auto"/>
              </w:rPr>
            </w:pPr>
          </w:p>
        </w:tc>
      </w:tr>
      <w:tr>
        <w:trPr>
          <w:trHeight w:val="426"/>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580" w:type="dxa"/>
            <w:vAlign w:val="bottom"/>
            <w:tcBorders>
              <w:top w:val="single" w:sz="8" w:color="0000EE"/>
            </w:tcBorders>
            <w:gridSpan w:val="6"/>
          </w:tcPr>
          <w:p>
            <w:pPr>
              <w:ind w:left="4080"/>
              <w:spacing w:after="0"/>
              <w:rPr>
                <w:sz w:val="20"/>
                <w:szCs w:val="20"/>
                <w:color w:val="auto"/>
              </w:rPr>
            </w:pPr>
            <w:r>
              <w:rPr>
                <w:rFonts w:ascii="Arial" w:cs="Arial" w:eastAsia="Arial" w:hAnsi="Arial"/>
                <w:sz w:val="18"/>
                <w:szCs w:val="18"/>
                <w:color w:val="auto"/>
              </w:rPr>
              <w:t>140</w:t>
            </w:r>
          </w:p>
        </w:tc>
        <w:tc>
          <w:tcPr>
            <w:tcW w:w="1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70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42" w:name="page143"/>
    <w:bookmarkEnd w:id="1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2.10</w:t>
            </w:r>
          </w:p>
        </w:tc>
        <w:tc>
          <w:tcPr>
            <w:tcW w:w="9920" w:type="dxa"/>
            <w:vAlign w:val="bottom"/>
            <w:tcBorders>
              <w:bottom w:val="single" w:sz="8" w:color="0000EE"/>
            </w:tcBorders>
            <w:gridSpan w:val="19"/>
          </w:tcPr>
          <w:p>
            <w:pPr>
              <w:spacing w:after="0"/>
              <w:rPr>
                <w:rFonts w:ascii="Arial" w:cs="Arial" w:eastAsia="Arial" w:hAnsi="Arial"/>
                <w:sz w:val="18"/>
                <w:szCs w:val="18"/>
                <w:color w:val="0000EE"/>
                <w:w w:val="95"/>
              </w:rPr>
            </w:pPr>
            <w:hyperlink r:id="rId217">
              <w:r>
                <w:rPr>
                  <w:rFonts w:ascii="Arial" w:cs="Arial" w:eastAsia="Arial" w:hAnsi="Arial"/>
                  <w:sz w:val="18"/>
                  <w:szCs w:val="18"/>
                  <w:color w:val="0000EE"/>
                  <w:w w:val="95"/>
                </w:rPr>
                <w:t>Contribution Agreement, dated as of September 30, 2010, by and between Enterprise Products Company and Enterprise Products</w:t>
              </w:r>
            </w:hyperlink>
          </w:p>
        </w:tc>
      </w:tr>
      <w:tr>
        <w:trPr>
          <w:trHeight w:val="196"/>
        </w:trPr>
        <w:tc>
          <w:tcPr>
            <w:tcW w:w="1500" w:type="dxa"/>
            <w:vAlign w:val="bottom"/>
          </w:tcPr>
          <w:p>
            <w:pPr>
              <w:spacing w:after="0"/>
              <w:rPr>
                <w:sz w:val="17"/>
                <w:szCs w:val="17"/>
                <w:color w:val="auto"/>
              </w:rPr>
            </w:pPr>
          </w:p>
        </w:tc>
        <w:tc>
          <w:tcPr>
            <w:tcW w:w="9920" w:type="dxa"/>
            <w:vAlign w:val="bottom"/>
            <w:gridSpan w:val="19"/>
          </w:tcPr>
          <w:p>
            <w:pPr>
              <w:spacing w:after="0" w:line="196" w:lineRule="exact"/>
              <w:rPr>
                <w:rFonts w:ascii="Arial" w:cs="Arial" w:eastAsia="Arial" w:hAnsi="Arial"/>
                <w:sz w:val="18"/>
                <w:szCs w:val="18"/>
                <w:color w:val="0000EE"/>
              </w:rPr>
            </w:pPr>
            <w:hyperlink r:id="rId217">
              <w:r>
                <w:rPr>
                  <w:rFonts w:ascii="Arial" w:cs="Arial" w:eastAsia="Arial" w:hAnsi="Arial"/>
                  <w:sz w:val="18"/>
                  <w:szCs w:val="18"/>
                  <w:color w:val="0000EE"/>
                </w:rPr>
                <w:t>Partners L.P. (incorporated by reference to Exhibit 2.1 to Form 8-K filed October 1, 2010).</w:t>
              </w:r>
            </w:hyperlink>
          </w:p>
        </w:tc>
      </w:tr>
      <w:tr>
        <w:trPr>
          <w:trHeight w:val="20"/>
        </w:trPr>
        <w:tc>
          <w:tcPr>
            <w:tcW w:w="15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9920" w:type="dxa"/>
            <w:vAlign w:val="bottom"/>
            <w:gridSpan w:val="19"/>
          </w:tcPr>
          <w:p>
            <w:pPr>
              <w:spacing w:after="0" w:line="196" w:lineRule="exact"/>
              <w:rPr>
                <w:rFonts w:ascii="Arial" w:cs="Arial" w:eastAsia="Arial" w:hAnsi="Arial"/>
                <w:sz w:val="18"/>
                <w:szCs w:val="18"/>
                <w:color w:val="0000EE"/>
                <w:w w:val="96"/>
              </w:rPr>
            </w:pPr>
            <w:hyperlink r:id="rId218">
              <w:r>
                <w:rPr>
                  <w:rFonts w:ascii="Arial" w:cs="Arial" w:eastAsia="Arial" w:hAnsi="Arial"/>
                  <w:sz w:val="18"/>
                  <w:szCs w:val="18"/>
                  <w:color w:val="0000EE"/>
                  <w:w w:val="96"/>
                </w:rPr>
                <w:t>Agreement and Plan of Merger, dated as of April 28, 2011, by and among Enterprise Products Partners L.P., Enterprise Products</w:t>
              </w:r>
            </w:hyperlink>
          </w:p>
        </w:tc>
      </w:tr>
      <w:tr>
        <w:trPr>
          <w:trHeight w:val="20"/>
        </w:trPr>
        <w:tc>
          <w:tcPr>
            <w:tcW w:w="15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920" w:type="dxa"/>
            <w:vAlign w:val="bottom"/>
            <w:gridSpan w:val="19"/>
          </w:tcPr>
          <w:p>
            <w:pPr>
              <w:spacing w:after="0" w:line="196" w:lineRule="exact"/>
              <w:rPr>
                <w:rFonts w:ascii="Arial" w:cs="Arial" w:eastAsia="Arial" w:hAnsi="Arial"/>
                <w:sz w:val="18"/>
                <w:szCs w:val="18"/>
                <w:color w:val="0000EE"/>
                <w:w w:val="93"/>
              </w:rPr>
            </w:pPr>
            <w:hyperlink r:id="rId218">
              <w:r>
                <w:rPr>
                  <w:rFonts w:ascii="Arial" w:cs="Arial" w:eastAsia="Arial" w:hAnsi="Arial"/>
                  <w:sz w:val="18"/>
                  <w:szCs w:val="18"/>
                  <w:color w:val="0000EE"/>
                  <w:w w:val="93"/>
                </w:rPr>
                <w:t>Holdings LLC, EPD MergerCo LLC, Duncan Energy Partners L.P. and DEP Holdings, LLC (incorporated by reference to Exhibit 2.1 to</w:t>
              </w:r>
            </w:hyperlink>
          </w:p>
        </w:tc>
      </w:tr>
      <w:tr>
        <w:trPr>
          <w:trHeight w:val="196"/>
        </w:trPr>
        <w:tc>
          <w:tcPr>
            <w:tcW w:w="1500" w:type="dxa"/>
            <w:vAlign w:val="bottom"/>
          </w:tcPr>
          <w:p>
            <w:pPr>
              <w:spacing w:after="0"/>
              <w:rPr>
                <w:sz w:val="17"/>
                <w:szCs w:val="17"/>
                <w:color w:val="auto"/>
              </w:rPr>
            </w:pPr>
          </w:p>
        </w:tc>
        <w:tc>
          <w:tcPr>
            <w:tcW w:w="99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18">
              <w:r>
                <w:rPr>
                  <w:rFonts w:ascii="Arial" w:cs="Arial" w:eastAsia="Arial" w:hAnsi="Arial"/>
                  <w:sz w:val="18"/>
                  <w:szCs w:val="18"/>
                  <w:color w:val="0000EE"/>
                </w:rPr>
                <w:t>Form 8-K filed April 29, 2011).</w:t>
              </w:r>
            </w:hyperlink>
          </w:p>
        </w:tc>
        <w:tc>
          <w:tcPr>
            <w:tcW w:w="2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2.12</w:t>
            </w:r>
          </w:p>
        </w:tc>
        <w:tc>
          <w:tcPr>
            <w:tcW w:w="99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219">
              <w:r>
                <w:rPr>
                  <w:rFonts w:ascii="Arial" w:cs="Arial" w:eastAsia="Arial" w:hAnsi="Arial"/>
                  <w:sz w:val="18"/>
                  <w:szCs w:val="18"/>
                  <w:color w:val="0000EE"/>
                  <w:w w:val="90"/>
                </w:rPr>
                <w:t>Contribution and Purchase Agreement, dated as of October 1, 2014, by and among Enterprise Products Partners L.P., Oiltanking Holding</w:t>
              </w:r>
            </w:hyperlink>
          </w:p>
        </w:tc>
      </w:tr>
      <w:tr>
        <w:trPr>
          <w:trHeight w:val="196"/>
        </w:trPr>
        <w:tc>
          <w:tcPr>
            <w:tcW w:w="1500" w:type="dxa"/>
            <w:vAlign w:val="bottom"/>
          </w:tcPr>
          <w:p>
            <w:pPr>
              <w:spacing w:after="0"/>
              <w:rPr>
                <w:sz w:val="17"/>
                <w:szCs w:val="17"/>
                <w:color w:val="auto"/>
              </w:rPr>
            </w:pPr>
          </w:p>
        </w:tc>
        <w:tc>
          <w:tcPr>
            <w:tcW w:w="840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219">
              <w:r>
                <w:rPr>
                  <w:rFonts w:ascii="Arial" w:cs="Arial" w:eastAsia="Arial" w:hAnsi="Arial"/>
                  <w:sz w:val="18"/>
                  <w:szCs w:val="18"/>
                  <w:color w:val="0000EE"/>
                  <w:w w:val="92"/>
                </w:rPr>
                <w:t>Americas, Inc. and OTB Holdco, LLC (incorporated by reference to Exhibit 2.1 to Form 8-K filed October 1, 2014).</w:t>
              </w:r>
            </w:hyperlink>
          </w:p>
        </w:tc>
        <w:tc>
          <w:tcPr>
            <w:tcW w:w="1520" w:type="dxa"/>
            <w:vAlign w:val="bottom"/>
            <w:gridSpan w:val="3"/>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2.13</w:t>
            </w:r>
          </w:p>
        </w:tc>
        <w:tc>
          <w:tcPr>
            <w:tcW w:w="99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220">
              <w:r>
                <w:rPr>
                  <w:rFonts w:ascii="Arial" w:cs="Arial" w:eastAsia="Arial" w:hAnsi="Arial"/>
                  <w:sz w:val="18"/>
                  <w:szCs w:val="18"/>
                  <w:color w:val="0000EE"/>
                  <w:w w:val="92"/>
                </w:rPr>
                <w:t>Agreement and Plan of Merger, dated as of November 11, 2014, by and among Enterprise Products Partners L.P., Enterprise Products</w:t>
              </w:r>
            </w:hyperlink>
          </w:p>
        </w:tc>
      </w:tr>
      <w:tr>
        <w:trPr>
          <w:trHeight w:val="196"/>
        </w:trPr>
        <w:tc>
          <w:tcPr>
            <w:tcW w:w="1500" w:type="dxa"/>
            <w:vAlign w:val="bottom"/>
          </w:tcPr>
          <w:p>
            <w:pPr>
              <w:spacing w:after="0"/>
              <w:rPr>
                <w:sz w:val="17"/>
                <w:szCs w:val="17"/>
                <w:color w:val="auto"/>
              </w:rPr>
            </w:pPr>
          </w:p>
        </w:tc>
        <w:tc>
          <w:tcPr>
            <w:tcW w:w="9920" w:type="dxa"/>
            <w:vAlign w:val="bottom"/>
            <w:gridSpan w:val="19"/>
          </w:tcPr>
          <w:p>
            <w:pPr>
              <w:spacing w:after="0" w:line="196" w:lineRule="exact"/>
              <w:rPr>
                <w:rFonts w:ascii="Arial" w:cs="Arial" w:eastAsia="Arial" w:hAnsi="Arial"/>
                <w:sz w:val="18"/>
                <w:szCs w:val="18"/>
                <w:color w:val="0000EE"/>
                <w:w w:val="92"/>
              </w:rPr>
            </w:pPr>
            <w:hyperlink r:id="rId220">
              <w:r>
                <w:rPr>
                  <w:rFonts w:ascii="Arial" w:cs="Arial" w:eastAsia="Arial" w:hAnsi="Arial"/>
                  <w:sz w:val="18"/>
                  <w:szCs w:val="18"/>
                  <w:color w:val="0000EE"/>
                  <w:w w:val="92"/>
                </w:rPr>
                <w:t>Holdings LLC, EPOT MergerCo LLC, Oiltanking Partners, L.P. and OTLP GP, LLC (incorporated by reference to Exhibit 2.1 to Form 8-</w:t>
              </w:r>
            </w:hyperlink>
          </w:p>
        </w:tc>
      </w:tr>
      <w:tr>
        <w:trPr>
          <w:trHeight w:val="196"/>
        </w:trPr>
        <w:tc>
          <w:tcPr>
            <w:tcW w:w="1500" w:type="dxa"/>
            <w:vAlign w:val="bottom"/>
          </w:tcPr>
          <w:p>
            <w:pPr>
              <w:spacing w:after="0"/>
              <w:rPr>
                <w:sz w:val="17"/>
                <w:szCs w:val="17"/>
                <w:color w:val="auto"/>
              </w:rPr>
            </w:pPr>
          </w:p>
        </w:tc>
        <w:tc>
          <w:tcPr>
            <w:tcW w:w="99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20">
              <w:r>
                <w:rPr>
                  <w:rFonts w:ascii="Arial" w:cs="Arial" w:eastAsia="Arial" w:hAnsi="Arial"/>
                  <w:sz w:val="18"/>
                  <w:szCs w:val="18"/>
                  <w:color w:val="0000EE"/>
                </w:rPr>
                <w:t>K filed November 12, 2014).</w:t>
              </w:r>
            </w:hyperlink>
          </w:p>
        </w:tc>
        <w:tc>
          <w:tcPr>
            <w:tcW w:w="2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2.14</w:t>
            </w:r>
          </w:p>
        </w:tc>
        <w:tc>
          <w:tcPr>
            <w:tcW w:w="99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221">
              <w:r>
                <w:rPr>
                  <w:rFonts w:ascii="Arial" w:cs="Arial" w:eastAsia="Arial" w:hAnsi="Arial"/>
                  <w:sz w:val="18"/>
                  <w:szCs w:val="18"/>
                  <w:color w:val="0000EE"/>
                  <w:w w:val="91"/>
                </w:rPr>
                <w:t>Amendment No. 1 dated as of June 6, 2018 to Contribution and Purchase Agreement, by and among Enterprise Products Partners L.P.,</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221">
              <w:r>
                <w:rPr>
                  <w:rFonts w:ascii="Arial" w:cs="Arial" w:eastAsia="Arial" w:hAnsi="Arial"/>
                  <w:sz w:val="18"/>
                  <w:szCs w:val="18"/>
                  <w:color w:val="0000EE"/>
                  <w:w w:val="93"/>
                </w:rPr>
                <w:t>Oiltanking Holding Americas, Inc., Enterprise Products Holdings LLC and Marquard &amp; Bahls, AG (incorporated by reference to Exhibit</w:t>
              </w:r>
            </w:hyperlink>
          </w:p>
        </w:tc>
      </w:tr>
      <w:tr>
        <w:trPr>
          <w:trHeight w:val="196"/>
        </w:trPr>
        <w:tc>
          <w:tcPr>
            <w:tcW w:w="1500" w:type="dxa"/>
            <w:vAlign w:val="bottom"/>
          </w:tcPr>
          <w:p>
            <w:pPr>
              <w:spacing w:after="0"/>
              <w:rPr>
                <w:sz w:val="17"/>
                <w:szCs w:val="17"/>
                <w:color w:val="auto"/>
              </w:rPr>
            </w:pPr>
          </w:p>
        </w:tc>
        <w:tc>
          <w:tcPr>
            <w:tcW w:w="27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221">
              <w:r>
                <w:rPr>
                  <w:rFonts w:ascii="Arial" w:cs="Arial" w:eastAsia="Arial" w:hAnsi="Arial"/>
                  <w:sz w:val="18"/>
                  <w:szCs w:val="18"/>
                  <w:color w:val="0000EE"/>
                  <w:w w:val="91"/>
                </w:rPr>
                <w:t>2.</w:t>
              </w:r>
              <w:r>
                <w:rPr>
                  <w:rFonts w:ascii="Arial" w:cs="Arial" w:eastAsia="Arial" w:hAnsi="Arial"/>
                  <w:sz w:val="18"/>
                  <w:szCs w:val="18"/>
                  <w:u w:val="single" w:color="auto"/>
                  <w:color w:val="0000EE"/>
                  <w:w w:val="91"/>
                </w:rPr>
                <w:t>2</w:t>
              </w:r>
              <w:r>
                <w:rPr>
                  <w:rFonts w:ascii="Arial" w:cs="Arial" w:eastAsia="Arial" w:hAnsi="Arial"/>
                  <w:sz w:val="18"/>
                  <w:szCs w:val="18"/>
                  <w:color w:val="0000EE"/>
                  <w:w w:val="91"/>
                </w:rPr>
                <w:t xml:space="preserve"> to Form 8-K filed June 12, 2018).</w:t>
              </w:r>
            </w:hyperlink>
          </w:p>
        </w:tc>
        <w:tc>
          <w:tcPr>
            <w:tcW w:w="7220" w:type="dxa"/>
            <w:vAlign w:val="bottom"/>
            <w:gridSpan w:val="13"/>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9920" w:type="dxa"/>
            <w:vAlign w:val="bottom"/>
            <w:gridSpan w:val="19"/>
          </w:tcPr>
          <w:p>
            <w:pPr>
              <w:spacing w:after="0" w:line="196" w:lineRule="exact"/>
              <w:rPr>
                <w:rFonts w:ascii="Arial" w:cs="Arial" w:eastAsia="Arial" w:hAnsi="Arial"/>
                <w:sz w:val="18"/>
                <w:szCs w:val="18"/>
                <w:color w:val="0000EE"/>
                <w:w w:val="96"/>
              </w:rPr>
            </w:pPr>
            <w:hyperlink r:id="rId222">
              <w:r>
                <w:rPr>
                  <w:rFonts w:ascii="Arial" w:cs="Arial" w:eastAsia="Arial" w:hAnsi="Arial"/>
                  <w:sz w:val="18"/>
                  <w:szCs w:val="18"/>
                  <w:color w:val="0000EE"/>
                  <w:w w:val="96"/>
                </w:rPr>
                <w:t>Certificate of Limited Partnership of Enterprise Products Partners L.P. (incorporated by reference to Exhibit 3.6 to Form 10-Q filed</w:t>
              </w:r>
            </w:hyperlink>
          </w:p>
        </w:tc>
      </w:tr>
      <w:tr>
        <w:trPr>
          <w:trHeight w:val="196"/>
        </w:trPr>
        <w:tc>
          <w:tcPr>
            <w:tcW w:w="1500" w:type="dxa"/>
            <w:vAlign w:val="bottom"/>
          </w:tcPr>
          <w:p>
            <w:pPr>
              <w:spacing w:after="0"/>
              <w:rPr>
                <w:sz w:val="17"/>
                <w:szCs w:val="17"/>
                <w:color w:val="auto"/>
              </w:rPr>
            </w:pPr>
          </w:p>
        </w:tc>
        <w:tc>
          <w:tcPr>
            <w:tcW w:w="99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22">
              <w:r>
                <w:rPr>
                  <w:rFonts w:ascii="Arial" w:cs="Arial" w:eastAsia="Arial" w:hAnsi="Arial"/>
                  <w:sz w:val="18"/>
                  <w:szCs w:val="18"/>
                  <w:color w:val="0000EE"/>
                </w:rPr>
                <w:t>November 9, 2007).</w:t>
              </w:r>
            </w:hyperlink>
          </w:p>
        </w:tc>
        <w:tc>
          <w:tcPr>
            <w:tcW w:w="2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99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223">
              <w:r>
                <w:rPr>
                  <w:rFonts w:ascii="Arial" w:cs="Arial" w:eastAsia="Arial" w:hAnsi="Arial"/>
                  <w:sz w:val="18"/>
                  <w:szCs w:val="18"/>
                  <w:color w:val="0000EE"/>
                  <w:w w:val="91"/>
                </w:rPr>
                <w:t>Certificate of Amendment to Certificate of Limited Partnership of Enterprise Products Partners L.P., filed on November 22, 2010 with the</w:t>
              </w:r>
            </w:hyperlink>
          </w:p>
        </w:tc>
      </w:tr>
      <w:tr>
        <w:trPr>
          <w:trHeight w:val="196"/>
        </w:trPr>
        <w:tc>
          <w:tcPr>
            <w:tcW w:w="1500" w:type="dxa"/>
            <w:vAlign w:val="bottom"/>
          </w:tcPr>
          <w:p>
            <w:pPr>
              <w:spacing w:after="0"/>
              <w:rPr>
                <w:sz w:val="17"/>
                <w:szCs w:val="17"/>
                <w:color w:val="auto"/>
              </w:rPr>
            </w:pPr>
          </w:p>
        </w:tc>
        <w:tc>
          <w:tcPr>
            <w:tcW w:w="79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223">
              <w:r>
                <w:rPr>
                  <w:rFonts w:ascii="Arial" w:cs="Arial" w:eastAsia="Arial" w:hAnsi="Arial"/>
                  <w:sz w:val="18"/>
                  <w:szCs w:val="18"/>
                  <w:color w:val="0000EE"/>
                  <w:w w:val="91"/>
                </w:rPr>
                <w:t>Delaware Secretary of State (incorporated by reference to Exhibit 3.6 to Form 8-K filed November 23, 2010).</w:t>
              </w:r>
            </w:hyperlink>
          </w:p>
        </w:tc>
        <w:tc>
          <w:tcPr>
            <w:tcW w:w="2020" w:type="dxa"/>
            <w:vAlign w:val="bottom"/>
            <w:gridSpan w:val="5"/>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3.3</w:t>
            </w:r>
          </w:p>
        </w:tc>
        <w:tc>
          <w:tcPr>
            <w:tcW w:w="992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r:id="rId224">
              <w:r>
                <w:rPr>
                  <w:rFonts w:ascii="Arial" w:cs="Arial" w:eastAsia="Arial" w:hAnsi="Arial"/>
                  <w:sz w:val="18"/>
                  <w:szCs w:val="18"/>
                  <w:color w:val="0000EE"/>
                  <w:w w:val="97"/>
                </w:rPr>
                <w:t>Sixth Amended and Restated Agreement of Limited Partnership of Enterprise Products Partners L.P., dated November 22, 2010</w:t>
              </w:r>
            </w:hyperlink>
          </w:p>
        </w:tc>
      </w:tr>
      <w:tr>
        <w:trPr>
          <w:trHeight w:val="196"/>
        </w:trPr>
        <w:tc>
          <w:tcPr>
            <w:tcW w:w="1500" w:type="dxa"/>
            <w:vAlign w:val="bottom"/>
          </w:tcPr>
          <w:p>
            <w:pPr>
              <w:spacing w:after="0"/>
              <w:rPr>
                <w:sz w:val="17"/>
                <w:szCs w:val="17"/>
                <w:color w:val="auto"/>
              </w:rPr>
            </w:pPr>
          </w:p>
        </w:tc>
        <w:tc>
          <w:tcPr>
            <w:tcW w:w="58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224">
              <w:r>
                <w:rPr>
                  <w:rFonts w:ascii="Arial" w:cs="Arial" w:eastAsia="Arial" w:hAnsi="Arial"/>
                  <w:sz w:val="18"/>
                  <w:szCs w:val="18"/>
                  <w:color w:val="0000EE"/>
                  <w:w w:val="92"/>
                </w:rPr>
                <w:t>(incorporated by reference to Exhibit 3.2 to Form 8-K filed November 23, 2010).</w:t>
              </w:r>
            </w:hyperlink>
          </w:p>
        </w:tc>
        <w:tc>
          <w:tcPr>
            <w:tcW w:w="4080" w:type="dxa"/>
            <w:vAlign w:val="bottom"/>
            <w:gridSpan w:val="1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3.4</w:t>
            </w:r>
          </w:p>
        </w:tc>
        <w:tc>
          <w:tcPr>
            <w:tcW w:w="992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r:id="rId225">
              <w:r>
                <w:rPr>
                  <w:rFonts w:ascii="Arial" w:cs="Arial" w:eastAsia="Arial" w:hAnsi="Arial"/>
                  <w:sz w:val="18"/>
                  <w:szCs w:val="18"/>
                  <w:color w:val="0000EE"/>
                  <w:w w:val="96"/>
                </w:rPr>
                <w:t>Amendment No. 1 to Sixth Amended and Restated Agreement of Limited Partnership of Enterprise Products Partners L.P., dated</w:t>
              </w:r>
            </w:hyperlink>
          </w:p>
        </w:tc>
      </w:tr>
      <w:tr>
        <w:trPr>
          <w:trHeight w:val="196"/>
        </w:trPr>
        <w:tc>
          <w:tcPr>
            <w:tcW w:w="1500" w:type="dxa"/>
            <w:vAlign w:val="bottom"/>
          </w:tcPr>
          <w:p>
            <w:pPr>
              <w:spacing w:after="0"/>
              <w:rPr>
                <w:sz w:val="17"/>
                <w:szCs w:val="17"/>
                <w:color w:val="auto"/>
              </w:rPr>
            </w:pPr>
          </w:p>
        </w:tc>
        <w:tc>
          <w:tcPr>
            <w:tcW w:w="78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225">
              <w:r>
                <w:rPr>
                  <w:rFonts w:ascii="Arial" w:cs="Arial" w:eastAsia="Arial" w:hAnsi="Arial"/>
                  <w:sz w:val="18"/>
                  <w:szCs w:val="18"/>
                  <w:color w:val="0000EE"/>
                  <w:w w:val="91"/>
                </w:rPr>
                <w:t>effective as of August 11, 2011 (incorporated by reference to Exhibit 3.1 to Form 8-K filed August 16, 2011).</w:t>
              </w:r>
            </w:hyperlink>
          </w:p>
        </w:tc>
        <w:tc>
          <w:tcPr>
            <w:tcW w:w="2040" w:type="dxa"/>
            <w:vAlign w:val="bottom"/>
            <w:gridSpan w:val="6"/>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3.5</w:t>
            </w:r>
          </w:p>
        </w:tc>
        <w:tc>
          <w:tcPr>
            <w:tcW w:w="992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r:id="rId226">
              <w:r>
                <w:rPr>
                  <w:rFonts w:ascii="Arial" w:cs="Arial" w:eastAsia="Arial" w:hAnsi="Arial"/>
                  <w:sz w:val="18"/>
                  <w:szCs w:val="18"/>
                  <w:color w:val="0000EE"/>
                  <w:w w:val="96"/>
                </w:rPr>
                <w:t>Amendment No. 2 to Sixth Amended and Restated Agreement of Limited Partnership of Enterprise Products Partners L.P., dated</w:t>
              </w:r>
            </w:hyperlink>
          </w:p>
        </w:tc>
      </w:tr>
      <w:tr>
        <w:trPr>
          <w:trHeight w:val="196"/>
        </w:trPr>
        <w:tc>
          <w:tcPr>
            <w:tcW w:w="1500" w:type="dxa"/>
            <w:vAlign w:val="bottom"/>
          </w:tcPr>
          <w:p>
            <w:pPr>
              <w:spacing w:after="0"/>
              <w:rPr>
                <w:sz w:val="17"/>
                <w:szCs w:val="17"/>
                <w:color w:val="auto"/>
              </w:rPr>
            </w:pPr>
          </w:p>
        </w:tc>
        <w:tc>
          <w:tcPr>
            <w:tcW w:w="79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226">
              <w:r>
                <w:rPr>
                  <w:rFonts w:ascii="Arial" w:cs="Arial" w:eastAsia="Arial" w:hAnsi="Arial"/>
                  <w:sz w:val="18"/>
                  <w:szCs w:val="18"/>
                  <w:color w:val="0000EE"/>
                  <w:w w:val="91"/>
                </w:rPr>
                <w:t>effective as of August 21, 2014 (incorporated by reference to Exhibit 3.1 to Form 8-K filed August 26, 2014).</w:t>
              </w:r>
            </w:hyperlink>
          </w:p>
        </w:tc>
        <w:tc>
          <w:tcPr>
            <w:tcW w:w="2020" w:type="dxa"/>
            <w:vAlign w:val="bottom"/>
            <w:gridSpan w:val="5"/>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3.6</w:t>
            </w:r>
          </w:p>
        </w:tc>
        <w:tc>
          <w:tcPr>
            <w:tcW w:w="99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227">
              <w:r>
                <w:rPr>
                  <w:rFonts w:ascii="Arial" w:cs="Arial" w:eastAsia="Arial" w:hAnsi="Arial"/>
                  <w:sz w:val="18"/>
                  <w:szCs w:val="18"/>
                  <w:color w:val="0000EE"/>
                  <w:w w:val="91"/>
                </w:rPr>
                <w:t>Amendment No. 3 to the Sixth Amended and Restated Agreement of Limited Partnership of Enterprise Products Partners L.P., dated as</w:t>
              </w:r>
            </w:hyperlink>
          </w:p>
        </w:tc>
      </w:tr>
      <w:tr>
        <w:trPr>
          <w:trHeight w:val="196"/>
        </w:trPr>
        <w:tc>
          <w:tcPr>
            <w:tcW w:w="1500" w:type="dxa"/>
            <w:vAlign w:val="bottom"/>
          </w:tcPr>
          <w:p>
            <w:pPr>
              <w:spacing w:after="0"/>
              <w:rPr>
                <w:sz w:val="17"/>
                <w:szCs w:val="17"/>
                <w:color w:val="auto"/>
              </w:rPr>
            </w:pPr>
          </w:p>
        </w:tc>
        <w:tc>
          <w:tcPr>
            <w:tcW w:w="9920" w:type="dxa"/>
            <w:vAlign w:val="bottom"/>
            <w:gridSpan w:val="19"/>
          </w:tcPr>
          <w:p>
            <w:pPr>
              <w:spacing w:after="0" w:line="196" w:lineRule="exact"/>
              <w:rPr>
                <w:rFonts w:ascii="Arial" w:cs="Arial" w:eastAsia="Arial" w:hAnsi="Arial"/>
                <w:sz w:val="18"/>
                <w:szCs w:val="18"/>
                <w:color w:val="0000EE"/>
              </w:rPr>
            </w:pPr>
            <w:hyperlink r:id="rId227">
              <w:r>
                <w:rPr>
                  <w:rFonts w:ascii="Arial" w:cs="Arial" w:eastAsia="Arial" w:hAnsi="Arial"/>
                  <w:sz w:val="18"/>
                  <w:szCs w:val="18"/>
                  <w:color w:val="0000EE"/>
                </w:rPr>
                <w:t>of November 28, 2017 (incorporated by reference to Exhibit 3.1 to Form 8-K filed December 1, 2017).</w:t>
              </w:r>
            </w:hyperlink>
          </w:p>
        </w:tc>
      </w:tr>
      <w:tr>
        <w:trPr>
          <w:trHeight w:val="20"/>
        </w:trPr>
        <w:tc>
          <w:tcPr>
            <w:tcW w:w="15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55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3.7</w:t>
            </w:r>
          </w:p>
        </w:tc>
        <w:tc>
          <w:tcPr>
            <w:tcW w:w="99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228">
              <w:r>
                <w:rPr>
                  <w:rFonts w:ascii="Arial" w:cs="Arial" w:eastAsia="Arial" w:hAnsi="Arial"/>
                  <w:sz w:val="18"/>
                  <w:szCs w:val="18"/>
                  <w:color w:val="0000EE"/>
                  <w:w w:val="91"/>
                </w:rPr>
                <w:t>Amendment No. 4 to the Sixth Amended and Restated Agreement of Limited Partnership of Enterprise Products Partners L.P., dated as</w:t>
              </w:r>
            </w:hyperlink>
          </w:p>
        </w:tc>
      </w:tr>
      <w:tr>
        <w:trPr>
          <w:trHeight w:val="196"/>
        </w:trPr>
        <w:tc>
          <w:tcPr>
            <w:tcW w:w="1500" w:type="dxa"/>
            <w:vAlign w:val="bottom"/>
          </w:tcPr>
          <w:p>
            <w:pPr>
              <w:spacing w:after="0"/>
              <w:rPr>
                <w:sz w:val="17"/>
                <w:szCs w:val="17"/>
                <w:color w:val="auto"/>
              </w:rPr>
            </w:pPr>
          </w:p>
        </w:tc>
        <w:tc>
          <w:tcPr>
            <w:tcW w:w="71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228">
              <w:r>
                <w:rPr>
                  <w:rFonts w:ascii="Arial" w:cs="Arial" w:eastAsia="Arial" w:hAnsi="Arial"/>
                  <w:sz w:val="18"/>
                  <w:szCs w:val="18"/>
                  <w:color w:val="0000EE"/>
                  <w:w w:val="92"/>
                </w:rPr>
                <w:t>of February 26, 2019 (incorporated by reference to Exhibit 3.7 to Form 10-K filed March 1, 2019).</w:t>
              </w:r>
            </w:hyperlink>
          </w:p>
        </w:tc>
        <w:tc>
          <w:tcPr>
            <w:tcW w:w="2800" w:type="dxa"/>
            <w:vAlign w:val="bottom"/>
            <w:gridSpan w:val="10"/>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3.8</w:t>
            </w:r>
          </w:p>
        </w:tc>
        <w:tc>
          <w:tcPr>
            <w:tcW w:w="992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r:id="rId229">
              <w:r>
                <w:rPr>
                  <w:rFonts w:ascii="Arial" w:cs="Arial" w:eastAsia="Arial" w:hAnsi="Arial"/>
                  <w:sz w:val="18"/>
                  <w:szCs w:val="18"/>
                  <w:color w:val="0000EE"/>
                  <w:w w:val="97"/>
                </w:rPr>
                <w:t>Certificate of Formation of Enterprise Products Holdings LLC (formerly named EPE Holdings, LLC) (incorporated by reference to</w:t>
              </w:r>
            </w:hyperlink>
          </w:p>
        </w:tc>
      </w:tr>
      <w:tr>
        <w:trPr>
          <w:trHeight w:val="196"/>
        </w:trPr>
        <w:tc>
          <w:tcPr>
            <w:tcW w:w="1500" w:type="dxa"/>
            <w:vAlign w:val="bottom"/>
          </w:tcPr>
          <w:p>
            <w:pPr>
              <w:spacing w:after="0"/>
              <w:rPr>
                <w:sz w:val="17"/>
                <w:szCs w:val="17"/>
                <w:color w:val="auto"/>
              </w:rPr>
            </w:pPr>
          </w:p>
        </w:tc>
        <w:tc>
          <w:tcPr>
            <w:tcW w:w="93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29">
              <w:r>
                <w:rPr>
                  <w:rFonts w:ascii="Arial" w:cs="Arial" w:eastAsia="Arial" w:hAnsi="Arial"/>
                  <w:sz w:val="18"/>
                  <w:szCs w:val="18"/>
                  <w:color w:val="0000EE"/>
                  <w:w w:val="91"/>
                </w:rPr>
                <w:t>Exhibit 3.3 to Form S-1/A Registration Statement, Reg. No. 333-124320, filed by Enterprise GP Holdings L.P. on July 22, 2005).</w:t>
              </w:r>
            </w:hyperlink>
          </w:p>
        </w:tc>
        <w:tc>
          <w:tcPr>
            <w:tcW w:w="600" w:type="dxa"/>
            <w:vAlign w:val="bottom"/>
            <w:gridSpan w:val="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3.9</w:t>
            </w:r>
          </w:p>
        </w:tc>
        <w:tc>
          <w:tcPr>
            <w:tcW w:w="992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230">
              <w:r>
                <w:rPr>
                  <w:rFonts w:ascii="Arial" w:cs="Arial" w:eastAsia="Arial" w:hAnsi="Arial"/>
                  <w:sz w:val="18"/>
                  <w:szCs w:val="18"/>
                  <w:color w:val="0000EE"/>
                  <w:w w:val="93"/>
                </w:rPr>
                <w:t>Certificate of Amendment to Certificate of Formation of Enterprise Products Holdings LLC (formerly named EPE Holdings, LLC), filed</w:t>
              </w:r>
            </w:hyperlink>
          </w:p>
        </w:tc>
      </w:tr>
      <w:tr>
        <w:trPr>
          <w:trHeight w:val="196"/>
        </w:trPr>
        <w:tc>
          <w:tcPr>
            <w:tcW w:w="1500" w:type="dxa"/>
            <w:vAlign w:val="bottom"/>
          </w:tcPr>
          <w:p>
            <w:pPr>
              <w:spacing w:after="0"/>
              <w:rPr>
                <w:sz w:val="17"/>
                <w:szCs w:val="17"/>
                <w:color w:val="auto"/>
              </w:rPr>
            </w:pPr>
          </w:p>
        </w:tc>
        <w:tc>
          <w:tcPr>
            <w:tcW w:w="9920" w:type="dxa"/>
            <w:vAlign w:val="bottom"/>
            <w:gridSpan w:val="19"/>
          </w:tcPr>
          <w:p>
            <w:pPr>
              <w:spacing w:after="0" w:line="196" w:lineRule="exact"/>
              <w:rPr>
                <w:rFonts w:ascii="Arial" w:cs="Arial" w:eastAsia="Arial" w:hAnsi="Arial"/>
                <w:sz w:val="18"/>
                <w:szCs w:val="18"/>
                <w:color w:val="0000EE"/>
                <w:w w:val="93"/>
              </w:rPr>
            </w:pPr>
            <w:hyperlink r:id="rId230">
              <w:r>
                <w:rPr>
                  <w:rFonts w:ascii="Arial" w:cs="Arial" w:eastAsia="Arial" w:hAnsi="Arial"/>
                  <w:sz w:val="18"/>
                  <w:szCs w:val="18"/>
                  <w:color w:val="0000EE"/>
                  <w:w w:val="93"/>
                </w:rPr>
                <w:t>on November 22, 2010 with the Delaware Secretary of State (incorporated by reference to Exhibit 3.5 to Form 8-K filed November 23,</w:t>
              </w:r>
            </w:hyperlink>
          </w:p>
        </w:tc>
      </w:tr>
      <w:tr>
        <w:trPr>
          <w:trHeight w:val="196"/>
        </w:trPr>
        <w:tc>
          <w:tcPr>
            <w:tcW w:w="15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30">
              <w:r>
                <w:rPr>
                  <w:rFonts w:ascii="Arial" w:cs="Arial" w:eastAsia="Arial" w:hAnsi="Arial"/>
                  <w:sz w:val="18"/>
                  <w:szCs w:val="18"/>
                  <w:color w:val="0000EE"/>
                  <w:w w:val="86"/>
                </w:rPr>
                <w:t>2010).</w:t>
              </w:r>
            </w:hyperlink>
          </w:p>
        </w:tc>
        <w:tc>
          <w:tcPr>
            <w:tcW w:w="9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1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3.10</w:t>
            </w:r>
          </w:p>
        </w:tc>
        <w:tc>
          <w:tcPr>
            <w:tcW w:w="9920" w:type="dxa"/>
            <w:vAlign w:val="bottom"/>
            <w:tcBorders>
              <w:bottom w:val="single" w:sz="8" w:color="0000EE"/>
            </w:tcBorders>
            <w:gridSpan w:val="19"/>
          </w:tcPr>
          <w:p>
            <w:pPr>
              <w:spacing w:after="0" w:line="196" w:lineRule="exact"/>
              <w:rPr>
                <w:rFonts w:ascii="Arial" w:cs="Arial" w:eastAsia="Arial" w:hAnsi="Arial"/>
                <w:sz w:val="18"/>
                <w:szCs w:val="18"/>
                <w:color w:val="0000EE"/>
                <w:w w:val="99"/>
              </w:rPr>
            </w:pPr>
            <w:hyperlink r:id="rId231">
              <w:r>
                <w:rPr>
                  <w:rFonts w:ascii="Arial" w:cs="Arial" w:eastAsia="Arial" w:hAnsi="Arial"/>
                  <w:sz w:val="18"/>
                  <w:szCs w:val="18"/>
                  <w:color w:val="0000EE"/>
                  <w:w w:val="99"/>
                </w:rPr>
                <w:t>Fifth Amended and Restated Limited Liability Company Agreement of Enterprise Products Holdings LLC dated effective as of</w:t>
              </w:r>
            </w:hyperlink>
          </w:p>
        </w:tc>
      </w:tr>
      <w:tr>
        <w:trPr>
          <w:trHeight w:val="196"/>
        </w:trPr>
        <w:tc>
          <w:tcPr>
            <w:tcW w:w="1500" w:type="dxa"/>
            <w:vAlign w:val="bottom"/>
          </w:tcPr>
          <w:p>
            <w:pPr>
              <w:spacing w:after="0"/>
              <w:rPr>
                <w:sz w:val="17"/>
                <w:szCs w:val="17"/>
                <w:color w:val="auto"/>
              </w:rPr>
            </w:pPr>
          </w:p>
        </w:tc>
        <w:tc>
          <w:tcPr>
            <w:tcW w:w="9920" w:type="dxa"/>
            <w:vAlign w:val="bottom"/>
            <w:gridSpan w:val="19"/>
          </w:tcPr>
          <w:p>
            <w:pPr>
              <w:spacing w:after="0" w:line="196" w:lineRule="exact"/>
              <w:rPr>
                <w:rFonts w:ascii="Arial" w:cs="Arial" w:eastAsia="Arial" w:hAnsi="Arial"/>
                <w:sz w:val="18"/>
                <w:szCs w:val="18"/>
                <w:color w:val="0000EE"/>
              </w:rPr>
            </w:pPr>
            <w:hyperlink r:id="rId231">
              <w:r>
                <w:rPr>
                  <w:rFonts w:ascii="Arial" w:cs="Arial" w:eastAsia="Arial" w:hAnsi="Arial"/>
                  <w:sz w:val="18"/>
                  <w:szCs w:val="18"/>
                  <w:color w:val="0000EE"/>
                </w:rPr>
                <w:t>September 7, 2011 (incorporated by reference to Exhibit 3.1 to Form 8-K filed September 8, 2011).</w:t>
              </w:r>
            </w:hyperlink>
          </w:p>
        </w:tc>
      </w:tr>
      <w:tr>
        <w:trPr>
          <w:trHeight w:val="20"/>
        </w:trPr>
        <w:tc>
          <w:tcPr>
            <w:tcW w:w="150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5560" w:type="dxa"/>
            <w:vAlign w:val="bottom"/>
            <w:gridSpan w:val="7"/>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992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232">
              <w:r>
                <w:rPr>
                  <w:rFonts w:ascii="Arial" w:cs="Arial" w:eastAsia="Arial" w:hAnsi="Arial"/>
                  <w:sz w:val="18"/>
                  <w:szCs w:val="18"/>
                  <w:color w:val="0000EE"/>
                  <w:w w:val="93"/>
                </w:rPr>
                <w:t>Amendment No. 1 to Fifth Amended and Restated Limited Liability Company Agreement of Enterprise Products Holdings LLC, dated</w:t>
              </w:r>
            </w:hyperlink>
          </w:p>
        </w:tc>
      </w:tr>
      <w:tr>
        <w:trPr>
          <w:trHeight w:val="196"/>
        </w:trPr>
        <w:tc>
          <w:tcPr>
            <w:tcW w:w="1500" w:type="dxa"/>
            <w:vAlign w:val="bottom"/>
          </w:tcPr>
          <w:p>
            <w:pPr>
              <w:spacing w:after="0"/>
              <w:rPr>
                <w:sz w:val="17"/>
                <w:szCs w:val="17"/>
                <w:color w:val="auto"/>
              </w:rPr>
            </w:pPr>
          </w:p>
        </w:tc>
        <w:tc>
          <w:tcPr>
            <w:tcW w:w="74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232">
              <w:r>
                <w:rPr>
                  <w:rFonts w:ascii="Arial" w:cs="Arial" w:eastAsia="Arial" w:hAnsi="Arial"/>
                  <w:sz w:val="18"/>
                  <w:szCs w:val="18"/>
                  <w:color w:val="0000EE"/>
                  <w:w w:val="92"/>
                </w:rPr>
                <w:t>effective as of April 26, 2017 (incorporated by reference to Exhibit 3.1 to Form 8-K filed May 2, 2017).</w:t>
              </w:r>
            </w:hyperlink>
          </w:p>
        </w:tc>
        <w:tc>
          <w:tcPr>
            <w:tcW w:w="2440" w:type="dxa"/>
            <w:vAlign w:val="bottom"/>
            <w:gridSpan w:val="7"/>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992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233">
              <w:r>
                <w:rPr>
                  <w:rFonts w:ascii="Arial" w:cs="Arial" w:eastAsia="Arial" w:hAnsi="Arial"/>
                  <w:sz w:val="18"/>
                  <w:szCs w:val="18"/>
                  <w:color w:val="0000EE"/>
                  <w:w w:val="93"/>
                </w:rPr>
                <w:t>Amendment No. 2 to Fifth Amended and Restated Limited Liability Company Agreement of Enterprise Products Holdings LLC, dated</w:t>
              </w:r>
            </w:hyperlink>
          </w:p>
        </w:tc>
      </w:tr>
      <w:tr>
        <w:trPr>
          <w:trHeight w:val="196"/>
        </w:trPr>
        <w:tc>
          <w:tcPr>
            <w:tcW w:w="1500" w:type="dxa"/>
            <w:vAlign w:val="bottom"/>
          </w:tcPr>
          <w:p>
            <w:pPr>
              <w:spacing w:after="0"/>
              <w:rPr>
                <w:sz w:val="17"/>
                <w:szCs w:val="17"/>
                <w:color w:val="auto"/>
              </w:rPr>
            </w:pPr>
          </w:p>
        </w:tc>
        <w:tc>
          <w:tcPr>
            <w:tcW w:w="83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33">
              <w:r>
                <w:rPr>
                  <w:rFonts w:ascii="Arial" w:cs="Arial" w:eastAsia="Arial" w:hAnsi="Arial"/>
                  <w:sz w:val="18"/>
                  <w:szCs w:val="18"/>
                  <w:color w:val="0000EE"/>
                  <w:w w:val="91"/>
                </w:rPr>
                <w:t>effective as of November 6, 2019 (incorporated by reference to Exhibit 3.12 to Form 10-Q filed November 8, 2019).</w:t>
              </w:r>
            </w:hyperlink>
          </w:p>
        </w:tc>
        <w:tc>
          <w:tcPr>
            <w:tcW w:w="1540" w:type="dxa"/>
            <w:vAlign w:val="bottom"/>
            <w:gridSpan w:val="4"/>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3.13</w:t>
            </w:r>
          </w:p>
        </w:tc>
        <w:tc>
          <w:tcPr>
            <w:tcW w:w="99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234">
              <w:r>
                <w:rPr>
                  <w:rFonts w:ascii="Arial" w:cs="Arial" w:eastAsia="Arial" w:hAnsi="Arial"/>
                  <w:sz w:val="18"/>
                  <w:szCs w:val="18"/>
                  <w:color w:val="0000EE"/>
                  <w:w w:val="91"/>
                </w:rPr>
                <w:t>Company Agreement of Enterprise Products Operating LLC dated June 30, 2007 (incorporated by reference to Exhibit 3.3 to Form 10-Q</w:t>
              </w:r>
            </w:hyperlink>
          </w:p>
        </w:tc>
      </w:tr>
      <w:tr>
        <w:trPr>
          <w:trHeight w:val="196"/>
        </w:trPr>
        <w:tc>
          <w:tcPr>
            <w:tcW w:w="1500" w:type="dxa"/>
            <w:vAlign w:val="bottom"/>
          </w:tcPr>
          <w:p>
            <w:pPr>
              <w:spacing w:after="0"/>
              <w:rPr>
                <w:sz w:val="17"/>
                <w:szCs w:val="17"/>
                <w:color w:val="auto"/>
              </w:rPr>
            </w:pPr>
          </w:p>
        </w:tc>
        <w:tc>
          <w:tcPr>
            <w:tcW w:w="15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234">
              <w:r>
                <w:rPr>
                  <w:rFonts w:ascii="Arial" w:cs="Arial" w:eastAsia="Arial" w:hAnsi="Arial"/>
                  <w:sz w:val="18"/>
                  <w:szCs w:val="18"/>
                  <w:color w:val="0000EE"/>
                  <w:w w:val="91"/>
                </w:rPr>
                <w:t>filed August 8, 2007).</w:t>
              </w:r>
            </w:hyperlink>
          </w:p>
        </w:tc>
        <w:tc>
          <w:tcPr>
            <w:tcW w:w="8340" w:type="dxa"/>
            <w:vAlign w:val="bottom"/>
            <w:gridSpan w:val="16"/>
          </w:tcPr>
          <w:p>
            <w:pPr>
              <w:spacing w:after="0"/>
              <w:rPr>
                <w:sz w:val="17"/>
                <w:szCs w:val="17"/>
                <w:color w:val="auto"/>
              </w:rPr>
            </w:pPr>
          </w:p>
        </w:tc>
      </w:tr>
      <w:tr>
        <w:trPr>
          <w:trHeight w:val="426"/>
        </w:trPr>
        <w:tc>
          <w:tcPr>
            <w:tcW w:w="1500" w:type="dxa"/>
            <w:vAlign w:val="bottom"/>
          </w:tcPr>
          <w:p>
            <w:pPr>
              <w:spacing w:after="0"/>
              <w:rPr>
                <w:sz w:val="24"/>
                <w:szCs w:val="24"/>
                <w:color w:val="auto"/>
              </w:rPr>
            </w:pPr>
          </w:p>
        </w:tc>
        <w:tc>
          <w:tcPr>
            <w:tcW w:w="5840" w:type="dxa"/>
            <w:vAlign w:val="bottom"/>
            <w:gridSpan w:val="7"/>
          </w:tcPr>
          <w:p>
            <w:pPr>
              <w:ind w:left="4080"/>
              <w:spacing w:after="0"/>
              <w:rPr>
                <w:sz w:val="20"/>
                <w:szCs w:val="20"/>
                <w:color w:val="auto"/>
              </w:rPr>
            </w:pPr>
            <w:r>
              <w:rPr>
                <w:rFonts w:ascii="Arial" w:cs="Arial" w:eastAsia="Arial" w:hAnsi="Arial"/>
                <w:sz w:val="18"/>
                <w:szCs w:val="18"/>
                <w:color w:val="auto"/>
              </w:rPr>
              <w:t>141</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43" w:name="page144"/>
    <w:bookmarkEnd w:id="1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3.14</w:t>
            </w:r>
          </w:p>
        </w:tc>
        <w:tc>
          <w:tcPr>
            <w:tcW w:w="9920" w:type="dxa"/>
            <w:vAlign w:val="bottom"/>
            <w:tcBorders>
              <w:bottom w:val="single" w:sz="8" w:color="0000EE"/>
            </w:tcBorders>
            <w:gridSpan w:val="17"/>
          </w:tcPr>
          <w:p>
            <w:pPr>
              <w:spacing w:after="0"/>
              <w:rPr>
                <w:rFonts w:ascii="Arial" w:cs="Arial" w:eastAsia="Arial" w:hAnsi="Arial"/>
                <w:sz w:val="18"/>
                <w:szCs w:val="18"/>
                <w:color w:val="0000EE"/>
                <w:w w:val="93"/>
              </w:rPr>
            </w:pPr>
            <w:hyperlink r:id="rId235">
              <w:r>
                <w:rPr>
                  <w:rFonts w:ascii="Arial" w:cs="Arial" w:eastAsia="Arial" w:hAnsi="Arial"/>
                  <w:sz w:val="18"/>
                  <w:szCs w:val="18"/>
                  <w:color w:val="0000EE"/>
                  <w:w w:val="93"/>
                </w:rPr>
                <w:t>Certificate of Incorporation of Enterprise Products OLPGP, Inc., dated December 3, 2003 (incorporated by reference to Exhibit 3.5 to</w:t>
              </w:r>
            </w:hyperlink>
          </w:p>
        </w:tc>
      </w:tr>
      <w:tr>
        <w:trPr>
          <w:trHeight w:val="196"/>
        </w:trPr>
        <w:tc>
          <w:tcPr>
            <w:tcW w:w="150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EE"/>
              </w:rPr>
            </w:pPr>
            <w:hyperlink r:id="rId235">
              <w:r>
                <w:rPr>
                  <w:rFonts w:ascii="Arial" w:cs="Arial" w:eastAsia="Arial" w:hAnsi="Arial"/>
                  <w:sz w:val="18"/>
                  <w:szCs w:val="18"/>
                  <w:color w:val="0000EE"/>
                </w:rPr>
                <w:t>Form S-4 Registration Statement, Reg. No. 333-121665, filed December 27, 2004).</w:t>
              </w:r>
            </w:hyperlink>
          </w:p>
        </w:tc>
      </w:tr>
      <w:tr>
        <w:trPr>
          <w:trHeight w:val="20"/>
        </w:trPr>
        <w:tc>
          <w:tcPr>
            <w:tcW w:w="15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3.15</w:t>
            </w: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36">
              <w:r>
                <w:rPr>
                  <w:rFonts w:ascii="Arial" w:cs="Arial" w:eastAsia="Arial" w:hAnsi="Arial"/>
                  <w:sz w:val="18"/>
                  <w:szCs w:val="18"/>
                  <w:color w:val="0000EE"/>
                  <w:w w:val="91"/>
                </w:rPr>
                <w:t>Bylaws of Enterprise Products OLPGP, Inc., dated December 8, 2003 (incorporated by reference to Exhibit 3.6 to Form S-4 Registration</w:t>
              </w:r>
            </w:hyperlink>
          </w:p>
        </w:tc>
      </w:tr>
      <w:tr>
        <w:trPr>
          <w:trHeight w:val="196"/>
        </w:trPr>
        <w:tc>
          <w:tcPr>
            <w:tcW w:w="150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EE"/>
              </w:rPr>
            </w:pPr>
            <w:hyperlink r:id="rId236">
              <w:r>
                <w:rPr>
                  <w:rFonts w:ascii="Arial" w:cs="Arial" w:eastAsia="Arial" w:hAnsi="Arial"/>
                  <w:sz w:val="18"/>
                  <w:szCs w:val="18"/>
                  <w:color w:val="0000EE"/>
                </w:rPr>
                <w:t>Statement, Reg. No. 333-121665, filed December 27, 2004).</w:t>
              </w:r>
            </w:hyperlink>
          </w:p>
        </w:tc>
      </w:tr>
      <w:tr>
        <w:trPr>
          <w:trHeight w:val="20"/>
        </w:trPr>
        <w:tc>
          <w:tcPr>
            <w:tcW w:w="15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900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225">
              <w:r>
                <w:rPr>
                  <w:rFonts w:ascii="Arial" w:cs="Arial" w:eastAsia="Arial" w:hAnsi="Arial"/>
                  <w:sz w:val="18"/>
                  <w:szCs w:val="18"/>
                  <w:color w:val="0000EE"/>
                  <w:w w:val="93"/>
                </w:rPr>
                <w:t>Form of Common Unit certificate (incorporated by reference to Exhibit A to Exhibit 3.1 to Form 8-K filed August 16, 2011).</w:t>
              </w:r>
            </w:hyperlink>
          </w:p>
        </w:tc>
        <w:tc>
          <w:tcPr>
            <w:tcW w:w="920" w:type="dxa"/>
            <w:vAlign w:val="bottom"/>
            <w:gridSpan w:val="3"/>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83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237">
              <w:r>
                <w:rPr>
                  <w:rFonts w:ascii="Arial" w:cs="Arial" w:eastAsia="Arial" w:hAnsi="Arial"/>
                  <w:sz w:val="18"/>
                  <w:szCs w:val="18"/>
                  <w:color w:val="0000EE"/>
                  <w:w w:val="90"/>
                </w:rPr>
                <w:t>Description of the Registrant’s Securities Registered Pursuant to Section 12 of the Securities Exchange Act of 1934.</w:t>
              </w:r>
            </w:hyperlink>
          </w:p>
        </w:tc>
        <w:tc>
          <w:tcPr>
            <w:tcW w:w="1560" w:type="dxa"/>
            <w:vAlign w:val="bottom"/>
            <w:gridSpan w:val="4"/>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r:id="rId237">
              <w:r>
                <w:rPr>
                  <w:rFonts w:ascii="Arial" w:cs="Arial" w:eastAsia="Arial" w:hAnsi="Arial"/>
                  <w:sz w:val="18"/>
                  <w:szCs w:val="18"/>
                  <w:color w:val="0000EE"/>
                  <w:w w:val="94"/>
                </w:rPr>
                <w:t>Indenture, dated as of March 15, 2000, among Enterprise Products Operating L.P., as Issuer, Enterprise Products Partners L.P., as</w:t>
              </w:r>
            </w:hyperlink>
          </w:p>
        </w:tc>
      </w:tr>
      <w:tr>
        <w:trPr>
          <w:trHeight w:val="196"/>
        </w:trPr>
        <w:tc>
          <w:tcPr>
            <w:tcW w:w="150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EE"/>
                <w:w w:val="96"/>
              </w:rPr>
            </w:pPr>
            <w:hyperlink r:id="rId237">
              <w:r>
                <w:rPr>
                  <w:rFonts w:ascii="Arial" w:cs="Arial" w:eastAsia="Arial" w:hAnsi="Arial"/>
                  <w:sz w:val="18"/>
                  <w:szCs w:val="18"/>
                  <w:color w:val="0000EE"/>
                  <w:w w:val="96"/>
                </w:rPr>
                <w:t>Guarantor, and First Union National Bank, as Trustee (incorporated by reference to Exhibit 4.1 to Form 8-K filed March 14, 2000).</w:t>
              </w:r>
            </w:hyperlink>
          </w:p>
        </w:tc>
      </w:tr>
      <w:tr>
        <w:trPr>
          <w:trHeight w:val="20"/>
        </w:trPr>
        <w:tc>
          <w:tcPr>
            <w:tcW w:w="15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238">
              <w:r>
                <w:rPr>
                  <w:rFonts w:ascii="Arial" w:cs="Arial" w:eastAsia="Arial" w:hAnsi="Arial"/>
                  <w:sz w:val="18"/>
                  <w:szCs w:val="18"/>
                  <w:color w:val="0000EE"/>
                  <w:w w:val="89"/>
                </w:rPr>
                <w:t>Second Supplemental Indenture, dated as of February 14, 2003, among Enterprise Products Operating L.P., as Issuer, Enterprise Products</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238">
              <w:r>
                <w:rPr>
                  <w:rFonts w:ascii="Arial" w:cs="Arial" w:eastAsia="Arial" w:hAnsi="Arial"/>
                  <w:sz w:val="18"/>
                  <w:szCs w:val="18"/>
                  <w:color w:val="0000EE"/>
                  <w:w w:val="90"/>
                </w:rPr>
                <w:t>Partners L.P., as Guarantor, and Wachovia Bank, National Association, as Trustee (incorporated by reference to Exhibit 4.3 to Form 10-K</w:t>
              </w:r>
            </w:hyperlink>
          </w:p>
        </w:tc>
      </w:tr>
      <w:tr>
        <w:trPr>
          <w:trHeight w:val="196"/>
        </w:trPr>
        <w:tc>
          <w:tcPr>
            <w:tcW w:w="1500" w:type="dxa"/>
            <w:vAlign w:val="bottom"/>
          </w:tcPr>
          <w:p>
            <w:pPr>
              <w:spacing w:after="0"/>
              <w:rPr>
                <w:sz w:val="17"/>
                <w:szCs w:val="17"/>
                <w:color w:val="auto"/>
              </w:rPr>
            </w:pPr>
          </w:p>
        </w:tc>
        <w:tc>
          <w:tcPr>
            <w:tcW w:w="16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238">
              <w:r>
                <w:rPr>
                  <w:rFonts w:ascii="Arial" w:cs="Arial" w:eastAsia="Arial" w:hAnsi="Arial"/>
                  <w:sz w:val="18"/>
                  <w:szCs w:val="18"/>
                  <w:color w:val="0000EE"/>
                  <w:w w:val="91"/>
                </w:rPr>
                <w:t>filed March 31, 2003).</w:t>
              </w:r>
            </w:hyperlink>
          </w:p>
        </w:tc>
        <w:tc>
          <w:tcPr>
            <w:tcW w:w="8300" w:type="dxa"/>
            <w:vAlign w:val="bottom"/>
            <w:gridSpan w:val="15"/>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9920" w:type="dxa"/>
            <w:vAlign w:val="bottom"/>
            <w:gridSpan w:val="17"/>
          </w:tcPr>
          <w:p>
            <w:pPr>
              <w:spacing w:after="0" w:line="196" w:lineRule="exact"/>
              <w:rPr>
                <w:rFonts w:ascii="Arial" w:cs="Arial" w:eastAsia="Arial" w:hAnsi="Arial"/>
                <w:sz w:val="18"/>
                <w:szCs w:val="18"/>
                <w:color w:val="0000EE"/>
                <w:w w:val="94"/>
              </w:rPr>
            </w:pPr>
            <w:hyperlink r:id="rId239">
              <w:r>
                <w:rPr>
                  <w:rFonts w:ascii="Arial" w:cs="Arial" w:eastAsia="Arial" w:hAnsi="Arial"/>
                  <w:sz w:val="18"/>
                  <w:szCs w:val="18"/>
                  <w:color w:val="0000EE"/>
                  <w:w w:val="94"/>
                </w:rPr>
                <w:t>Third Supplemental Indenture, dated as of June 30, 2007, among Enterprise Products Operating L.P., as Original Issuer, Enterprise</w:t>
              </w:r>
            </w:hyperlink>
          </w:p>
        </w:tc>
      </w:tr>
      <w:tr>
        <w:trPr>
          <w:trHeight w:val="20"/>
        </w:trPr>
        <w:tc>
          <w:tcPr>
            <w:tcW w:w="15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239">
              <w:r>
                <w:rPr>
                  <w:rFonts w:ascii="Arial" w:cs="Arial" w:eastAsia="Arial" w:hAnsi="Arial"/>
                  <w:sz w:val="18"/>
                  <w:szCs w:val="18"/>
                  <w:color w:val="0000EE"/>
                  <w:w w:val="90"/>
                </w:rPr>
                <w:t>Products Partners L.P., as Parent Guarantor, Enterprise Products Operating LLC, as New Issuer, and U.S. Bank National Association, as</w:t>
              </w:r>
            </w:hyperlink>
          </w:p>
        </w:tc>
      </w:tr>
      <w:tr>
        <w:trPr>
          <w:trHeight w:val="196"/>
        </w:trPr>
        <w:tc>
          <w:tcPr>
            <w:tcW w:w="150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EE"/>
              </w:rPr>
            </w:pPr>
            <w:hyperlink r:id="rId239">
              <w:r>
                <w:rPr>
                  <w:rFonts w:ascii="Arial" w:cs="Arial" w:eastAsia="Arial" w:hAnsi="Arial"/>
                  <w:sz w:val="18"/>
                  <w:szCs w:val="18"/>
                  <w:color w:val="0000EE"/>
                </w:rPr>
                <w:t>successor Trustee (incorporated by reference to Exhibit 4.55 to Form 10-Q filed August 8, 2007).</w:t>
              </w:r>
            </w:hyperlink>
          </w:p>
        </w:tc>
      </w:tr>
      <w:tr>
        <w:trPr>
          <w:trHeight w:val="20"/>
        </w:trPr>
        <w:tc>
          <w:tcPr>
            <w:tcW w:w="15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4.6</w:t>
            </w: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240">
              <w:r>
                <w:rPr>
                  <w:rFonts w:ascii="Arial" w:cs="Arial" w:eastAsia="Arial" w:hAnsi="Arial"/>
                  <w:sz w:val="18"/>
                  <w:szCs w:val="18"/>
                  <w:color w:val="0000EE"/>
                  <w:w w:val="89"/>
                </w:rPr>
                <w:t>Indenture, dated as of October 4, 2004, among Enterprise Products Operating L.P., as Issuer, Enterprise Products Partners L.P., as Parent</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240">
              <w:r>
                <w:rPr>
                  <w:rFonts w:ascii="Arial" w:cs="Arial" w:eastAsia="Arial" w:hAnsi="Arial"/>
                  <w:sz w:val="18"/>
                  <w:szCs w:val="18"/>
                  <w:color w:val="0000EE"/>
                  <w:w w:val="92"/>
                </w:rPr>
                <w:t>Guarantor, and Wells Fargo Bank, National Association, as Trustee (incorporated by reference to Exhibit 4.1 to Form 8-K filed October</w:t>
              </w:r>
            </w:hyperlink>
          </w:p>
        </w:tc>
      </w:tr>
      <w:tr>
        <w:trPr>
          <w:trHeight w:val="196"/>
        </w:trPr>
        <w:tc>
          <w:tcPr>
            <w:tcW w:w="1500" w:type="dxa"/>
            <w:vAlign w:val="bottom"/>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240">
              <w:r>
                <w:rPr>
                  <w:rFonts w:ascii="Arial" w:cs="Arial" w:eastAsia="Arial" w:hAnsi="Arial"/>
                  <w:sz w:val="18"/>
                  <w:szCs w:val="18"/>
                  <w:color w:val="0000EE"/>
                  <w:w w:val="87"/>
                </w:rPr>
                <w:t>6, 2004).</w:t>
              </w:r>
            </w:hyperlink>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4.7</w:t>
            </w:r>
          </w:p>
        </w:tc>
        <w:tc>
          <w:tcPr>
            <w:tcW w:w="9920" w:type="dxa"/>
            <w:vAlign w:val="bottom"/>
            <w:gridSpan w:val="17"/>
          </w:tcPr>
          <w:p>
            <w:pPr>
              <w:spacing w:after="0" w:line="196" w:lineRule="exact"/>
              <w:rPr>
                <w:rFonts w:ascii="Arial" w:cs="Arial" w:eastAsia="Arial" w:hAnsi="Arial"/>
                <w:sz w:val="18"/>
                <w:szCs w:val="18"/>
                <w:color w:val="0000EE"/>
                <w:w w:val="91"/>
              </w:rPr>
            </w:pPr>
            <w:hyperlink r:id="rId241">
              <w:r>
                <w:rPr>
                  <w:rFonts w:ascii="Arial" w:cs="Arial" w:eastAsia="Arial" w:hAnsi="Arial"/>
                  <w:sz w:val="18"/>
                  <w:szCs w:val="18"/>
                  <w:color w:val="0000EE"/>
                  <w:w w:val="91"/>
                </w:rPr>
                <w:t>Fourth Supplemental Indenture, dated as of October 4, 2004, among Enterprise Products Operating L.P., as Issuer, Enterprise Products</w:t>
              </w:r>
            </w:hyperlink>
          </w:p>
        </w:tc>
      </w:tr>
      <w:tr>
        <w:trPr>
          <w:trHeight w:val="20"/>
        </w:trPr>
        <w:tc>
          <w:tcPr>
            <w:tcW w:w="1500" w:type="dxa"/>
            <w:vAlign w:val="bottom"/>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40" w:type="dxa"/>
            <w:vAlign w:val="bottom"/>
            <w:gridSpan w:val="4"/>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41">
              <w:r>
                <w:rPr>
                  <w:rFonts w:ascii="Arial" w:cs="Arial" w:eastAsia="Arial" w:hAnsi="Arial"/>
                  <w:sz w:val="18"/>
                  <w:szCs w:val="18"/>
                  <w:color w:val="0000EE"/>
                  <w:w w:val="91"/>
                </w:rPr>
                <w:t>Partners L.P., as Parent Guarantor, and Wells Fargo Bank, National Association, as Trustee (incorporated by reference to Exhibit 4.5 to</w:t>
              </w:r>
            </w:hyperlink>
          </w:p>
        </w:tc>
      </w:tr>
      <w:tr>
        <w:trPr>
          <w:trHeight w:val="196"/>
        </w:trPr>
        <w:tc>
          <w:tcPr>
            <w:tcW w:w="1500" w:type="dxa"/>
            <w:vAlign w:val="bottom"/>
          </w:tcPr>
          <w:p>
            <w:pPr>
              <w:spacing w:after="0"/>
              <w:rPr>
                <w:sz w:val="17"/>
                <w:szCs w:val="17"/>
                <w:color w:val="auto"/>
              </w:rPr>
            </w:pPr>
          </w:p>
        </w:tc>
        <w:tc>
          <w:tcPr>
            <w:tcW w:w="24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241">
              <w:r>
                <w:rPr>
                  <w:rFonts w:ascii="Arial" w:cs="Arial" w:eastAsia="Arial" w:hAnsi="Arial"/>
                  <w:sz w:val="18"/>
                  <w:szCs w:val="18"/>
                  <w:color w:val="0000EE"/>
                  <w:w w:val="92"/>
                </w:rPr>
                <w:t>Form 8-K filed October 6, 2004).</w:t>
              </w:r>
            </w:hyperlink>
          </w:p>
        </w:tc>
        <w:tc>
          <w:tcPr>
            <w:tcW w:w="7520" w:type="dxa"/>
            <w:vAlign w:val="bottom"/>
            <w:gridSpan w:val="1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4.8</w:t>
            </w: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242">
              <w:r>
                <w:rPr>
                  <w:rFonts w:ascii="Arial" w:cs="Arial" w:eastAsia="Arial" w:hAnsi="Arial"/>
                  <w:sz w:val="18"/>
                  <w:szCs w:val="18"/>
                  <w:color w:val="0000EE"/>
                  <w:w w:val="93"/>
                </w:rPr>
                <w:t>Sixth Supplemental Indenture, dated as of March 2, 2005, among Enterprise Products Operating L.P., as Issuer, Enterprise Products</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42">
              <w:r>
                <w:rPr>
                  <w:rFonts w:ascii="Arial" w:cs="Arial" w:eastAsia="Arial" w:hAnsi="Arial"/>
                  <w:sz w:val="18"/>
                  <w:szCs w:val="18"/>
                  <w:color w:val="0000EE"/>
                  <w:w w:val="91"/>
                </w:rPr>
                <w:t>Partners L.P., as Parent Guarantor, and Wells Fargo Bank, National Association, as Trustee (incorporated by reference to Exhibit 4.3 to</w:t>
              </w:r>
            </w:hyperlink>
          </w:p>
        </w:tc>
      </w:tr>
      <w:tr>
        <w:trPr>
          <w:trHeight w:val="196"/>
        </w:trPr>
        <w:tc>
          <w:tcPr>
            <w:tcW w:w="150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EE"/>
              </w:rPr>
            </w:pPr>
            <w:hyperlink r:id="rId242">
              <w:r>
                <w:rPr>
                  <w:rFonts w:ascii="Arial" w:cs="Arial" w:eastAsia="Arial" w:hAnsi="Arial"/>
                  <w:sz w:val="18"/>
                  <w:szCs w:val="18"/>
                  <w:color w:val="0000EE"/>
                </w:rPr>
                <w:t>Form 8-K filed March 3, 2005).</w:t>
              </w:r>
            </w:hyperlink>
          </w:p>
        </w:tc>
      </w:tr>
      <w:tr>
        <w:trPr>
          <w:trHeight w:val="20"/>
        </w:trPr>
        <w:tc>
          <w:tcPr>
            <w:tcW w:w="1500" w:type="dxa"/>
            <w:vAlign w:val="bottom"/>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4.9</w:t>
            </w: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r:id="rId243">
              <w:r>
                <w:rPr>
                  <w:rFonts w:ascii="Arial" w:cs="Arial" w:eastAsia="Arial" w:hAnsi="Arial"/>
                  <w:sz w:val="18"/>
                  <w:szCs w:val="18"/>
                  <w:color w:val="0000EE"/>
                  <w:w w:val="94"/>
                </w:rPr>
                <w:t>Tenth Supplemental Indenture, dated as of June 30, 2007, among Enterprise Products Operating L.P., as Original Issuer, Enterprise</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r:id="rId243">
              <w:r>
                <w:rPr>
                  <w:rFonts w:ascii="Arial" w:cs="Arial" w:eastAsia="Arial" w:hAnsi="Arial"/>
                  <w:sz w:val="18"/>
                  <w:szCs w:val="18"/>
                  <w:color w:val="0000EE"/>
                  <w:w w:val="95"/>
                </w:rPr>
                <w:t>Products Partners L.P., as Parent Guarantor, Enterprise Products Operating LLC, as New Issuer, and Wells Fargo Bank, National</w:t>
              </w:r>
            </w:hyperlink>
          </w:p>
        </w:tc>
      </w:tr>
      <w:tr>
        <w:trPr>
          <w:trHeight w:val="196"/>
        </w:trPr>
        <w:tc>
          <w:tcPr>
            <w:tcW w:w="150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EE"/>
              </w:rPr>
            </w:pPr>
            <w:hyperlink r:id="rId243">
              <w:r>
                <w:rPr>
                  <w:rFonts w:ascii="Arial" w:cs="Arial" w:eastAsia="Arial" w:hAnsi="Arial"/>
                  <w:sz w:val="18"/>
                  <w:szCs w:val="18"/>
                  <w:color w:val="0000EE"/>
                </w:rPr>
                <w:t>Association, as Trustee (incorporated by reference to Exhibit 4.54 to Form 10-Q filed August 8, 2007).</w:t>
              </w:r>
            </w:hyperlink>
          </w:p>
        </w:tc>
      </w:tr>
      <w:tr>
        <w:trPr>
          <w:trHeight w:val="20"/>
        </w:trPr>
        <w:tc>
          <w:tcPr>
            <w:tcW w:w="1500" w:type="dxa"/>
            <w:vAlign w:val="bottom"/>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40" w:type="dxa"/>
            <w:vAlign w:val="bottom"/>
            <w:gridSpan w:val="4"/>
            <w:shd w:val="clear" w:color="auto" w:fill="0000EE"/>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4.10</w:t>
            </w: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44">
              <w:r>
                <w:rPr>
                  <w:rFonts w:ascii="Arial" w:cs="Arial" w:eastAsia="Arial" w:hAnsi="Arial"/>
                  <w:sz w:val="18"/>
                  <w:szCs w:val="18"/>
                  <w:color w:val="0000EE"/>
                  <w:w w:val="91"/>
                </w:rPr>
                <w:t>Thirteenth Supplemental Indenture, dated as of April 3, 2008, among Enterprise Products Operating LLC, as Issuer, Enterprise Products</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44">
              <w:r>
                <w:rPr>
                  <w:rFonts w:ascii="Arial" w:cs="Arial" w:eastAsia="Arial" w:hAnsi="Arial"/>
                  <w:sz w:val="18"/>
                  <w:szCs w:val="18"/>
                  <w:color w:val="0000EE"/>
                  <w:w w:val="91"/>
                </w:rPr>
                <w:t>Partners L.P., as Parent Guarantor, and Wells Fargo Bank, National Association, as Trustee (incorporated by reference to Exhibit 4.4 to</w:t>
              </w:r>
            </w:hyperlink>
          </w:p>
        </w:tc>
      </w:tr>
      <w:tr>
        <w:trPr>
          <w:trHeight w:val="196"/>
        </w:trPr>
        <w:tc>
          <w:tcPr>
            <w:tcW w:w="1500" w:type="dxa"/>
            <w:vAlign w:val="bottom"/>
          </w:tcPr>
          <w:p>
            <w:pPr>
              <w:spacing w:after="0"/>
              <w:rPr>
                <w:sz w:val="17"/>
                <w:szCs w:val="17"/>
                <w:color w:val="auto"/>
              </w:rPr>
            </w:pPr>
          </w:p>
        </w:tc>
        <w:tc>
          <w:tcPr>
            <w:tcW w:w="220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r:id="rId244">
              <w:r>
                <w:rPr>
                  <w:rFonts w:ascii="Arial" w:cs="Arial" w:eastAsia="Arial" w:hAnsi="Arial"/>
                  <w:sz w:val="18"/>
                  <w:szCs w:val="18"/>
                  <w:color w:val="0000EE"/>
                  <w:w w:val="94"/>
                </w:rPr>
                <w:t>Form 8-K filed April 3, 2008).</w:t>
              </w:r>
            </w:hyperlink>
          </w:p>
        </w:tc>
        <w:tc>
          <w:tcPr>
            <w:tcW w:w="7720" w:type="dxa"/>
            <w:vAlign w:val="bottom"/>
            <w:gridSpan w:val="14"/>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4.11</w:t>
            </w: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r:id="rId245">
              <w:r>
                <w:rPr>
                  <w:rFonts w:ascii="Arial" w:cs="Arial" w:eastAsia="Arial" w:hAnsi="Arial"/>
                  <w:sz w:val="18"/>
                  <w:szCs w:val="18"/>
                  <w:color w:val="0000EE"/>
                  <w:w w:val="96"/>
                </w:rPr>
                <w:t>Sixteenth Supplemental Indenture, dated as of October 5, 2009, among Enterprise Products Operating LLC, as Issuer, Enterprise</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245">
              <w:r>
                <w:rPr>
                  <w:rFonts w:ascii="Arial" w:cs="Arial" w:eastAsia="Arial" w:hAnsi="Arial"/>
                  <w:sz w:val="18"/>
                  <w:szCs w:val="18"/>
                  <w:color w:val="0000EE"/>
                  <w:w w:val="89"/>
                </w:rPr>
                <w:t>Products Partners L.P., as Parent Guarantor, and Wells Fargo Bank, National Association, as Trustee (incorporated by reference to Exhibit</w:t>
              </w:r>
            </w:hyperlink>
          </w:p>
        </w:tc>
      </w:tr>
      <w:tr>
        <w:trPr>
          <w:trHeight w:val="196"/>
        </w:trPr>
        <w:tc>
          <w:tcPr>
            <w:tcW w:w="1500" w:type="dxa"/>
            <w:vAlign w:val="bottom"/>
          </w:tcPr>
          <w:p>
            <w:pPr>
              <w:spacing w:after="0"/>
              <w:rPr>
                <w:sz w:val="17"/>
                <w:szCs w:val="17"/>
                <w:color w:val="auto"/>
              </w:rPr>
            </w:pPr>
          </w:p>
        </w:tc>
        <w:tc>
          <w:tcPr>
            <w:tcW w:w="28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245">
              <w:r>
                <w:rPr>
                  <w:rFonts w:ascii="Arial" w:cs="Arial" w:eastAsia="Arial" w:hAnsi="Arial"/>
                  <w:sz w:val="18"/>
                  <w:szCs w:val="18"/>
                  <w:color w:val="0000EE"/>
                  <w:w w:val="92"/>
                </w:rPr>
                <w:t>4.</w:t>
              </w:r>
              <w:r>
                <w:rPr>
                  <w:rFonts w:ascii="Arial" w:cs="Arial" w:eastAsia="Arial" w:hAnsi="Arial"/>
                  <w:sz w:val="18"/>
                  <w:szCs w:val="18"/>
                  <w:u w:val="single" w:color="auto"/>
                  <w:color w:val="0000EE"/>
                  <w:w w:val="92"/>
                </w:rPr>
                <w:t>3</w:t>
              </w:r>
              <w:r>
                <w:rPr>
                  <w:rFonts w:ascii="Arial" w:cs="Arial" w:eastAsia="Arial" w:hAnsi="Arial"/>
                  <w:sz w:val="18"/>
                  <w:szCs w:val="18"/>
                  <w:color w:val="0000EE"/>
                  <w:w w:val="92"/>
                </w:rPr>
                <w:t xml:space="preserve"> to Form 8-K filed October 5, 2009).</w:t>
              </w:r>
            </w:hyperlink>
          </w:p>
        </w:tc>
        <w:tc>
          <w:tcPr>
            <w:tcW w:w="7060" w:type="dxa"/>
            <w:vAlign w:val="bottom"/>
            <w:gridSpan w:val="11"/>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4.12</w:t>
            </w: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246">
              <w:r>
                <w:rPr>
                  <w:rFonts w:ascii="Arial" w:cs="Arial" w:eastAsia="Arial" w:hAnsi="Arial"/>
                  <w:sz w:val="18"/>
                  <w:szCs w:val="18"/>
                  <w:color w:val="0000EE"/>
                  <w:w w:val="92"/>
                </w:rPr>
                <w:t>Seventeenth Supplemental Indenture, dated as of October 27, 2009, among Enterprise Products Operating LLC, as Issuer, Enterprise</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246">
              <w:r>
                <w:rPr>
                  <w:rFonts w:ascii="Arial" w:cs="Arial" w:eastAsia="Arial" w:hAnsi="Arial"/>
                  <w:sz w:val="18"/>
                  <w:szCs w:val="18"/>
                  <w:color w:val="0000EE"/>
                  <w:w w:val="89"/>
                </w:rPr>
                <w:t>Products Partners L.P., as Parent Guarantor, and Wells Fargo Bank, National Association, as Trustee (incorporated by reference to Exhibit</w:t>
              </w:r>
            </w:hyperlink>
          </w:p>
        </w:tc>
      </w:tr>
      <w:tr>
        <w:trPr>
          <w:trHeight w:val="196"/>
        </w:trPr>
        <w:tc>
          <w:tcPr>
            <w:tcW w:w="1500" w:type="dxa"/>
            <w:vAlign w:val="bottom"/>
          </w:tcPr>
          <w:p>
            <w:pPr>
              <w:spacing w:after="0"/>
              <w:rPr>
                <w:sz w:val="17"/>
                <w:szCs w:val="17"/>
                <w:color w:val="auto"/>
              </w:rPr>
            </w:pPr>
          </w:p>
        </w:tc>
        <w:tc>
          <w:tcPr>
            <w:tcW w:w="29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246">
              <w:r>
                <w:rPr>
                  <w:rFonts w:ascii="Arial" w:cs="Arial" w:eastAsia="Arial" w:hAnsi="Arial"/>
                  <w:sz w:val="18"/>
                  <w:szCs w:val="18"/>
                  <w:color w:val="0000EE"/>
                  <w:w w:val="92"/>
                </w:rPr>
                <w:t>4.</w:t>
              </w:r>
              <w:r>
                <w:rPr>
                  <w:rFonts w:ascii="Arial" w:cs="Arial" w:eastAsia="Arial" w:hAnsi="Arial"/>
                  <w:sz w:val="18"/>
                  <w:szCs w:val="18"/>
                  <w:u w:val="single" w:color="auto"/>
                  <w:color w:val="0000EE"/>
                  <w:w w:val="92"/>
                </w:rPr>
                <w:t>1</w:t>
              </w:r>
              <w:r>
                <w:rPr>
                  <w:rFonts w:ascii="Arial" w:cs="Arial" w:eastAsia="Arial" w:hAnsi="Arial"/>
                  <w:sz w:val="18"/>
                  <w:szCs w:val="18"/>
                  <w:color w:val="0000EE"/>
                  <w:w w:val="92"/>
                </w:rPr>
                <w:t xml:space="preserve"> to Form 8-K filed October 28, 2009).</w:t>
              </w:r>
            </w:hyperlink>
          </w:p>
        </w:tc>
        <w:tc>
          <w:tcPr>
            <w:tcW w:w="6960" w:type="dxa"/>
            <w:vAlign w:val="bottom"/>
            <w:gridSpan w:val="9"/>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4.13</w:t>
            </w: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r:id="rId247">
              <w:r>
                <w:rPr>
                  <w:rFonts w:ascii="Arial" w:cs="Arial" w:eastAsia="Arial" w:hAnsi="Arial"/>
                  <w:sz w:val="18"/>
                  <w:szCs w:val="18"/>
                  <w:color w:val="0000EE"/>
                  <w:w w:val="94"/>
                </w:rPr>
                <w:t>Eighteenth Supplemental Indenture, dated as of October 27, 2009, among Enterprise Products Operating LLC, as Issuer, Enterprise</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247">
              <w:r>
                <w:rPr>
                  <w:rFonts w:ascii="Arial" w:cs="Arial" w:eastAsia="Arial" w:hAnsi="Arial"/>
                  <w:sz w:val="18"/>
                  <w:szCs w:val="18"/>
                  <w:color w:val="0000EE"/>
                  <w:w w:val="89"/>
                </w:rPr>
                <w:t>Products Partners L.P., as Parent Guarantor, and Wells Fargo Bank, National Association, as Trustee (incorporated by reference to Exhibit</w:t>
              </w:r>
            </w:hyperlink>
          </w:p>
        </w:tc>
      </w:tr>
      <w:tr>
        <w:trPr>
          <w:trHeight w:val="196"/>
        </w:trPr>
        <w:tc>
          <w:tcPr>
            <w:tcW w:w="150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EE"/>
              </w:rPr>
            </w:pPr>
            <w:hyperlink r:id="rId247">
              <w:r>
                <w:rPr>
                  <w:rFonts w:ascii="Arial" w:cs="Arial" w:eastAsia="Arial" w:hAnsi="Arial"/>
                  <w:sz w:val="18"/>
                  <w:szCs w:val="18"/>
                  <w:color w:val="0000EE"/>
                </w:rPr>
                <w:t>4.</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Form 8-K filed October 28, 2009).</w:t>
              </w:r>
            </w:hyperlink>
          </w:p>
        </w:tc>
      </w:tr>
      <w:tr>
        <w:trPr>
          <w:trHeight w:val="669"/>
        </w:trPr>
        <w:tc>
          <w:tcPr>
            <w:tcW w:w="1500" w:type="dxa"/>
            <w:vAlign w:val="bottom"/>
          </w:tcPr>
          <w:p>
            <w:pPr>
              <w:spacing w:after="0"/>
              <w:rPr>
                <w:sz w:val="24"/>
                <w:szCs w:val="24"/>
                <w:color w:val="auto"/>
              </w:rPr>
            </w:pPr>
          </w:p>
        </w:tc>
        <w:tc>
          <w:tcPr>
            <w:tcW w:w="2940" w:type="dxa"/>
            <w:vAlign w:val="bottom"/>
            <w:tcBorders>
              <w:top w:val="single" w:sz="8" w:color="0000EE"/>
            </w:tcBorders>
            <w:gridSpan w:val="7"/>
          </w:tcPr>
          <w:p>
            <w:pPr>
              <w:spacing w:after="0"/>
              <w:rPr>
                <w:sz w:val="24"/>
                <w:szCs w:val="24"/>
                <w:color w:val="auto"/>
              </w:rPr>
            </w:pPr>
          </w:p>
        </w:tc>
        <w:tc>
          <w:tcPr>
            <w:tcW w:w="3060" w:type="dxa"/>
            <w:vAlign w:val="bottom"/>
            <w:gridSpan w:val="3"/>
          </w:tcPr>
          <w:p>
            <w:pPr>
              <w:jc w:val="right"/>
              <w:ind w:right="1660"/>
              <w:spacing w:after="0"/>
              <w:rPr>
                <w:sz w:val="20"/>
                <w:szCs w:val="20"/>
                <w:color w:val="auto"/>
              </w:rPr>
            </w:pPr>
            <w:r>
              <w:rPr>
                <w:rFonts w:ascii="Arial" w:cs="Arial" w:eastAsia="Arial" w:hAnsi="Arial"/>
                <w:sz w:val="18"/>
                <w:szCs w:val="18"/>
                <w:color w:val="auto"/>
              </w:rPr>
              <w:t>142</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44" w:name="page145"/>
    <w:bookmarkEnd w:id="1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jc w:val="right"/>
              <w:ind w:right="1090"/>
              <w:spacing w:after="0"/>
              <w:rPr>
                <w:sz w:val="20"/>
                <w:szCs w:val="20"/>
                <w:color w:val="auto"/>
              </w:rPr>
            </w:pPr>
            <w:r>
              <w:rPr>
                <w:rFonts w:ascii="Arial" w:cs="Arial" w:eastAsia="Arial" w:hAnsi="Arial"/>
                <w:sz w:val="18"/>
                <w:szCs w:val="18"/>
                <w:color w:val="auto"/>
                <w:w w:val="85"/>
              </w:rPr>
              <w:t>4.14</w:t>
            </w:r>
          </w:p>
        </w:tc>
        <w:tc>
          <w:tcPr>
            <w:tcW w:w="9920" w:type="dxa"/>
            <w:vAlign w:val="bottom"/>
            <w:tcBorders>
              <w:bottom w:val="single" w:sz="8" w:color="0000EE"/>
            </w:tcBorders>
            <w:gridSpan w:val="13"/>
          </w:tcPr>
          <w:p>
            <w:pPr>
              <w:spacing w:after="0"/>
              <w:rPr>
                <w:rFonts w:ascii="Arial" w:cs="Arial" w:eastAsia="Arial" w:hAnsi="Arial"/>
                <w:sz w:val="18"/>
                <w:szCs w:val="18"/>
                <w:color w:val="0000EE"/>
                <w:w w:val="90"/>
              </w:rPr>
            </w:pPr>
            <w:hyperlink r:id="rId248">
              <w:r>
                <w:rPr>
                  <w:rFonts w:ascii="Arial" w:cs="Arial" w:eastAsia="Arial" w:hAnsi="Arial"/>
                  <w:sz w:val="18"/>
                  <w:szCs w:val="18"/>
                  <w:color w:val="0000EE"/>
                  <w:w w:val="90"/>
                </w:rPr>
                <w:t>Nineteenth Supplemental Indenture, dated as of May 20, 2010, among Enterprise Products Operating LLC, as Issuer, Enterprise Products</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248">
              <w:r>
                <w:rPr>
                  <w:rFonts w:ascii="Arial" w:cs="Arial" w:eastAsia="Arial" w:hAnsi="Arial"/>
                  <w:sz w:val="18"/>
                  <w:szCs w:val="18"/>
                  <w:color w:val="0000EE"/>
                  <w:w w:val="91"/>
                </w:rPr>
                <w:t>Partners L.P., as Parent Guarantor, and Wells Fargo Bank, National Association, as Trustee (incorporated by reference to Exhibit 4.3 to</w:t>
              </w:r>
            </w:hyperlink>
          </w:p>
        </w:tc>
      </w:tr>
      <w:tr>
        <w:trPr>
          <w:trHeight w:val="196"/>
        </w:trPr>
        <w:tc>
          <w:tcPr>
            <w:tcW w:w="1500" w:type="dxa"/>
            <w:vAlign w:val="bottom"/>
          </w:tcPr>
          <w:p>
            <w:pPr>
              <w:spacing w:after="0"/>
              <w:rPr>
                <w:sz w:val="17"/>
                <w:szCs w:val="17"/>
                <w:color w:val="auto"/>
              </w:rPr>
            </w:pPr>
          </w:p>
        </w:tc>
        <w:tc>
          <w:tcPr>
            <w:tcW w:w="2240" w:type="dxa"/>
            <w:vAlign w:val="bottom"/>
            <w:tcBorders>
              <w:bottom w:val="single" w:sz="8" w:color="0000EE"/>
            </w:tcBorders>
          </w:tcPr>
          <w:p>
            <w:pPr>
              <w:spacing w:after="0" w:line="196" w:lineRule="exact"/>
              <w:rPr>
                <w:rFonts w:ascii="Arial" w:cs="Arial" w:eastAsia="Arial" w:hAnsi="Arial"/>
                <w:sz w:val="18"/>
                <w:szCs w:val="18"/>
                <w:color w:val="0000EE"/>
                <w:w w:val="93"/>
              </w:rPr>
            </w:pPr>
            <w:hyperlink r:id="rId248">
              <w:r>
                <w:rPr>
                  <w:rFonts w:ascii="Arial" w:cs="Arial" w:eastAsia="Arial" w:hAnsi="Arial"/>
                  <w:sz w:val="18"/>
                  <w:szCs w:val="18"/>
                  <w:color w:val="0000EE"/>
                  <w:w w:val="93"/>
                </w:rPr>
                <w:t>Form 8-K filed May 20, 2010).</w:t>
              </w:r>
            </w:hyperlink>
          </w:p>
        </w:tc>
        <w:tc>
          <w:tcPr>
            <w:tcW w:w="7680" w:type="dxa"/>
            <w:vAlign w:val="bottom"/>
            <w:gridSpan w:val="12"/>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4.15</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r:id="rId249">
              <w:r>
                <w:rPr>
                  <w:rFonts w:ascii="Arial" w:cs="Arial" w:eastAsia="Arial" w:hAnsi="Arial"/>
                  <w:sz w:val="18"/>
                  <w:szCs w:val="18"/>
                  <w:color w:val="0000EE"/>
                  <w:w w:val="94"/>
                </w:rPr>
                <w:t>Twentieth Supplemental Indenture, dated as of January 13, 2011, among Enterprise Products Operating LLC, as Issuer, Enterprise</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249">
              <w:r>
                <w:rPr>
                  <w:rFonts w:ascii="Arial" w:cs="Arial" w:eastAsia="Arial" w:hAnsi="Arial"/>
                  <w:sz w:val="18"/>
                  <w:szCs w:val="18"/>
                  <w:color w:val="0000EE"/>
                  <w:w w:val="89"/>
                </w:rPr>
                <w:t>Products Partners L.P., as Parent Guarantor, and Wells Fargo Bank, National Association, as Trustee (incorporated by reference to Exhibit</w:t>
              </w:r>
            </w:hyperlink>
          </w:p>
        </w:tc>
      </w:tr>
      <w:tr>
        <w:trPr>
          <w:trHeight w:val="196"/>
        </w:trPr>
        <w:tc>
          <w:tcPr>
            <w:tcW w:w="1500" w:type="dxa"/>
            <w:vAlign w:val="bottom"/>
          </w:tcPr>
          <w:p>
            <w:pPr>
              <w:spacing w:after="0"/>
              <w:rPr>
                <w:sz w:val="17"/>
                <w:szCs w:val="17"/>
                <w:color w:val="auto"/>
              </w:rPr>
            </w:pPr>
          </w:p>
        </w:tc>
        <w:tc>
          <w:tcPr>
            <w:tcW w:w="29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249">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w:t>
              </w:r>
              <w:r>
                <w:rPr>
                  <w:rFonts w:ascii="Arial" w:cs="Arial" w:eastAsia="Arial" w:hAnsi="Arial"/>
                  <w:sz w:val="18"/>
                  <w:szCs w:val="18"/>
                  <w:color w:val="0000EE"/>
                  <w:w w:val="91"/>
                </w:rPr>
                <w:t xml:space="preserve"> to Form 8-K filed January 13, 2011).</w:t>
              </w:r>
            </w:hyperlink>
          </w:p>
        </w:tc>
        <w:tc>
          <w:tcPr>
            <w:tcW w:w="7000" w:type="dxa"/>
            <w:vAlign w:val="bottom"/>
            <w:gridSpan w:val="4"/>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4.16</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250">
              <w:r>
                <w:rPr>
                  <w:rFonts w:ascii="Arial" w:cs="Arial" w:eastAsia="Arial" w:hAnsi="Arial"/>
                  <w:sz w:val="18"/>
                  <w:szCs w:val="18"/>
                  <w:color w:val="0000EE"/>
                  <w:w w:val="93"/>
                </w:rPr>
                <w:t>Twenty-First Supplemental Indenture, dated as of August 24, 2011, among Enterprise Products Operating LLC, as Issuer, Enterprise</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250">
              <w:r>
                <w:rPr>
                  <w:rFonts w:ascii="Arial" w:cs="Arial" w:eastAsia="Arial" w:hAnsi="Arial"/>
                  <w:sz w:val="18"/>
                  <w:szCs w:val="18"/>
                  <w:color w:val="0000EE"/>
                  <w:w w:val="89"/>
                </w:rPr>
                <w:t>Products Partners L.P., as Parent Guarantor, and Wells Fargo Bank, National Association, as Trustee (incorporated by reference to Exhibit</w:t>
              </w:r>
            </w:hyperlink>
          </w:p>
        </w:tc>
      </w:tr>
      <w:tr>
        <w:trPr>
          <w:trHeight w:val="196"/>
        </w:trPr>
        <w:tc>
          <w:tcPr>
            <w:tcW w:w="1500" w:type="dxa"/>
            <w:vAlign w:val="bottom"/>
          </w:tcPr>
          <w:p>
            <w:pPr>
              <w:spacing w:after="0"/>
              <w:rPr>
                <w:sz w:val="17"/>
                <w:szCs w:val="17"/>
                <w:color w:val="auto"/>
              </w:rPr>
            </w:pPr>
          </w:p>
        </w:tc>
        <w:tc>
          <w:tcPr>
            <w:tcW w:w="28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250">
              <w:r>
                <w:rPr>
                  <w:rFonts w:ascii="Arial" w:cs="Arial" w:eastAsia="Arial" w:hAnsi="Arial"/>
                  <w:sz w:val="18"/>
                  <w:szCs w:val="18"/>
                  <w:color w:val="0000EE"/>
                  <w:w w:val="92"/>
                </w:rPr>
                <w:t>4.</w:t>
              </w:r>
              <w:r>
                <w:rPr>
                  <w:rFonts w:ascii="Arial" w:cs="Arial" w:eastAsia="Arial" w:hAnsi="Arial"/>
                  <w:sz w:val="18"/>
                  <w:szCs w:val="18"/>
                  <w:u w:val="single" w:color="auto"/>
                  <w:color w:val="0000EE"/>
                  <w:w w:val="92"/>
                </w:rPr>
                <w:t>3</w:t>
              </w:r>
              <w:r>
                <w:rPr>
                  <w:rFonts w:ascii="Arial" w:cs="Arial" w:eastAsia="Arial" w:hAnsi="Arial"/>
                  <w:sz w:val="18"/>
                  <w:szCs w:val="18"/>
                  <w:color w:val="0000EE"/>
                  <w:w w:val="92"/>
                </w:rPr>
                <w:t xml:space="preserve"> to Form 8-K filed August 24, 2011).</w:t>
              </w:r>
            </w:hyperlink>
          </w:p>
        </w:tc>
        <w:tc>
          <w:tcPr>
            <w:tcW w:w="7040" w:type="dxa"/>
            <w:vAlign w:val="bottom"/>
            <w:gridSpan w:val="5"/>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4.17</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51">
              <w:r>
                <w:rPr>
                  <w:rFonts w:ascii="Arial" w:cs="Arial" w:eastAsia="Arial" w:hAnsi="Arial"/>
                  <w:sz w:val="18"/>
                  <w:szCs w:val="18"/>
                  <w:color w:val="0000EE"/>
                  <w:w w:val="90"/>
                </w:rPr>
                <w:t>Twenty-Second Supplemental Indenture, dated as of February 15, 2012, among Enterprise Products Operating LLC, as Issuer, Enterprise</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251">
              <w:r>
                <w:rPr>
                  <w:rFonts w:ascii="Arial" w:cs="Arial" w:eastAsia="Arial" w:hAnsi="Arial"/>
                  <w:sz w:val="18"/>
                  <w:szCs w:val="18"/>
                  <w:color w:val="0000EE"/>
                  <w:w w:val="89"/>
                </w:rPr>
                <w:t>Products Partners L.P., as Parent Guarantor, and Wells Fargo Bank, National Association, as Trustee (incorporated by reference to Exhibit</w:t>
              </w:r>
            </w:hyperlink>
          </w:p>
        </w:tc>
      </w:tr>
      <w:tr>
        <w:trPr>
          <w:trHeight w:val="196"/>
        </w:trPr>
        <w:tc>
          <w:tcPr>
            <w:tcW w:w="1500" w:type="dxa"/>
            <w:vAlign w:val="bottom"/>
          </w:tcPr>
          <w:p>
            <w:pPr>
              <w:spacing w:after="0"/>
              <w:rPr>
                <w:sz w:val="17"/>
                <w:szCs w:val="17"/>
                <w:color w:val="auto"/>
              </w:rPr>
            </w:pPr>
          </w:p>
        </w:tc>
        <w:tc>
          <w:tcPr>
            <w:tcW w:w="28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251">
              <w:r>
                <w:rPr>
                  <w:rFonts w:ascii="Arial" w:cs="Arial" w:eastAsia="Arial" w:hAnsi="Arial"/>
                  <w:sz w:val="18"/>
                  <w:szCs w:val="18"/>
                  <w:color w:val="0000EE"/>
                  <w:w w:val="92"/>
                </w:rPr>
                <w:t>4.</w:t>
              </w:r>
              <w:r>
                <w:rPr>
                  <w:rFonts w:ascii="Arial" w:cs="Arial" w:eastAsia="Arial" w:hAnsi="Arial"/>
                  <w:sz w:val="18"/>
                  <w:szCs w:val="18"/>
                  <w:u w:val="single" w:color="auto"/>
                  <w:color w:val="0000EE"/>
                  <w:w w:val="92"/>
                </w:rPr>
                <w:t>25</w:t>
              </w:r>
              <w:r>
                <w:rPr>
                  <w:rFonts w:ascii="Arial" w:cs="Arial" w:eastAsia="Arial" w:hAnsi="Arial"/>
                  <w:sz w:val="18"/>
                  <w:szCs w:val="18"/>
                  <w:color w:val="0000EE"/>
                  <w:w w:val="92"/>
                </w:rPr>
                <w:t xml:space="preserve"> to Form 10-Q filed May 10, 2012).</w:t>
              </w:r>
            </w:hyperlink>
          </w:p>
        </w:tc>
        <w:tc>
          <w:tcPr>
            <w:tcW w:w="7040" w:type="dxa"/>
            <w:vAlign w:val="bottom"/>
            <w:gridSpan w:val="5"/>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4.18</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252">
              <w:r>
                <w:rPr>
                  <w:rFonts w:ascii="Arial" w:cs="Arial" w:eastAsia="Arial" w:hAnsi="Arial"/>
                  <w:sz w:val="18"/>
                  <w:szCs w:val="18"/>
                  <w:color w:val="0000EE"/>
                  <w:w w:val="93"/>
                </w:rPr>
                <w:t>Twenty-Third Supplemental Indenture, dated as of August 13, 2012, among Enterprise Products Operating LLC, as Issuer, Enterprise</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252">
              <w:r>
                <w:rPr>
                  <w:rFonts w:ascii="Arial" w:cs="Arial" w:eastAsia="Arial" w:hAnsi="Arial"/>
                  <w:sz w:val="18"/>
                  <w:szCs w:val="18"/>
                  <w:color w:val="0000EE"/>
                  <w:w w:val="89"/>
                </w:rPr>
                <w:t>Products Partners L.P., as Parent Guarantor, and Wells Fargo Bank, National Association, as Trustee (incorporated by reference to Exhibit</w:t>
              </w:r>
            </w:hyperlink>
          </w:p>
        </w:tc>
      </w:tr>
      <w:tr>
        <w:trPr>
          <w:trHeight w:val="196"/>
        </w:trPr>
        <w:tc>
          <w:tcPr>
            <w:tcW w:w="1500" w:type="dxa"/>
            <w:vAlign w:val="bottom"/>
          </w:tcPr>
          <w:p>
            <w:pPr>
              <w:spacing w:after="0"/>
              <w:rPr>
                <w:sz w:val="17"/>
                <w:szCs w:val="17"/>
                <w:color w:val="auto"/>
              </w:rPr>
            </w:pPr>
          </w:p>
        </w:tc>
        <w:tc>
          <w:tcPr>
            <w:tcW w:w="9920" w:type="dxa"/>
            <w:vAlign w:val="bottom"/>
            <w:gridSpan w:val="13"/>
          </w:tcPr>
          <w:p>
            <w:pPr>
              <w:spacing w:after="0" w:line="196" w:lineRule="exact"/>
              <w:rPr>
                <w:rFonts w:ascii="Arial" w:cs="Arial" w:eastAsia="Arial" w:hAnsi="Arial"/>
                <w:sz w:val="18"/>
                <w:szCs w:val="18"/>
                <w:color w:val="0000EE"/>
              </w:rPr>
            </w:pPr>
            <w:hyperlink r:id="rId252">
              <w:r>
                <w:rPr>
                  <w:rFonts w:ascii="Arial" w:cs="Arial" w:eastAsia="Arial" w:hAnsi="Arial"/>
                  <w:sz w:val="18"/>
                  <w:szCs w:val="18"/>
                  <w:color w:val="0000EE"/>
                </w:rPr>
                <w:t>4.</w:t>
              </w:r>
              <w:r>
                <w:rPr>
                  <w:rFonts w:ascii="Arial" w:cs="Arial" w:eastAsia="Arial" w:hAnsi="Arial"/>
                  <w:sz w:val="18"/>
                  <w:szCs w:val="18"/>
                  <w:u w:val="single" w:color="auto"/>
                  <w:color w:val="0000EE"/>
                </w:rPr>
                <w:t>3</w:t>
              </w:r>
              <w:r>
                <w:rPr>
                  <w:rFonts w:ascii="Arial" w:cs="Arial" w:eastAsia="Arial" w:hAnsi="Arial"/>
                  <w:sz w:val="18"/>
                  <w:szCs w:val="18"/>
                  <w:color w:val="0000EE"/>
                </w:rPr>
                <w:t xml:space="preserve"> to Form 8-K filed August 13, 2012).</w:t>
              </w:r>
            </w:hyperlink>
          </w:p>
        </w:tc>
      </w:tr>
      <w:tr>
        <w:trPr>
          <w:trHeight w:val="20"/>
        </w:trPr>
        <w:tc>
          <w:tcPr>
            <w:tcW w:w="150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4.19</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253">
              <w:r>
                <w:rPr>
                  <w:rFonts w:ascii="Arial" w:cs="Arial" w:eastAsia="Arial" w:hAnsi="Arial"/>
                  <w:sz w:val="18"/>
                  <w:szCs w:val="18"/>
                  <w:color w:val="0000EE"/>
                  <w:w w:val="92"/>
                </w:rPr>
                <w:t>Twenty-Fourth Supplemental Indenture, dated as of March 18, 2013, among Enterprise Products Operating LLC, as Issuer, Enterprise</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53">
              <w:r>
                <w:rPr>
                  <w:rFonts w:ascii="Arial" w:cs="Arial" w:eastAsia="Arial" w:hAnsi="Arial"/>
                  <w:sz w:val="18"/>
                  <w:szCs w:val="18"/>
                  <w:color w:val="0000EE"/>
                  <w:w w:val="90"/>
                </w:rPr>
                <w:t>Products Partners L.P., as Guarantor, and Wells Fargo Bank, National Association, as Trustee (incorporated by reference to Exhibit 4.3 to</w:t>
              </w:r>
            </w:hyperlink>
          </w:p>
        </w:tc>
      </w:tr>
      <w:tr>
        <w:trPr>
          <w:trHeight w:val="196"/>
        </w:trPr>
        <w:tc>
          <w:tcPr>
            <w:tcW w:w="1500" w:type="dxa"/>
            <w:vAlign w:val="bottom"/>
          </w:tcPr>
          <w:p>
            <w:pPr>
              <w:spacing w:after="0"/>
              <w:rPr>
                <w:sz w:val="17"/>
                <w:szCs w:val="17"/>
                <w:color w:val="auto"/>
              </w:rPr>
            </w:pPr>
          </w:p>
        </w:tc>
        <w:tc>
          <w:tcPr>
            <w:tcW w:w="23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253">
              <w:r>
                <w:rPr>
                  <w:rFonts w:ascii="Arial" w:cs="Arial" w:eastAsia="Arial" w:hAnsi="Arial"/>
                  <w:sz w:val="18"/>
                  <w:szCs w:val="18"/>
                  <w:color w:val="0000EE"/>
                  <w:w w:val="92"/>
                </w:rPr>
                <w:t>Form 8-K filed March 18, 2013).</w:t>
              </w:r>
            </w:hyperlink>
          </w:p>
        </w:tc>
        <w:tc>
          <w:tcPr>
            <w:tcW w:w="7540" w:type="dxa"/>
            <w:vAlign w:val="bottom"/>
            <w:gridSpan w:val="10"/>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4.20</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254">
              <w:r>
                <w:rPr>
                  <w:rFonts w:ascii="Arial" w:cs="Arial" w:eastAsia="Arial" w:hAnsi="Arial"/>
                  <w:sz w:val="18"/>
                  <w:szCs w:val="18"/>
                  <w:color w:val="0000EE"/>
                  <w:w w:val="92"/>
                </w:rPr>
                <w:t>Twenty-Fifth Supplemental Indenture, dated as of February 12, 2014, among Enterprise Products Operating LLC, as Issuer, Enterprise</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54">
              <w:r>
                <w:rPr>
                  <w:rFonts w:ascii="Arial" w:cs="Arial" w:eastAsia="Arial" w:hAnsi="Arial"/>
                  <w:sz w:val="18"/>
                  <w:szCs w:val="18"/>
                  <w:color w:val="0000EE"/>
                  <w:w w:val="90"/>
                </w:rPr>
                <w:t>Products Partners L.P., as Guarantor, and Wells Fargo Bank, National Association, as Trustee (incorporated by reference to Exhibit 4.3 to</w:t>
              </w:r>
            </w:hyperlink>
          </w:p>
        </w:tc>
      </w:tr>
      <w:tr>
        <w:trPr>
          <w:trHeight w:val="196"/>
        </w:trPr>
        <w:tc>
          <w:tcPr>
            <w:tcW w:w="1500" w:type="dxa"/>
            <w:vAlign w:val="bottom"/>
          </w:tcPr>
          <w:p>
            <w:pPr>
              <w:spacing w:after="0"/>
              <w:rPr>
                <w:sz w:val="17"/>
                <w:szCs w:val="17"/>
                <w:color w:val="auto"/>
              </w:rPr>
            </w:pPr>
          </w:p>
        </w:tc>
        <w:tc>
          <w:tcPr>
            <w:tcW w:w="25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254">
              <w:r>
                <w:rPr>
                  <w:rFonts w:ascii="Arial" w:cs="Arial" w:eastAsia="Arial" w:hAnsi="Arial"/>
                  <w:sz w:val="18"/>
                  <w:szCs w:val="18"/>
                  <w:color w:val="0000EE"/>
                  <w:w w:val="92"/>
                </w:rPr>
                <w:t>Form 8-K filed February 12, 2014).</w:t>
              </w:r>
            </w:hyperlink>
          </w:p>
        </w:tc>
        <w:tc>
          <w:tcPr>
            <w:tcW w:w="7340" w:type="dxa"/>
            <w:vAlign w:val="bottom"/>
            <w:gridSpan w:val="7"/>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4.21</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255">
              <w:r>
                <w:rPr>
                  <w:rFonts w:ascii="Arial" w:cs="Arial" w:eastAsia="Arial" w:hAnsi="Arial"/>
                  <w:sz w:val="18"/>
                  <w:szCs w:val="18"/>
                  <w:color w:val="0000EE"/>
                  <w:w w:val="92"/>
                </w:rPr>
                <w:t>Twenty-Sixth Supplemental Indenture, dated as of October 14, 2014, among Enterprise Products Operating LLC, as Issuer, Enterprise</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55">
              <w:r>
                <w:rPr>
                  <w:rFonts w:ascii="Arial" w:cs="Arial" w:eastAsia="Arial" w:hAnsi="Arial"/>
                  <w:sz w:val="18"/>
                  <w:szCs w:val="18"/>
                  <w:color w:val="0000EE"/>
                  <w:w w:val="90"/>
                </w:rPr>
                <w:t>Products Partners L.P., as Guarantor, and Wells Fargo Bank, National Association, as Trustee (incorporated by reference to Exhibit 4.4 to</w:t>
              </w:r>
            </w:hyperlink>
          </w:p>
        </w:tc>
      </w:tr>
      <w:tr>
        <w:trPr>
          <w:trHeight w:val="196"/>
        </w:trPr>
        <w:tc>
          <w:tcPr>
            <w:tcW w:w="1500" w:type="dxa"/>
            <w:vAlign w:val="bottom"/>
          </w:tcPr>
          <w:p>
            <w:pPr>
              <w:spacing w:after="0"/>
              <w:rPr>
                <w:sz w:val="17"/>
                <w:szCs w:val="17"/>
                <w:color w:val="auto"/>
              </w:rPr>
            </w:pPr>
          </w:p>
        </w:tc>
        <w:tc>
          <w:tcPr>
            <w:tcW w:w="9920" w:type="dxa"/>
            <w:vAlign w:val="bottom"/>
            <w:gridSpan w:val="13"/>
          </w:tcPr>
          <w:p>
            <w:pPr>
              <w:spacing w:after="0" w:line="196" w:lineRule="exact"/>
              <w:rPr>
                <w:rFonts w:ascii="Arial" w:cs="Arial" w:eastAsia="Arial" w:hAnsi="Arial"/>
                <w:sz w:val="18"/>
                <w:szCs w:val="18"/>
                <w:color w:val="0000EE"/>
              </w:rPr>
            </w:pPr>
            <w:hyperlink r:id="rId255">
              <w:r>
                <w:rPr>
                  <w:rFonts w:ascii="Arial" w:cs="Arial" w:eastAsia="Arial" w:hAnsi="Arial"/>
                  <w:sz w:val="18"/>
                  <w:szCs w:val="18"/>
                  <w:color w:val="0000EE"/>
                </w:rPr>
                <w:t>Form 8-K filed October 14, 2014).</w:t>
              </w:r>
            </w:hyperlink>
          </w:p>
        </w:tc>
      </w:tr>
      <w:tr>
        <w:trPr>
          <w:trHeight w:val="20"/>
        </w:trPr>
        <w:tc>
          <w:tcPr>
            <w:tcW w:w="150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4.22</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256">
              <w:r>
                <w:rPr>
                  <w:rFonts w:ascii="Arial" w:cs="Arial" w:eastAsia="Arial" w:hAnsi="Arial"/>
                  <w:sz w:val="18"/>
                  <w:szCs w:val="18"/>
                  <w:color w:val="0000EE"/>
                  <w:w w:val="93"/>
                </w:rPr>
                <w:t>Twenty-Seventh Supplemental Indenture, dated as of May 7, 2015, among Enterprise Products Operating LLC, as Issuer, Enterprise</w:t>
              </w:r>
            </w:hyperlink>
          </w:p>
        </w:tc>
      </w:tr>
      <w:tr>
        <w:trPr>
          <w:trHeight w:val="196"/>
        </w:trPr>
        <w:tc>
          <w:tcPr>
            <w:tcW w:w="1500" w:type="dxa"/>
            <w:vAlign w:val="bottom"/>
          </w:tcPr>
          <w:p>
            <w:pPr>
              <w:spacing w:after="0"/>
              <w:rPr>
                <w:sz w:val="17"/>
                <w:szCs w:val="17"/>
                <w:color w:val="auto"/>
              </w:rPr>
            </w:pPr>
          </w:p>
        </w:tc>
        <w:tc>
          <w:tcPr>
            <w:tcW w:w="9920" w:type="dxa"/>
            <w:vAlign w:val="bottom"/>
            <w:gridSpan w:val="13"/>
          </w:tcPr>
          <w:p>
            <w:pPr>
              <w:spacing w:after="0" w:line="196" w:lineRule="exact"/>
              <w:rPr>
                <w:rFonts w:ascii="Arial" w:cs="Arial" w:eastAsia="Arial" w:hAnsi="Arial"/>
                <w:sz w:val="18"/>
                <w:szCs w:val="18"/>
                <w:color w:val="0000EE"/>
                <w:w w:val="89"/>
              </w:rPr>
            </w:pPr>
            <w:hyperlink r:id="rId256">
              <w:r>
                <w:rPr>
                  <w:rFonts w:ascii="Arial" w:cs="Arial" w:eastAsia="Arial" w:hAnsi="Arial"/>
                  <w:sz w:val="18"/>
                  <w:szCs w:val="18"/>
                  <w:color w:val="0000EE"/>
                  <w:w w:val="89"/>
                </w:rPr>
                <w:t>Products Partners L.P., as Parent Guarantor, and Wells Fargo Bank, National Association, as Trustee (incorporated by reference to Exhibit</w:t>
              </w:r>
            </w:hyperlink>
          </w:p>
        </w:tc>
      </w:tr>
      <w:tr>
        <w:trPr>
          <w:trHeight w:val="196"/>
        </w:trPr>
        <w:tc>
          <w:tcPr>
            <w:tcW w:w="1500" w:type="dxa"/>
            <w:vAlign w:val="bottom"/>
          </w:tcPr>
          <w:p>
            <w:pPr>
              <w:spacing w:after="0"/>
              <w:rPr>
                <w:sz w:val="17"/>
                <w:szCs w:val="17"/>
                <w:color w:val="auto"/>
              </w:rPr>
            </w:pPr>
          </w:p>
        </w:tc>
        <w:tc>
          <w:tcPr>
            <w:tcW w:w="72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56">
              <w:r>
                <w:rPr>
                  <w:rFonts w:ascii="Arial" w:cs="Arial" w:eastAsia="Arial" w:hAnsi="Arial"/>
                  <w:sz w:val="18"/>
                  <w:szCs w:val="18"/>
                  <w:color w:val="0000EE"/>
                </w:rPr>
                <w:t>4.</w:t>
              </w:r>
              <w:r>
                <w:rPr>
                  <w:rFonts w:ascii="Arial" w:cs="Arial" w:eastAsia="Arial" w:hAnsi="Arial"/>
                  <w:sz w:val="18"/>
                  <w:szCs w:val="18"/>
                  <w:u w:val="single" w:color="auto"/>
                  <w:color w:val="0000EE"/>
                </w:rPr>
                <w:t>3</w:t>
              </w:r>
              <w:r>
                <w:rPr>
                  <w:rFonts w:ascii="Arial" w:cs="Arial" w:eastAsia="Arial" w:hAnsi="Arial"/>
                  <w:sz w:val="18"/>
                  <w:szCs w:val="18"/>
                  <w:color w:val="0000EE"/>
                </w:rPr>
                <w:t xml:space="preserve"> to Form 8-K filed May 7, 2015).</w:t>
              </w:r>
            </w:hyperlink>
          </w:p>
        </w:tc>
        <w:tc>
          <w:tcPr>
            <w:tcW w:w="60" w:type="dxa"/>
            <w:vAlign w:val="bottom"/>
          </w:tcPr>
          <w:p>
            <w:pPr>
              <w:spacing w:after="0"/>
              <w:rPr>
                <w:sz w:val="17"/>
                <w:szCs w:val="17"/>
                <w:color w:val="auto"/>
              </w:rPr>
            </w:pPr>
          </w:p>
        </w:tc>
        <w:tc>
          <w:tcPr>
            <w:tcW w:w="2660" w:type="dxa"/>
            <w:vAlign w:val="bottom"/>
            <w:tcBorders>
              <w:top w:val="single" w:sz="8" w:color="0000EE"/>
            </w:tcBorders>
            <w:gridSpan w:val="2"/>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7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4.23</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r:id="rId257">
              <w:r>
                <w:rPr>
                  <w:rFonts w:ascii="Arial" w:cs="Arial" w:eastAsia="Arial" w:hAnsi="Arial"/>
                  <w:sz w:val="18"/>
                  <w:szCs w:val="18"/>
                  <w:color w:val="0000EE"/>
                  <w:w w:val="94"/>
                </w:rPr>
                <w:t>Twenty-Eighth Supplemental Indenture, dated as of April 13, 2016, among Enterprise Products Operating LLC, as Issuer, Enterprise</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57">
              <w:r>
                <w:rPr>
                  <w:rFonts w:ascii="Arial" w:cs="Arial" w:eastAsia="Arial" w:hAnsi="Arial"/>
                  <w:sz w:val="18"/>
                  <w:szCs w:val="18"/>
                  <w:color w:val="0000EE"/>
                  <w:w w:val="90"/>
                </w:rPr>
                <w:t>Products Partners L.P., as Guarantor, and Wells Fargo Bank, National Association, as Trustee (incorporated by reference to Exhibit 4.4 to</w:t>
              </w:r>
            </w:hyperlink>
          </w:p>
        </w:tc>
      </w:tr>
      <w:tr>
        <w:trPr>
          <w:trHeight w:val="196"/>
        </w:trPr>
        <w:tc>
          <w:tcPr>
            <w:tcW w:w="1500" w:type="dxa"/>
            <w:vAlign w:val="bottom"/>
          </w:tcPr>
          <w:p>
            <w:pPr>
              <w:spacing w:after="0"/>
              <w:rPr>
                <w:sz w:val="17"/>
                <w:szCs w:val="17"/>
                <w:color w:val="auto"/>
              </w:rPr>
            </w:pPr>
          </w:p>
        </w:tc>
        <w:tc>
          <w:tcPr>
            <w:tcW w:w="9920" w:type="dxa"/>
            <w:vAlign w:val="bottom"/>
            <w:gridSpan w:val="13"/>
          </w:tcPr>
          <w:p>
            <w:pPr>
              <w:spacing w:after="0" w:line="196" w:lineRule="exact"/>
              <w:rPr>
                <w:rFonts w:ascii="Arial" w:cs="Arial" w:eastAsia="Arial" w:hAnsi="Arial"/>
                <w:sz w:val="18"/>
                <w:szCs w:val="18"/>
                <w:color w:val="0000EE"/>
              </w:rPr>
            </w:pPr>
            <w:hyperlink r:id="rId257">
              <w:r>
                <w:rPr>
                  <w:rFonts w:ascii="Arial" w:cs="Arial" w:eastAsia="Arial" w:hAnsi="Arial"/>
                  <w:sz w:val="18"/>
                  <w:szCs w:val="18"/>
                  <w:color w:val="0000EE"/>
                </w:rPr>
                <w:t>Form 8-K filed April 13, 2016).</w:t>
              </w:r>
            </w:hyperlink>
          </w:p>
        </w:tc>
      </w:tr>
      <w:tr>
        <w:trPr>
          <w:trHeight w:val="20"/>
        </w:trPr>
        <w:tc>
          <w:tcPr>
            <w:tcW w:w="150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3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4.24</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258">
              <w:r>
                <w:rPr>
                  <w:rFonts w:ascii="Arial" w:cs="Arial" w:eastAsia="Arial" w:hAnsi="Arial"/>
                  <w:sz w:val="18"/>
                  <w:szCs w:val="18"/>
                  <w:color w:val="0000EE"/>
                  <w:w w:val="93"/>
                </w:rPr>
                <w:t>Twenty-Ninth Supplemental Indenture, dated as of August 16, 2017, among Enterprise Products Operating LLC, as Issuer, Enterprise</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58">
              <w:r>
                <w:rPr>
                  <w:rFonts w:ascii="Arial" w:cs="Arial" w:eastAsia="Arial" w:hAnsi="Arial"/>
                  <w:sz w:val="18"/>
                  <w:szCs w:val="18"/>
                  <w:color w:val="0000EE"/>
                  <w:w w:val="90"/>
                </w:rPr>
                <w:t>Products Partners L.P., as Guarantor, and Wells Fargo Bank, National Association, as Trustee (incorporated by reference to Exhibit 4.3 to</w:t>
              </w:r>
            </w:hyperlink>
          </w:p>
        </w:tc>
      </w:tr>
      <w:tr>
        <w:trPr>
          <w:trHeight w:val="196"/>
        </w:trPr>
        <w:tc>
          <w:tcPr>
            <w:tcW w:w="1500" w:type="dxa"/>
            <w:vAlign w:val="bottom"/>
          </w:tcPr>
          <w:p>
            <w:pPr>
              <w:spacing w:after="0"/>
              <w:rPr>
                <w:sz w:val="17"/>
                <w:szCs w:val="17"/>
                <w:color w:val="auto"/>
              </w:rPr>
            </w:pPr>
          </w:p>
        </w:tc>
        <w:tc>
          <w:tcPr>
            <w:tcW w:w="9920" w:type="dxa"/>
            <w:vAlign w:val="bottom"/>
            <w:gridSpan w:val="13"/>
          </w:tcPr>
          <w:p>
            <w:pPr>
              <w:spacing w:after="0" w:line="196" w:lineRule="exact"/>
              <w:rPr>
                <w:rFonts w:ascii="Arial" w:cs="Arial" w:eastAsia="Arial" w:hAnsi="Arial"/>
                <w:sz w:val="18"/>
                <w:szCs w:val="18"/>
                <w:color w:val="0000EE"/>
              </w:rPr>
            </w:pPr>
            <w:hyperlink r:id="rId258">
              <w:r>
                <w:rPr>
                  <w:rFonts w:ascii="Arial" w:cs="Arial" w:eastAsia="Arial" w:hAnsi="Arial"/>
                  <w:sz w:val="18"/>
                  <w:szCs w:val="18"/>
                  <w:color w:val="0000EE"/>
                </w:rPr>
                <w:t>Form 8-K filed August 16, 2017).</w:t>
              </w:r>
            </w:hyperlink>
          </w:p>
        </w:tc>
      </w:tr>
      <w:tr>
        <w:trPr>
          <w:trHeight w:val="20"/>
        </w:trPr>
        <w:tc>
          <w:tcPr>
            <w:tcW w:w="1500" w:type="dxa"/>
            <w:vAlign w:val="bottom"/>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3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4.25</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r:id="rId259">
              <w:r>
                <w:rPr>
                  <w:rFonts w:ascii="Arial" w:cs="Arial" w:eastAsia="Arial" w:hAnsi="Arial"/>
                  <w:sz w:val="18"/>
                  <w:szCs w:val="18"/>
                  <w:color w:val="0000EE"/>
                  <w:w w:val="95"/>
                </w:rPr>
                <w:t>Thirtieth Supplemental Indenture, dated as of February 15, 2018, among Enterprise Products Operating LLC, as Issuer, Enterprise</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59">
              <w:r>
                <w:rPr>
                  <w:rFonts w:ascii="Arial" w:cs="Arial" w:eastAsia="Arial" w:hAnsi="Arial"/>
                  <w:sz w:val="18"/>
                  <w:szCs w:val="18"/>
                  <w:color w:val="0000EE"/>
                  <w:w w:val="90"/>
                </w:rPr>
                <w:t>Products Partners L.P., as Guarantor, and Wells Fargo Bank, National Association, as Trustee (incorporated by reference to Exhibit 4.4 to</w:t>
              </w:r>
            </w:hyperlink>
          </w:p>
        </w:tc>
      </w:tr>
      <w:tr>
        <w:trPr>
          <w:trHeight w:val="196"/>
        </w:trPr>
        <w:tc>
          <w:tcPr>
            <w:tcW w:w="1500" w:type="dxa"/>
            <w:vAlign w:val="bottom"/>
          </w:tcPr>
          <w:p>
            <w:pPr>
              <w:spacing w:after="0"/>
              <w:rPr>
                <w:sz w:val="17"/>
                <w:szCs w:val="17"/>
                <w:color w:val="auto"/>
              </w:rPr>
            </w:pPr>
          </w:p>
        </w:tc>
        <w:tc>
          <w:tcPr>
            <w:tcW w:w="25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259">
              <w:r>
                <w:rPr>
                  <w:rFonts w:ascii="Arial" w:cs="Arial" w:eastAsia="Arial" w:hAnsi="Arial"/>
                  <w:sz w:val="18"/>
                  <w:szCs w:val="18"/>
                  <w:color w:val="0000EE"/>
                  <w:w w:val="92"/>
                </w:rPr>
                <w:t>Form 8-K filed February 15, 2018).</w:t>
              </w:r>
            </w:hyperlink>
          </w:p>
        </w:tc>
        <w:tc>
          <w:tcPr>
            <w:tcW w:w="7340" w:type="dxa"/>
            <w:vAlign w:val="bottom"/>
            <w:gridSpan w:val="7"/>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4.26</w:t>
            </w:r>
          </w:p>
        </w:tc>
        <w:tc>
          <w:tcPr>
            <w:tcW w:w="9920" w:type="dxa"/>
            <w:vAlign w:val="bottom"/>
            <w:gridSpan w:val="13"/>
          </w:tcPr>
          <w:p>
            <w:pPr>
              <w:spacing w:after="0" w:line="196" w:lineRule="exact"/>
              <w:rPr>
                <w:rFonts w:ascii="Arial" w:cs="Arial" w:eastAsia="Arial" w:hAnsi="Arial"/>
                <w:sz w:val="18"/>
                <w:szCs w:val="18"/>
                <w:color w:val="0000EE"/>
                <w:w w:val="93"/>
              </w:rPr>
            </w:pPr>
            <w:hyperlink r:id="rId260">
              <w:r>
                <w:rPr>
                  <w:rFonts w:ascii="Arial" w:cs="Arial" w:eastAsia="Arial" w:hAnsi="Arial"/>
                  <w:sz w:val="18"/>
                  <w:szCs w:val="18"/>
                  <w:color w:val="0000EE"/>
                  <w:w w:val="93"/>
                </w:rPr>
                <w:t>Thirty-First Supplemental Indenture, dated as of February 15, 2018, among Enterprise Products Operating LLC, as Issuer, Enterprise</w:t>
              </w:r>
            </w:hyperlink>
          </w:p>
        </w:tc>
      </w:tr>
      <w:tr>
        <w:trPr>
          <w:trHeight w:val="20"/>
        </w:trPr>
        <w:tc>
          <w:tcPr>
            <w:tcW w:w="1500" w:type="dxa"/>
            <w:vAlign w:val="bottom"/>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734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60">
              <w:r>
                <w:rPr>
                  <w:rFonts w:ascii="Arial" w:cs="Arial" w:eastAsia="Arial" w:hAnsi="Arial"/>
                  <w:sz w:val="18"/>
                  <w:szCs w:val="18"/>
                  <w:color w:val="0000EE"/>
                  <w:w w:val="90"/>
                </w:rPr>
                <w:t>Products Partners L.P., as Guarantor, and Wells Fargo Bank, National Association, as Trustee (incorporated by reference to Exhibit 4.3 to</w:t>
              </w:r>
            </w:hyperlink>
          </w:p>
        </w:tc>
      </w:tr>
      <w:tr>
        <w:trPr>
          <w:trHeight w:val="196"/>
        </w:trPr>
        <w:tc>
          <w:tcPr>
            <w:tcW w:w="1500" w:type="dxa"/>
            <w:vAlign w:val="bottom"/>
          </w:tcPr>
          <w:p>
            <w:pPr>
              <w:spacing w:after="0"/>
              <w:rPr>
                <w:sz w:val="17"/>
                <w:szCs w:val="17"/>
                <w:color w:val="auto"/>
              </w:rPr>
            </w:pPr>
          </w:p>
        </w:tc>
        <w:tc>
          <w:tcPr>
            <w:tcW w:w="25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260">
              <w:r>
                <w:rPr>
                  <w:rFonts w:ascii="Arial" w:cs="Arial" w:eastAsia="Arial" w:hAnsi="Arial"/>
                  <w:sz w:val="18"/>
                  <w:szCs w:val="18"/>
                  <w:color w:val="0000EE"/>
                  <w:w w:val="91"/>
                </w:rPr>
                <w:t>Form 8-K filed February 15, 2018).</w:t>
              </w:r>
            </w:hyperlink>
          </w:p>
        </w:tc>
        <w:tc>
          <w:tcPr>
            <w:tcW w:w="7360" w:type="dxa"/>
            <w:vAlign w:val="bottom"/>
            <w:gridSpan w:val="8"/>
          </w:tcPr>
          <w:p>
            <w:pPr>
              <w:spacing w:after="0"/>
              <w:rPr>
                <w:sz w:val="17"/>
                <w:szCs w:val="17"/>
                <w:color w:val="auto"/>
              </w:rPr>
            </w:pPr>
          </w:p>
        </w:tc>
      </w:tr>
      <w:tr>
        <w:trPr>
          <w:trHeight w:val="912"/>
        </w:trPr>
        <w:tc>
          <w:tcPr>
            <w:tcW w:w="1500" w:type="dxa"/>
            <w:vAlign w:val="bottom"/>
          </w:tcPr>
          <w:p>
            <w:pPr>
              <w:spacing w:after="0"/>
              <w:rPr>
                <w:sz w:val="24"/>
                <w:szCs w:val="24"/>
                <w:color w:val="auto"/>
              </w:rPr>
            </w:pPr>
          </w:p>
        </w:tc>
        <w:tc>
          <w:tcPr>
            <w:tcW w:w="7200" w:type="dxa"/>
            <w:vAlign w:val="bottom"/>
            <w:gridSpan w:val="10"/>
          </w:tcPr>
          <w:p>
            <w:pPr>
              <w:ind w:left="4080"/>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5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-2692400</wp:posOffset>
            </wp:positionV>
            <wp:extent cx="28575"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1">
                      <a:extLst>
                        <a:ext uri="{28A0092B-C50C-407E-A947-70E740481C1C}"/>
                      </a:extLst>
                    </a:blip>
                    <a:srcRect/>
                    <a:stretch>
                      <a:fillRect/>
                    </a:stretch>
                  </pic:blipFill>
                  <pic:spPr bwMode="auto">
                    <a:xfrm>
                      <a:off x="0" y="0"/>
                      <a:ext cx="28575" cy="12890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5" w:name="page146"/>
    <w:bookmarkEnd w:id="1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jc w:val="right"/>
              <w:ind w:right="1090"/>
              <w:spacing w:after="0"/>
              <w:rPr>
                <w:sz w:val="20"/>
                <w:szCs w:val="20"/>
                <w:color w:val="auto"/>
              </w:rPr>
            </w:pPr>
            <w:r>
              <w:rPr>
                <w:rFonts w:ascii="Arial" w:cs="Arial" w:eastAsia="Arial" w:hAnsi="Arial"/>
                <w:sz w:val="18"/>
                <w:szCs w:val="18"/>
                <w:color w:val="auto"/>
                <w:w w:val="85"/>
              </w:rPr>
              <w:t>4.27</w:t>
            </w:r>
          </w:p>
        </w:tc>
        <w:tc>
          <w:tcPr>
            <w:tcW w:w="9920" w:type="dxa"/>
            <w:vAlign w:val="bottom"/>
            <w:tcBorders>
              <w:bottom w:val="single" w:sz="8" w:color="0000EE"/>
            </w:tcBorders>
            <w:gridSpan w:val="15"/>
          </w:tcPr>
          <w:p>
            <w:pPr>
              <w:spacing w:after="0"/>
              <w:rPr>
                <w:rFonts w:ascii="Arial" w:cs="Arial" w:eastAsia="Arial" w:hAnsi="Arial"/>
                <w:sz w:val="18"/>
                <w:szCs w:val="18"/>
                <w:color w:val="0000EE"/>
                <w:w w:val="91"/>
              </w:rPr>
            </w:pPr>
            <w:hyperlink r:id="rId262">
              <w:r>
                <w:rPr>
                  <w:rFonts w:ascii="Arial" w:cs="Arial" w:eastAsia="Arial" w:hAnsi="Arial"/>
                  <w:sz w:val="18"/>
                  <w:szCs w:val="18"/>
                  <w:color w:val="0000EE"/>
                  <w:w w:val="91"/>
                </w:rPr>
                <w:t>Thirty-Second Supplemental Indenture, dated as of October 11, 2018, among Enterprise Products Operating LLC, as Issuer, Enterprise</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62">
              <w:r>
                <w:rPr>
                  <w:rFonts w:ascii="Arial" w:cs="Arial" w:eastAsia="Arial" w:hAnsi="Arial"/>
                  <w:sz w:val="18"/>
                  <w:szCs w:val="18"/>
                  <w:color w:val="0000EE"/>
                  <w:w w:val="90"/>
                </w:rPr>
                <w:t>Products Partners L.P., as Guarantor, and Wells Fargo Bank, National Association, as Trustee (incorporated by reference to Exhibit 4.3 to</w:t>
              </w:r>
            </w:hyperlink>
          </w:p>
        </w:tc>
      </w:tr>
      <w:tr>
        <w:trPr>
          <w:trHeight w:val="196"/>
        </w:trPr>
        <w:tc>
          <w:tcPr>
            <w:tcW w:w="1500" w:type="dxa"/>
            <w:vAlign w:val="bottom"/>
          </w:tcPr>
          <w:p>
            <w:pPr>
              <w:spacing w:after="0"/>
              <w:rPr>
                <w:sz w:val="17"/>
                <w:szCs w:val="17"/>
                <w:color w:val="auto"/>
              </w:rPr>
            </w:pPr>
          </w:p>
        </w:tc>
        <w:tc>
          <w:tcPr>
            <w:tcW w:w="9920" w:type="dxa"/>
            <w:vAlign w:val="bottom"/>
            <w:gridSpan w:val="15"/>
          </w:tcPr>
          <w:p>
            <w:pPr>
              <w:spacing w:after="0" w:line="196" w:lineRule="exact"/>
              <w:rPr>
                <w:rFonts w:ascii="Arial" w:cs="Arial" w:eastAsia="Arial" w:hAnsi="Arial"/>
                <w:sz w:val="18"/>
                <w:szCs w:val="18"/>
                <w:color w:val="0000EE"/>
              </w:rPr>
            </w:pPr>
            <w:hyperlink r:id="rId262">
              <w:r>
                <w:rPr>
                  <w:rFonts w:ascii="Arial" w:cs="Arial" w:eastAsia="Arial" w:hAnsi="Arial"/>
                  <w:sz w:val="18"/>
                  <w:szCs w:val="18"/>
                  <w:color w:val="0000EE"/>
                </w:rPr>
                <w:t>Form 8-K filed October 11, 2018).</w:t>
              </w:r>
            </w:hyperlink>
          </w:p>
        </w:tc>
      </w:tr>
      <w:tr>
        <w:trPr>
          <w:trHeight w:val="20"/>
        </w:trPr>
        <w:tc>
          <w:tcPr>
            <w:tcW w:w="15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860" w:type="dxa"/>
            <w:vAlign w:val="bottom"/>
            <w:tcBorders>
              <w:left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4.28</w:t>
            </w:r>
          </w:p>
        </w:tc>
        <w:tc>
          <w:tcPr>
            <w:tcW w:w="99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63">
              <w:r>
                <w:rPr>
                  <w:rFonts w:ascii="Arial" w:cs="Arial" w:eastAsia="Arial" w:hAnsi="Arial"/>
                  <w:sz w:val="18"/>
                  <w:szCs w:val="18"/>
                  <w:color w:val="0000EE"/>
                  <w:w w:val="90"/>
                </w:rPr>
                <w:t>Thirty-Third Supplemental Indenture, dated as of July 8, 2019, among Enterprise Products Operating LLC, as Issuer, Enterprise Products</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63">
              <w:r>
                <w:rPr>
                  <w:rFonts w:ascii="Arial" w:cs="Arial" w:eastAsia="Arial" w:hAnsi="Arial"/>
                  <w:sz w:val="18"/>
                  <w:szCs w:val="18"/>
                  <w:color w:val="0000EE"/>
                  <w:w w:val="90"/>
                </w:rPr>
                <w:t>Partners L.P., as Guarantor, and Wells Fargo Bank, National Association, as Trustee (incorporated by reference to Exhibit 4.3 to Form 8-</w:t>
              </w:r>
            </w:hyperlink>
          </w:p>
        </w:tc>
      </w:tr>
      <w:tr>
        <w:trPr>
          <w:trHeight w:val="196"/>
        </w:trPr>
        <w:tc>
          <w:tcPr>
            <w:tcW w:w="1500" w:type="dxa"/>
            <w:vAlign w:val="bottom"/>
          </w:tcPr>
          <w:p>
            <w:pPr>
              <w:spacing w:after="0"/>
              <w:rPr>
                <w:sz w:val="17"/>
                <w:szCs w:val="17"/>
                <w:color w:val="auto"/>
              </w:rPr>
            </w:pPr>
          </w:p>
        </w:tc>
        <w:tc>
          <w:tcPr>
            <w:tcW w:w="1540" w:type="dxa"/>
            <w:vAlign w:val="bottom"/>
            <w:tcBorders>
              <w:bottom w:val="single" w:sz="8" w:color="0000EE"/>
            </w:tcBorders>
          </w:tcPr>
          <w:p>
            <w:pPr>
              <w:spacing w:after="0" w:line="196" w:lineRule="exact"/>
              <w:rPr>
                <w:rFonts w:ascii="Arial" w:cs="Arial" w:eastAsia="Arial" w:hAnsi="Arial"/>
                <w:sz w:val="18"/>
                <w:szCs w:val="18"/>
                <w:color w:val="0000EE"/>
                <w:w w:val="93"/>
              </w:rPr>
            </w:pPr>
            <w:hyperlink r:id="rId263">
              <w:r>
                <w:rPr>
                  <w:rFonts w:ascii="Arial" w:cs="Arial" w:eastAsia="Arial" w:hAnsi="Arial"/>
                  <w:sz w:val="18"/>
                  <w:szCs w:val="18"/>
                  <w:color w:val="0000EE"/>
                  <w:w w:val="93"/>
                </w:rPr>
                <w:t>K filed July 8, 2019).</w:t>
              </w:r>
            </w:hyperlink>
          </w:p>
        </w:tc>
        <w:tc>
          <w:tcPr>
            <w:tcW w:w="8380" w:type="dxa"/>
            <w:vAlign w:val="bottom"/>
            <w:gridSpan w:val="14"/>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4.29</w:t>
            </w:r>
          </w:p>
        </w:tc>
        <w:tc>
          <w:tcPr>
            <w:tcW w:w="99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264">
              <w:r>
                <w:rPr>
                  <w:rFonts w:ascii="Arial" w:cs="Arial" w:eastAsia="Arial" w:hAnsi="Arial"/>
                  <w:sz w:val="18"/>
                  <w:szCs w:val="18"/>
                  <w:color w:val="0000EE"/>
                  <w:w w:val="92"/>
                </w:rPr>
                <w:t>Thirty-Fourth Supplemental Indenture, dated as of January 15, 2020, among Enterprise Products Operating LLC, as Issuer, Enterprise</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64">
              <w:r>
                <w:rPr>
                  <w:rFonts w:ascii="Arial" w:cs="Arial" w:eastAsia="Arial" w:hAnsi="Arial"/>
                  <w:sz w:val="18"/>
                  <w:szCs w:val="18"/>
                  <w:color w:val="0000EE"/>
                  <w:w w:val="90"/>
                </w:rPr>
                <w:t>Products Partners L.P., as Guarantor, and Wells Fargo Bank, National Association, as Trustee (incorporated by reference to Exhibit 4.3 to</w:t>
              </w:r>
            </w:hyperlink>
          </w:p>
        </w:tc>
      </w:tr>
      <w:tr>
        <w:trPr>
          <w:trHeight w:val="196"/>
        </w:trPr>
        <w:tc>
          <w:tcPr>
            <w:tcW w:w="1500" w:type="dxa"/>
            <w:vAlign w:val="bottom"/>
          </w:tcPr>
          <w:p>
            <w:pPr>
              <w:spacing w:after="0"/>
              <w:rPr>
                <w:sz w:val="17"/>
                <w:szCs w:val="17"/>
                <w:color w:val="auto"/>
              </w:rPr>
            </w:pPr>
          </w:p>
        </w:tc>
        <w:tc>
          <w:tcPr>
            <w:tcW w:w="9920" w:type="dxa"/>
            <w:vAlign w:val="bottom"/>
            <w:gridSpan w:val="15"/>
          </w:tcPr>
          <w:p>
            <w:pPr>
              <w:spacing w:after="0" w:line="196" w:lineRule="exact"/>
              <w:rPr>
                <w:rFonts w:ascii="Arial" w:cs="Arial" w:eastAsia="Arial" w:hAnsi="Arial"/>
                <w:sz w:val="18"/>
                <w:szCs w:val="18"/>
                <w:color w:val="0000EE"/>
              </w:rPr>
            </w:pPr>
            <w:hyperlink r:id="rId264">
              <w:r>
                <w:rPr>
                  <w:rFonts w:ascii="Arial" w:cs="Arial" w:eastAsia="Arial" w:hAnsi="Arial"/>
                  <w:sz w:val="18"/>
                  <w:szCs w:val="18"/>
                  <w:color w:val="0000EE"/>
                </w:rPr>
                <w:t>Form 8-K filed January 15, 2020).</w:t>
              </w:r>
            </w:hyperlink>
          </w:p>
        </w:tc>
      </w:tr>
      <w:tr>
        <w:trPr>
          <w:trHeight w:val="20"/>
        </w:trPr>
        <w:tc>
          <w:tcPr>
            <w:tcW w:w="150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4.30</w:t>
            </w:r>
          </w:p>
        </w:tc>
        <w:tc>
          <w:tcPr>
            <w:tcW w:w="99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238">
              <w:r>
                <w:rPr>
                  <w:rFonts w:ascii="Arial" w:cs="Arial" w:eastAsia="Arial" w:hAnsi="Arial"/>
                  <w:sz w:val="18"/>
                  <w:szCs w:val="18"/>
                  <w:color w:val="0000EE"/>
                  <w:w w:val="92"/>
                </w:rPr>
                <w:t xml:space="preserve">Form of Global Note representing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499.2 million principal amount of 6.875% Series B Senior Notes due 2033 with attached Guarantee</w:t>
              </w:r>
            </w:hyperlink>
          </w:p>
        </w:tc>
      </w:tr>
      <w:tr>
        <w:trPr>
          <w:trHeight w:val="196"/>
        </w:trPr>
        <w:tc>
          <w:tcPr>
            <w:tcW w:w="1500" w:type="dxa"/>
            <w:vAlign w:val="bottom"/>
          </w:tcPr>
          <w:p>
            <w:pPr>
              <w:spacing w:after="0"/>
              <w:rPr>
                <w:sz w:val="17"/>
                <w:szCs w:val="17"/>
                <w:color w:val="auto"/>
              </w:rPr>
            </w:pPr>
          </w:p>
        </w:tc>
        <w:tc>
          <w:tcPr>
            <w:tcW w:w="660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238">
              <w:r>
                <w:rPr>
                  <w:rFonts w:ascii="Arial" w:cs="Arial" w:eastAsia="Arial" w:hAnsi="Arial"/>
                  <w:sz w:val="18"/>
                  <w:szCs w:val="18"/>
                  <w:color w:val="0000EE"/>
                  <w:w w:val="93"/>
                </w:rPr>
                <w:t>(incorporated by reference to Exhibit A to Exhibit 4.3 to Form 10-K filed March 31, 2003).</w:t>
              </w:r>
            </w:hyperlink>
          </w:p>
        </w:tc>
        <w:tc>
          <w:tcPr>
            <w:tcW w:w="3320" w:type="dxa"/>
            <w:vAlign w:val="bottom"/>
            <w:gridSpan w:val="3"/>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4.31</w:t>
            </w:r>
          </w:p>
        </w:tc>
        <w:tc>
          <w:tcPr>
            <w:tcW w:w="992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265">
              <w:r>
                <w:rPr>
                  <w:rFonts w:ascii="Arial" w:cs="Arial" w:eastAsia="Arial" w:hAnsi="Arial"/>
                  <w:sz w:val="18"/>
                  <w:szCs w:val="18"/>
                  <w:color w:val="0000EE"/>
                  <w:w w:val="93"/>
                </w:rPr>
                <w:t xml:space="preserve">Form of Global Note representing </w:t>
              </w:r>
              <w:r>
                <w:rPr>
                  <w:rFonts w:ascii="Arial" w:cs="Arial" w:eastAsia="Arial" w:hAnsi="Arial"/>
                  <w:sz w:val="18"/>
                  <w:szCs w:val="18"/>
                  <w:u w:val="single" w:color="auto"/>
                  <w:color w:val="0000EE"/>
                  <w:w w:val="93"/>
                </w:rPr>
                <w:t>$</w:t>
              </w:r>
              <w:r>
                <w:rPr>
                  <w:rFonts w:ascii="Arial" w:cs="Arial" w:eastAsia="Arial" w:hAnsi="Arial"/>
                  <w:sz w:val="18"/>
                  <w:szCs w:val="18"/>
                  <w:color w:val="0000EE"/>
                  <w:w w:val="93"/>
                </w:rPr>
                <w:t>350.0 million principal amount of 6.65% Series B Senior Notes due 2034 with attached Guarantee</w:t>
              </w:r>
            </w:hyperlink>
          </w:p>
        </w:tc>
      </w:tr>
      <w:tr>
        <w:trPr>
          <w:trHeight w:val="196"/>
        </w:trPr>
        <w:tc>
          <w:tcPr>
            <w:tcW w:w="1500" w:type="dxa"/>
            <w:vAlign w:val="bottom"/>
          </w:tcPr>
          <w:p>
            <w:pPr>
              <w:spacing w:after="0"/>
              <w:rPr>
                <w:sz w:val="17"/>
                <w:szCs w:val="17"/>
                <w:color w:val="auto"/>
              </w:rPr>
            </w:pPr>
          </w:p>
        </w:tc>
        <w:tc>
          <w:tcPr>
            <w:tcW w:w="9920" w:type="dxa"/>
            <w:vAlign w:val="bottom"/>
            <w:gridSpan w:val="15"/>
          </w:tcPr>
          <w:p>
            <w:pPr>
              <w:spacing w:after="0" w:line="196" w:lineRule="exact"/>
              <w:rPr>
                <w:rFonts w:ascii="Arial" w:cs="Arial" w:eastAsia="Arial" w:hAnsi="Arial"/>
                <w:sz w:val="18"/>
                <w:szCs w:val="18"/>
                <w:color w:val="0000EE"/>
              </w:rPr>
            </w:pPr>
            <w:hyperlink r:id="rId265">
              <w:r>
                <w:rPr>
                  <w:rFonts w:ascii="Arial" w:cs="Arial" w:eastAsia="Arial" w:hAnsi="Arial"/>
                  <w:sz w:val="18"/>
                  <w:szCs w:val="18"/>
                  <w:color w:val="0000EE"/>
                </w:rPr>
                <w:t>(incorporated by reference to Exhibit 4.19 to Form S-3 Registration Statement, Reg. No. 333-123150, filed March 4, 2005).</w:t>
              </w:r>
            </w:hyperlink>
          </w:p>
        </w:tc>
      </w:tr>
      <w:tr>
        <w:trPr>
          <w:trHeight w:val="20"/>
        </w:trPr>
        <w:tc>
          <w:tcPr>
            <w:tcW w:w="1500" w:type="dxa"/>
            <w:vAlign w:val="bottom"/>
          </w:tcPr>
          <w:p>
            <w:pPr>
              <w:spacing w:after="0" w:line="20" w:lineRule="exact"/>
              <w:rPr>
                <w:sz w:val="1"/>
                <w:szCs w:val="1"/>
                <w:color w:val="auto"/>
              </w:rPr>
            </w:pPr>
          </w:p>
        </w:tc>
        <w:tc>
          <w:tcPr>
            <w:tcW w:w="53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4.32</w:t>
            </w:r>
          </w:p>
        </w:tc>
        <w:tc>
          <w:tcPr>
            <w:tcW w:w="992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266">
              <w:r>
                <w:rPr>
                  <w:rFonts w:ascii="Arial" w:cs="Arial" w:eastAsia="Arial" w:hAnsi="Arial"/>
                  <w:sz w:val="18"/>
                  <w:szCs w:val="18"/>
                  <w:color w:val="0000EE"/>
                  <w:w w:val="93"/>
                </w:rPr>
                <w:t xml:space="preserve">Form of Global Note representing </w:t>
              </w:r>
              <w:r>
                <w:rPr>
                  <w:rFonts w:ascii="Arial" w:cs="Arial" w:eastAsia="Arial" w:hAnsi="Arial"/>
                  <w:sz w:val="18"/>
                  <w:szCs w:val="18"/>
                  <w:u w:val="single" w:color="auto"/>
                  <w:color w:val="0000EE"/>
                  <w:w w:val="93"/>
                </w:rPr>
                <w:t>$</w:t>
              </w:r>
              <w:r>
                <w:rPr>
                  <w:rFonts w:ascii="Arial" w:cs="Arial" w:eastAsia="Arial" w:hAnsi="Arial"/>
                  <w:sz w:val="18"/>
                  <w:szCs w:val="18"/>
                  <w:color w:val="0000EE"/>
                  <w:w w:val="93"/>
                </w:rPr>
                <w:t>250.0 million principal amount of 5.75% Series B Senior Notes due 2035 with attached Guarantee</w:t>
              </w:r>
            </w:hyperlink>
          </w:p>
        </w:tc>
      </w:tr>
      <w:tr>
        <w:trPr>
          <w:trHeight w:val="196"/>
        </w:trPr>
        <w:tc>
          <w:tcPr>
            <w:tcW w:w="1500" w:type="dxa"/>
            <w:vAlign w:val="bottom"/>
          </w:tcPr>
          <w:p>
            <w:pPr>
              <w:spacing w:after="0"/>
              <w:rPr>
                <w:sz w:val="17"/>
                <w:szCs w:val="17"/>
                <w:color w:val="auto"/>
              </w:rPr>
            </w:pPr>
          </w:p>
        </w:tc>
        <w:tc>
          <w:tcPr>
            <w:tcW w:w="9920" w:type="dxa"/>
            <w:vAlign w:val="bottom"/>
            <w:gridSpan w:val="15"/>
          </w:tcPr>
          <w:p>
            <w:pPr>
              <w:spacing w:after="0" w:line="196" w:lineRule="exact"/>
              <w:rPr>
                <w:rFonts w:ascii="Arial" w:cs="Arial" w:eastAsia="Arial" w:hAnsi="Arial"/>
                <w:sz w:val="18"/>
                <w:szCs w:val="18"/>
                <w:color w:val="0000EE"/>
              </w:rPr>
            </w:pPr>
            <w:hyperlink r:id="rId266">
              <w:r>
                <w:rPr>
                  <w:rFonts w:ascii="Arial" w:cs="Arial" w:eastAsia="Arial" w:hAnsi="Arial"/>
                  <w:sz w:val="18"/>
                  <w:szCs w:val="18"/>
                  <w:color w:val="0000EE"/>
                </w:rPr>
                <w:t>(incorporated by reference to Exhibit 4.32 to Form 10-Q filed November 4, 2005).</w:t>
              </w:r>
            </w:hyperlink>
          </w:p>
        </w:tc>
      </w:tr>
      <w:tr>
        <w:trPr>
          <w:trHeight w:val="20"/>
        </w:trPr>
        <w:tc>
          <w:tcPr>
            <w:tcW w:w="1500" w:type="dxa"/>
            <w:vAlign w:val="bottom"/>
          </w:tcPr>
          <w:p>
            <w:pPr>
              <w:spacing w:after="0" w:line="20" w:lineRule="exact"/>
              <w:rPr>
                <w:sz w:val="1"/>
                <w:szCs w:val="1"/>
                <w:color w:val="auto"/>
              </w:rPr>
            </w:pPr>
          </w:p>
        </w:tc>
        <w:tc>
          <w:tcPr>
            <w:tcW w:w="53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4.33</w:t>
            </w:r>
          </w:p>
        </w:tc>
        <w:tc>
          <w:tcPr>
            <w:tcW w:w="9920" w:type="dxa"/>
            <w:vAlign w:val="bottom"/>
            <w:tcBorders>
              <w:bottom w:val="single" w:sz="8" w:color="0000EE"/>
            </w:tcBorders>
            <w:gridSpan w:val="15"/>
          </w:tcPr>
          <w:p>
            <w:pPr>
              <w:spacing w:after="0" w:line="196" w:lineRule="exact"/>
              <w:rPr>
                <w:rFonts w:ascii="Arial" w:cs="Arial" w:eastAsia="Arial" w:hAnsi="Arial"/>
                <w:sz w:val="18"/>
                <w:szCs w:val="18"/>
                <w:color w:val="0000EE"/>
              </w:rPr>
            </w:pPr>
            <w:hyperlink r:id="rId244">
              <w:r>
                <w:rPr>
                  <w:rFonts w:ascii="Arial" w:cs="Arial" w:eastAsia="Arial" w:hAnsi="Arial"/>
                  <w:sz w:val="18"/>
                  <w:szCs w:val="18"/>
                  <w:color w:val="0000EE"/>
                </w:rPr>
                <w:t xml:space="preserve">Form of Global Note representing </w:t>
              </w:r>
              <w:r>
                <w:rPr>
                  <w:rFonts w:ascii="Arial" w:cs="Arial" w:eastAsia="Arial" w:hAnsi="Arial"/>
                  <w:sz w:val="18"/>
                  <w:szCs w:val="18"/>
                  <w:u w:val="single" w:color="auto"/>
                  <w:color w:val="0000EE"/>
                </w:rPr>
                <w:t>$</w:t>
              </w:r>
              <w:r>
                <w:rPr>
                  <w:rFonts w:ascii="Arial" w:cs="Arial" w:eastAsia="Arial" w:hAnsi="Arial"/>
                  <w:sz w:val="18"/>
                  <w:szCs w:val="18"/>
                  <w:color w:val="0000EE"/>
                </w:rPr>
                <w:t>700.0 million principal amount of 6.50% Senior Notes due 2019 with attached Guarantee</w:t>
              </w:r>
            </w:hyperlink>
          </w:p>
        </w:tc>
      </w:tr>
      <w:tr>
        <w:trPr>
          <w:trHeight w:val="196"/>
        </w:trPr>
        <w:tc>
          <w:tcPr>
            <w:tcW w:w="1500" w:type="dxa"/>
            <w:vAlign w:val="bottom"/>
          </w:tcPr>
          <w:p>
            <w:pPr>
              <w:spacing w:after="0"/>
              <w:rPr>
                <w:sz w:val="17"/>
                <w:szCs w:val="17"/>
                <w:color w:val="auto"/>
              </w:rPr>
            </w:pPr>
          </w:p>
        </w:tc>
        <w:tc>
          <w:tcPr>
            <w:tcW w:w="9920" w:type="dxa"/>
            <w:vAlign w:val="bottom"/>
            <w:gridSpan w:val="15"/>
          </w:tcPr>
          <w:p>
            <w:pPr>
              <w:spacing w:after="0" w:line="196" w:lineRule="exact"/>
              <w:rPr>
                <w:rFonts w:ascii="Arial" w:cs="Arial" w:eastAsia="Arial" w:hAnsi="Arial"/>
                <w:sz w:val="18"/>
                <w:szCs w:val="18"/>
                <w:color w:val="0000EE"/>
              </w:rPr>
            </w:pPr>
            <w:hyperlink r:id="rId244">
              <w:r>
                <w:rPr>
                  <w:rFonts w:ascii="Arial" w:cs="Arial" w:eastAsia="Arial" w:hAnsi="Arial"/>
                  <w:sz w:val="18"/>
                  <w:szCs w:val="18"/>
                  <w:color w:val="0000EE"/>
                </w:rPr>
                <w:t>(incorporated by reference to Exhibit A to Exhibit 4.4 to Form 8-K filed April 3, 2008).</w:t>
              </w:r>
            </w:hyperlink>
          </w:p>
        </w:tc>
      </w:tr>
      <w:tr>
        <w:trPr>
          <w:trHeight w:val="20"/>
        </w:trPr>
        <w:tc>
          <w:tcPr>
            <w:tcW w:w="1500" w:type="dxa"/>
            <w:vAlign w:val="bottom"/>
          </w:tcPr>
          <w:p>
            <w:pPr>
              <w:spacing w:after="0" w:line="20" w:lineRule="exact"/>
              <w:rPr>
                <w:sz w:val="1"/>
                <w:szCs w:val="1"/>
                <w:color w:val="auto"/>
              </w:rPr>
            </w:pPr>
          </w:p>
        </w:tc>
        <w:tc>
          <w:tcPr>
            <w:tcW w:w="532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4.34</w:t>
            </w:r>
          </w:p>
        </w:tc>
        <w:tc>
          <w:tcPr>
            <w:tcW w:w="9920" w:type="dxa"/>
            <w:vAlign w:val="bottom"/>
            <w:tcBorders>
              <w:bottom w:val="single" w:sz="8" w:color="0000EE"/>
            </w:tcBorders>
            <w:gridSpan w:val="15"/>
          </w:tcPr>
          <w:p>
            <w:pPr>
              <w:spacing w:after="0" w:line="196" w:lineRule="exact"/>
              <w:rPr>
                <w:rFonts w:ascii="Arial" w:cs="Arial" w:eastAsia="Arial" w:hAnsi="Arial"/>
                <w:sz w:val="18"/>
                <w:szCs w:val="18"/>
                <w:color w:val="0000EE"/>
              </w:rPr>
            </w:pPr>
            <w:hyperlink r:id="rId245">
              <w:r>
                <w:rPr>
                  <w:rFonts w:ascii="Arial" w:cs="Arial" w:eastAsia="Arial" w:hAnsi="Arial"/>
                  <w:sz w:val="18"/>
                  <w:szCs w:val="18"/>
                  <w:color w:val="0000EE"/>
                </w:rPr>
                <w:t xml:space="preserve">Form of Global Note representing </w:t>
              </w:r>
              <w:r>
                <w:rPr>
                  <w:rFonts w:ascii="Arial" w:cs="Arial" w:eastAsia="Arial" w:hAnsi="Arial"/>
                  <w:sz w:val="18"/>
                  <w:szCs w:val="18"/>
                  <w:u w:val="single" w:color="auto"/>
                  <w:color w:val="0000EE"/>
                </w:rPr>
                <w:t>$</w:t>
              </w:r>
              <w:r>
                <w:rPr>
                  <w:rFonts w:ascii="Arial" w:cs="Arial" w:eastAsia="Arial" w:hAnsi="Arial"/>
                  <w:sz w:val="18"/>
                  <w:szCs w:val="18"/>
                  <w:color w:val="0000EE"/>
                </w:rPr>
                <w:t>500.0 million principal amount of 5.25% Senior Notes due 2020 with attached Guarantee</w:t>
              </w:r>
            </w:hyperlink>
          </w:p>
        </w:tc>
      </w:tr>
      <w:tr>
        <w:trPr>
          <w:trHeight w:val="196"/>
        </w:trPr>
        <w:tc>
          <w:tcPr>
            <w:tcW w:w="1500" w:type="dxa"/>
            <w:vAlign w:val="bottom"/>
          </w:tcPr>
          <w:p>
            <w:pPr>
              <w:spacing w:after="0"/>
              <w:rPr>
                <w:sz w:val="17"/>
                <w:szCs w:val="17"/>
                <w:color w:val="auto"/>
              </w:rPr>
            </w:pPr>
          </w:p>
        </w:tc>
        <w:tc>
          <w:tcPr>
            <w:tcW w:w="65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245">
              <w:r>
                <w:rPr>
                  <w:rFonts w:ascii="Arial" w:cs="Arial" w:eastAsia="Arial" w:hAnsi="Arial"/>
                  <w:sz w:val="18"/>
                  <w:szCs w:val="18"/>
                  <w:color w:val="0000EE"/>
                  <w:w w:val="92"/>
                </w:rPr>
                <w:t>(incorporated by reference to Exhibit A to Exhibit 4.3 to Form 8-K filed October 5, 2009).</w:t>
              </w:r>
            </w:hyperlink>
          </w:p>
        </w:tc>
        <w:tc>
          <w:tcPr>
            <w:tcW w:w="3400" w:type="dxa"/>
            <w:vAlign w:val="bottom"/>
            <w:gridSpan w:val="7"/>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4.35</w:t>
            </w:r>
          </w:p>
        </w:tc>
        <w:tc>
          <w:tcPr>
            <w:tcW w:w="9920" w:type="dxa"/>
            <w:vAlign w:val="bottom"/>
            <w:gridSpan w:val="15"/>
          </w:tcPr>
          <w:p>
            <w:pPr>
              <w:spacing w:after="0" w:line="196" w:lineRule="exact"/>
              <w:rPr>
                <w:rFonts w:ascii="Arial" w:cs="Arial" w:eastAsia="Arial" w:hAnsi="Arial"/>
                <w:sz w:val="18"/>
                <w:szCs w:val="18"/>
                <w:color w:val="0000EE"/>
                <w:w w:val="99"/>
              </w:rPr>
            </w:pPr>
            <w:hyperlink r:id="rId245">
              <w:r>
                <w:rPr>
                  <w:rFonts w:ascii="Arial" w:cs="Arial" w:eastAsia="Arial" w:hAnsi="Arial"/>
                  <w:sz w:val="18"/>
                  <w:szCs w:val="18"/>
                  <w:color w:val="0000EE"/>
                  <w:w w:val="99"/>
                </w:rPr>
                <w:t xml:space="preserve">Form of Global Note representing </w:t>
              </w:r>
              <w:r>
                <w:rPr>
                  <w:rFonts w:ascii="Arial" w:cs="Arial" w:eastAsia="Arial" w:hAnsi="Arial"/>
                  <w:sz w:val="18"/>
                  <w:szCs w:val="18"/>
                  <w:u w:val="single" w:color="auto"/>
                  <w:color w:val="0000EE"/>
                  <w:w w:val="99"/>
                </w:rPr>
                <w:t>$</w:t>
              </w:r>
              <w:r>
                <w:rPr>
                  <w:rFonts w:ascii="Arial" w:cs="Arial" w:eastAsia="Arial" w:hAnsi="Arial"/>
                  <w:sz w:val="18"/>
                  <w:szCs w:val="18"/>
                  <w:color w:val="0000EE"/>
                  <w:w w:val="99"/>
                </w:rPr>
                <w:t>600.0 million principal amount of 6.125% Senior Notes due 2039 with attached Guarantee</w:t>
              </w:r>
            </w:hyperlink>
          </w:p>
        </w:tc>
      </w:tr>
      <w:tr>
        <w:trPr>
          <w:trHeight w:val="196"/>
        </w:trPr>
        <w:tc>
          <w:tcPr>
            <w:tcW w:w="1500" w:type="dxa"/>
            <w:vAlign w:val="bottom"/>
          </w:tcPr>
          <w:p>
            <w:pPr>
              <w:spacing w:after="0"/>
              <w:rPr>
                <w:sz w:val="17"/>
                <w:szCs w:val="17"/>
                <w:color w:val="auto"/>
              </w:rPr>
            </w:pPr>
          </w:p>
        </w:tc>
        <w:tc>
          <w:tcPr>
            <w:tcW w:w="65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245">
              <w:r>
                <w:rPr>
                  <w:rFonts w:ascii="Arial" w:cs="Arial" w:eastAsia="Arial" w:hAnsi="Arial"/>
                  <w:sz w:val="18"/>
                  <w:szCs w:val="18"/>
                  <w:color w:val="0000EE"/>
                  <w:w w:val="92"/>
                </w:rPr>
                <w:t>(incorporated by reference to Exhibit B to Exhibit 4.3 to Form 8-K filed October 5, 2009).</w:t>
              </w:r>
            </w:hyperlink>
          </w:p>
        </w:tc>
        <w:tc>
          <w:tcPr>
            <w:tcW w:w="340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4.36</w:t>
            </w:r>
          </w:p>
        </w:tc>
        <w:tc>
          <w:tcPr>
            <w:tcW w:w="9920" w:type="dxa"/>
            <w:vAlign w:val="bottom"/>
            <w:tcBorders>
              <w:bottom w:val="single" w:sz="8" w:color="0000EE"/>
            </w:tcBorders>
            <w:gridSpan w:val="15"/>
          </w:tcPr>
          <w:p>
            <w:pPr>
              <w:spacing w:after="0" w:line="196" w:lineRule="exact"/>
              <w:rPr>
                <w:rFonts w:ascii="Arial" w:cs="Arial" w:eastAsia="Arial" w:hAnsi="Arial"/>
                <w:sz w:val="18"/>
                <w:szCs w:val="18"/>
                <w:color w:val="0000EE"/>
              </w:rPr>
            </w:pPr>
            <w:hyperlink r:id="rId246">
              <w:r>
                <w:rPr>
                  <w:rFonts w:ascii="Arial" w:cs="Arial" w:eastAsia="Arial" w:hAnsi="Arial"/>
                  <w:sz w:val="18"/>
                  <w:szCs w:val="18"/>
                  <w:color w:val="0000EE"/>
                </w:rPr>
                <w:t xml:space="preserve">Form of Global Note representing </w:t>
              </w:r>
              <w:r>
                <w:rPr>
                  <w:rFonts w:ascii="Arial" w:cs="Arial" w:eastAsia="Arial" w:hAnsi="Arial"/>
                  <w:sz w:val="18"/>
                  <w:szCs w:val="18"/>
                  <w:u w:val="single" w:color="auto"/>
                  <w:color w:val="0000EE"/>
                </w:rPr>
                <w:t>$</w:t>
              </w:r>
              <w:r>
                <w:rPr>
                  <w:rFonts w:ascii="Arial" w:cs="Arial" w:eastAsia="Arial" w:hAnsi="Arial"/>
                  <w:sz w:val="18"/>
                  <w:szCs w:val="18"/>
                  <w:color w:val="0000EE"/>
                </w:rPr>
                <w:t>399.6 million principal amount of 7.55% Senior Notes due 2038 with attached Guarantee</w:t>
              </w:r>
            </w:hyperlink>
          </w:p>
        </w:tc>
      </w:tr>
      <w:tr>
        <w:trPr>
          <w:trHeight w:val="196"/>
        </w:trPr>
        <w:tc>
          <w:tcPr>
            <w:tcW w:w="1500" w:type="dxa"/>
            <w:vAlign w:val="bottom"/>
          </w:tcPr>
          <w:p>
            <w:pPr>
              <w:spacing w:after="0"/>
              <w:rPr>
                <w:sz w:val="17"/>
                <w:szCs w:val="17"/>
                <w:color w:val="auto"/>
              </w:rPr>
            </w:pPr>
          </w:p>
        </w:tc>
        <w:tc>
          <w:tcPr>
            <w:tcW w:w="65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246">
              <w:r>
                <w:rPr>
                  <w:rFonts w:ascii="Arial" w:cs="Arial" w:eastAsia="Arial" w:hAnsi="Arial"/>
                  <w:sz w:val="18"/>
                  <w:szCs w:val="18"/>
                  <w:color w:val="0000EE"/>
                  <w:w w:val="92"/>
                </w:rPr>
                <w:t>(incorporated by reference to Exhibit E to Exhibit 4.1 to Form 8-K filed October 28, 2009).</w:t>
              </w:r>
            </w:hyperlink>
          </w:p>
        </w:tc>
        <w:tc>
          <w:tcPr>
            <w:tcW w:w="3340" w:type="dxa"/>
            <w:vAlign w:val="bottom"/>
            <w:gridSpan w:val="4"/>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4.37</w:t>
            </w:r>
          </w:p>
        </w:tc>
        <w:tc>
          <w:tcPr>
            <w:tcW w:w="992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r:id="rId247">
              <w:r>
                <w:rPr>
                  <w:rFonts w:ascii="Arial" w:cs="Arial" w:eastAsia="Arial" w:hAnsi="Arial"/>
                  <w:sz w:val="18"/>
                  <w:szCs w:val="18"/>
                  <w:color w:val="0000EE"/>
                  <w:w w:val="95"/>
                </w:rPr>
                <w:t xml:space="preserve">Form of Global Note representing </w:t>
              </w:r>
              <w:r>
                <w:rPr>
                  <w:rFonts w:ascii="Arial" w:cs="Arial" w:eastAsia="Arial" w:hAnsi="Arial"/>
                  <w:sz w:val="18"/>
                  <w:szCs w:val="18"/>
                  <w:u w:val="single" w:color="auto"/>
                  <w:color w:val="0000EE"/>
                  <w:w w:val="95"/>
                </w:rPr>
                <w:t>$</w:t>
              </w:r>
              <w:r>
                <w:rPr>
                  <w:rFonts w:ascii="Arial" w:cs="Arial" w:eastAsia="Arial" w:hAnsi="Arial"/>
                  <w:sz w:val="18"/>
                  <w:szCs w:val="18"/>
                  <w:color w:val="0000EE"/>
                  <w:w w:val="95"/>
                </w:rPr>
                <w:t>285.8 million principal amount of Junior Subordinated Notes due 2067 with attached Guarantee</w:t>
              </w:r>
            </w:hyperlink>
          </w:p>
        </w:tc>
      </w:tr>
      <w:tr>
        <w:trPr>
          <w:trHeight w:val="196"/>
        </w:trPr>
        <w:tc>
          <w:tcPr>
            <w:tcW w:w="1500" w:type="dxa"/>
            <w:vAlign w:val="bottom"/>
          </w:tcPr>
          <w:p>
            <w:pPr>
              <w:spacing w:after="0"/>
              <w:rPr>
                <w:sz w:val="17"/>
                <w:szCs w:val="17"/>
                <w:color w:val="auto"/>
              </w:rPr>
            </w:pPr>
          </w:p>
        </w:tc>
        <w:tc>
          <w:tcPr>
            <w:tcW w:w="66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247">
              <w:r>
                <w:rPr>
                  <w:rFonts w:ascii="Arial" w:cs="Arial" w:eastAsia="Arial" w:hAnsi="Arial"/>
                  <w:sz w:val="18"/>
                  <w:szCs w:val="18"/>
                  <w:color w:val="0000EE"/>
                  <w:w w:val="92"/>
                </w:rPr>
                <w:t>(incorporated by reference to Exhibit A to Exhibit 4.2 to Form 8-K filed October 28, 2009).</w:t>
              </w:r>
            </w:hyperlink>
          </w:p>
        </w:tc>
        <w:tc>
          <w:tcPr>
            <w:tcW w:w="3320" w:type="dxa"/>
            <w:vAlign w:val="bottom"/>
            <w:gridSpan w:val="3"/>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4.38</w:t>
            </w:r>
          </w:p>
        </w:tc>
        <w:tc>
          <w:tcPr>
            <w:tcW w:w="99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248">
              <w:r>
                <w:rPr>
                  <w:rFonts w:ascii="Arial" w:cs="Arial" w:eastAsia="Arial" w:hAnsi="Arial"/>
                  <w:sz w:val="18"/>
                  <w:szCs w:val="18"/>
                  <w:color w:val="0000EE"/>
                  <w:w w:val="92"/>
                </w:rPr>
                <w:t xml:space="preserve">Form of Global Note representing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1.0 billion principal amount of 5.20% Senior Notes due 2020 with attached Guarantee (incorporated</w:t>
              </w:r>
            </w:hyperlink>
          </w:p>
        </w:tc>
      </w:tr>
      <w:tr>
        <w:trPr>
          <w:trHeight w:val="196"/>
        </w:trPr>
        <w:tc>
          <w:tcPr>
            <w:tcW w:w="1500" w:type="dxa"/>
            <w:vAlign w:val="bottom"/>
          </w:tcPr>
          <w:p>
            <w:pPr>
              <w:spacing w:after="0"/>
              <w:rPr>
                <w:sz w:val="17"/>
                <w:szCs w:val="17"/>
                <w:color w:val="auto"/>
              </w:rPr>
            </w:pPr>
          </w:p>
        </w:tc>
        <w:tc>
          <w:tcPr>
            <w:tcW w:w="53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248">
              <w:r>
                <w:rPr>
                  <w:rFonts w:ascii="Arial" w:cs="Arial" w:eastAsia="Arial" w:hAnsi="Arial"/>
                  <w:sz w:val="18"/>
                  <w:szCs w:val="18"/>
                  <w:color w:val="0000EE"/>
                  <w:w w:val="93"/>
                </w:rPr>
                <w:t>by reference to Exhibit B to Exhibit 4.3 to Form 8-K filed May 20, 2010).</w:t>
              </w:r>
            </w:hyperlink>
          </w:p>
        </w:tc>
        <w:tc>
          <w:tcPr>
            <w:tcW w:w="4600" w:type="dxa"/>
            <w:vAlign w:val="bottom"/>
            <w:gridSpan w:val="12"/>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4.39</w:t>
            </w:r>
          </w:p>
        </w:tc>
        <w:tc>
          <w:tcPr>
            <w:tcW w:w="9920" w:type="dxa"/>
            <w:vAlign w:val="bottom"/>
            <w:tcBorders>
              <w:bottom w:val="single" w:sz="8" w:color="0000EE"/>
            </w:tcBorders>
            <w:gridSpan w:val="15"/>
          </w:tcPr>
          <w:p>
            <w:pPr>
              <w:spacing w:after="0" w:line="196" w:lineRule="exact"/>
              <w:rPr>
                <w:rFonts w:ascii="Arial" w:cs="Arial" w:eastAsia="Arial" w:hAnsi="Arial"/>
                <w:sz w:val="18"/>
                <w:szCs w:val="18"/>
                <w:color w:val="0000EE"/>
              </w:rPr>
            </w:pPr>
            <w:hyperlink r:id="rId248">
              <w:r>
                <w:rPr>
                  <w:rFonts w:ascii="Arial" w:cs="Arial" w:eastAsia="Arial" w:hAnsi="Arial"/>
                  <w:sz w:val="18"/>
                  <w:szCs w:val="18"/>
                  <w:color w:val="0000EE"/>
                </w:rPr>
                <w:t xml:space="preserve">Form of Global Note representing </w:t>
              </w:r>
              <w:r>
                <w:rPr>
                  <w:rFonts w:ascii="Arial" w:cs="Arial" w:eastAsia="Arial" w:hAnsi="Arial"/>
                  <w:sz w:val="18"/>
                  <w:szCs w:val="18"/>
                  <w:u w:val="single" w:color="auto"/>
                  <w:color w:val="0000EE"/>
                </w:rPr>
                <w:t>$</w:t>
              </w:r>
              <w:r>
                <w:rPr>
                  <w:rFonts w:ascii="Arial" w:cs="Arial" w:eastAsia="Arial" w:hAnsi="Arial"/>
                  <w:sz w:val="18"/>
                  <w:szCs w:val="18"/>
                  <w:color w:val="0000EE"/>
                </w:rPr>
                <w:t>600.0 million principal amount of 6.45% Senior Notes due 2040 with attached Guarantee</w:t>
              </w:r>
            </w:hyperlink>
          </w:p>
        </w:tc>
      </w:tr>
      <w:tr>
        <w:trPr>
          <w:trHeight w:val="196"/>
        </w:trPr>
        <w:tc>
          <w:tcPr>
            <w:tcW w:w="1500" w:type="dxa"/>
            <w:vAlign w:val="bottom"/>
          </w:tcPr>
          <w:p>
            <w:pPr>
              <w:spacing w:after="0"/>
              <w:rPr>
                <w:sz w:val="17"/>
                <w:szCs w:val="17"/>
                <w:color w:val="auto"/>
              </w:rPr>
            </w:pPr>
          </w:p>
        </w:tc>
        <w:tc>
          <w:tcPr>
            <w:tcW w:w="63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248">
              <w:r>
                <w:rPr>
                  <w:rFonts w:ascii="Arial" w:cs="Arial" w:eastAsia="Arial" w:hAnsi="Arial"/>
                  <w:sz w:val="18"/>
                  <w:szCs w:val="18"/>
                  <w:color w:val="0000EE"/>
                  <w:w w:val="92"/>
                </w:rPr>
                <w:t>(incorporated by reference to Exhibit C to Exhibit 4.3 to Form 8-K filed May 20, 2010).</w:t>
              </w:r>
            </w:hyperlink>
          </w:p>
        </w:tc>
        <w:tc>
          <w:tcPr>
            <w:tcW w:w="3580" w:type="dxa"/>
            <w:vAlign w:val="bottom"/>
            <w:gridSpan w:val="9"/>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4.40</w:t>
            </w:r>
          </w:p>
        </w:tc>
        <w:tc>
          <w:tcPr>
            <w:tcW w:w="9920" w:type="dxa"/>
            <w:vAlign w:val="bottom"/>
            <w:tcBorders>
              <w:bottom w:val="single" w:sz="8" w:color="0000EE"/>
            </w:tcBorders>
            <w:gridSpan w:val="15"/>
          </w:tcPr>
          <w:p>
            <w:pPr>
              <w:spacing w:after="0" w:line="196" w:lineRule="exact"/>
              <w:rPr>
                <w:rFonts w:ascii="Arial" w:cs="Arial" w:eastAsia="Arial" w:hAnsi="Arial"/>
                <w:sz w:val="18"/>
                <w:szCs w:val="18"/>
                <w:color w:val="0000EE"/>
              </w:rPr>
            </w:pPr>
            <w:hyperlink r:id="rId249">
              <w:r>
                <w:rPr>
                  <w:rFonts w:ascii="Arial" w:cs="Arial" w:eastAsia="Arial" w:hAnsi="Arial"/>
                  <w:sz w:val="18"/>
                  <w:szCs w:val="18"/>
                  <w:color w:val="0000EE"/>
                </w:rPr>
                <w:t xml:space="preserve">Form of Global Note representing </w:t>
              </w:r>
              <w:r>
                <w:rPr>
                  <w:rFonts w:ascii="Arial" w:cs="Arial" w:eastAsia="Arial" w:hAnsi="Arial"/>
                  <w:sz w:val="18"/>
                  <w:szCs w:val="18"/>
                  <w:u w:val="single" w:color="auto"/>
                  <w:color w:val="0000EE"/>
                </w:rPr>
                <w:t>$</w:t>
              </w:r>
              <w:r>
                <w:rPr>
                  <w:rFonts w:ascii="Arial" w:cs="Arial" w:eastAsia="Arial" w:hAnsi="Arial"/>
                  <w:sz w:val="18"/>
                  <w:szCs w:val="18"/>
                  <w:color w:val="0000EE"/>
                </w:rPr>
                <w:t>750.0 million principal amount of 5.95% Senior Notes due 2041 with attached Guarantee</w:t>
              </w:r>
            </w:hyperlink>
          </w:p>
        </w:tc>
      </w:tr>
      <w:tr>
        <w:trPr>
          <w:trHeight w:val="196"/>
        </w:trPr>
        <w:tc>
          <w:tcPr>
            <w:tcW w:w="1500" w:type="dxa"/>
            <w:vAlign w:val="bottom"/>
          </w:tcPr>
          <w:p>
            <w:pPr>
              <w:spacing w:after="0"/>
              <w:rPr>
                <w:sz w:val="17"/>
                <w:szCs w:val="17"/>
                <w:color w:val="auto"/>
              </w:rPr>
            </w:pPr>
          </w:p>
        </w:tc>
        <w:tc>
          <w:tcPr>
            <w:tcW w:w="65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249">
              <w:r>
                <w:rPr>
                  <w:rFonts w:ascii="Arial" w:cs="Arial" w:eastAsia="Arial" w:hAnsi="Arial"/>
                  <w:sz w:val="18"/>
                  <w:szCs w:val="18"/>
                  <w:color w:val="0000EE"/>
                  <w:w w:val="92"/>
                </w:rPr>
                <w:t>(incorporated by reference to Exhibit B to Exhibit 4.3 to Form 8-K filed January 13, 2011).</w:t>
              </w:r>
            </w:hyperlink>
          </w:p>
        </w:tc>
        <w:tc>
          <w:tcPr>
            <w:tcW w:w="3360" w:type="dxa"/>
            <w:vAlign w:val="bottom"/>
            <w:gridSpan w:val="5"/>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4.41</w:t>
            </w:r>
          </w:p>
        </w:tc>
        <w:tc>
          <w:tcPr>
            <w:tcW w:w="9920" w:type="dxa"/>
            <w:vAlign w:val="bottom"/>
            <w:tcBorders>
              <w:bottom w:val="single" w:sz="8" w:color="0000EE"/>
            </w:tcBorders>
            <w:gridSpan w:val="15"/>
          </w:tcPr>
          <w:p>
            <w:pPr>
              <w:spacing w:after="0" w:line="196" w:lineRule="exact"/>
              <w:rPr>
                <w:rFonts w:ascii="Arial" w:cs="Arial" w:eastAsia="Arial" w:hAnsi="Arial"/>
                <w:sz w:val="18"/>
                <w:szCs w:val="18"/>
                <w:color w:val="0000EE"/>
              </w:rPr>
            </w:pPr>
            <w:hyperlink r:id="rId250">
              <w:r>
                <w:rPr>
                  <w:rFonts w:ascii="Arial" w:cs="Arial" w:eastAsia="Arial" w:hAnsi="Arial"/>
                  <w:sz w:val="18"/>
                  <w:szCs w:val="18"/>
                  <w:color w:val="0000EE"/>
                </w:rPr>
                <w:t xml:space="preserve">Form of Global Note representing </w:t>
              </w:r>
              <w:r>
                <w:rPr>
                  <w:rFonts w:ascii="Arial" w:cs="Arial" w:eastAsia="Arial" w:hAnsi="Arial"/>
                  <w:sz w:val="18"/>
                  <w:szCs w:val="18"/>
                  <w:u w:val="single" w:color="auto"/>
                  <w:color w:val="0000EE"/>
                </w:rPr>
                <w:t>$</w:t>
              </w:r>
              <w:r>
                <w:rPr>
                  <w:rFonts w:ascii="Arial" w:cs="Arial" w:eastAsia="Arial" w:hAnsi="Arial"/>
                  <w:sz w:val="18"/>
                  <w:szCs w:val="18"/>
                  <w:color w:val="0000EE"/>
                </w:rPr>
                <w:t>650.0 million principal amount of 4.05% Senior Notes due 2022 with attached Guarantee</w:t>
              </w:r>
            </w:hyperlink>
          </w:p>
        </w:tc>
      </w:tr>
      <w:tr>
        <w:trPr>
          <w:trHeight w:val="196"/>
        </w:trPr>
        <w:tc>
          <w:tcPr>
            <w:tcW w:w="1500" w:type="dxa"/>
            <w:vAlign w:val="bottom"/>
          </w:tcPr>
          <w:p>
            <w:pPr>
              <w:spacing w:after="0"/>
              <w:rPr>
                <w:sz w:val="17"/>
                <w:szCs w:val="17"/>
                <w:color w:val="auto"/>
              </w:rPr>
            </w:pPr>
          </w:p>
        </w:tc>
        <w:tc>
          <w:tcPr>
            <w:tcW w:w="65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250">
              <w:r>
                <w:rPr>
                  <w:rFonts w:ascii="Arial" w:cs="Arial" w:eastAsia="Arial" w:hAnsi="Arial"/>
                  <w:sz w:val="18"/>
                  <w:szCs w:val="18"/>
                  <w:color w:val="0000EE"/>
                  <w:w w:val="92"/>
                </w:rPr>
                <w:t>(incorporated by reference to Exhibit A to Exhibit 4.3 to Form 8-K filed August 24, 2011).</w:t>
              </w:r>
            </w:hyperlink>
          </w:p>
        </w:tc>
        <w:tc>
          <w:tcPr>
            <w:tcW w:w="3380" w:type="dxa"/>
            <w:vAlign w:val="bottom"/>
            <w:gridSpan w:val="6"/>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4.42</w:t>
            </w:r>
          </w:p>
        </w:tc>
        <w:tc>
          <w:tcPr>
            <w:tcW w:w="9920" w:type="dxa"/>
            <w:vAlign w:val="bottom"/>
            <w:tcBorders>
              <w:bottom w:val="single" w:sz="8" w:color="0000EE"/>
            </w:tcBorders>
            <w:gridSpan w:val="15"/>
          </w:tcPr>
          <w:p>
            <w:pPr>
              <w:spacing w:after="0" w:line="196" w:lineRule="exact"/>
              <w:rPr>
                <w:rFonts w:ascii="Arial" w:cs="Arial" w:eastAsia="Arial" w:hAnsi="Arial"/>
                <w:sz w:val="18"/>
                <w:szCs w:val="18"/>
                <w:color w:val="0000EE"/>
              </w:rPr>
            </w:pPr>
            <w:hyperlink r:id="rId250">
              <w:r>
                <w:rPr>
                  <w:rFonts w:ascii="Arial" w:cs="Arial" w:eastAsia="Arial" w:hAnsi="Arial"/>
                  <w:sz w:val="18"/>
                  <w:szCs w:val="18"/>
                  <w:color w:val="0000EE"/>
                </w:rPr>
                <w:t xml:space="preserve">Form of Global Note representing </w:t>
              </w:r>
              <w:r>
                <w:rPr>
                  <w:rFonts w:ascii="Arial" w:cs="Arial" w:eastAsia="Arial" w:hAnsi="Arial"/>
                  <w:sz w:val="18"/>
                  <w:szCs w:val="18"/>
                  <w:u w:val="single" w:color="auto"/>
                  <w:color w:val="0000EE"/>
                </w:rPr>
                <w:t>$</w:t>
              </w:r>
              <w:r>
                <w:rPr>
                  <w:rFonts w:ascii="Arial" w:cs="Arial" w:eastAsia="Arial" w:hAnsi="Arial"/>
                  <w:sz w:val="18"/>
                  <w:szCs w:val="18"/>
                  <w:color w:val="0000EE"/>
                </w:rPr>
                <w:t>600.0 million principal amount of 5.70% Senior Notes due 2042 with attached Guarantee</w:t>
              </w:r>
            </w:hyperlink>
          </w:p>
        </w:tc>
      </w:tr>
      <w:tr>
        <w:trPr>
          <w:trHeight w:val="196"/>
        </w:trPr>
        <w:tc>
          <w:tcPr>
            <w:tcW w:w="1500" w:type="dxa"/>
            <w:vAlign w:val="bottom"/>
          </w:tcPr>
          <w:p>
            <w:pPr>
              <w:spacing w:after="0"/>
              <w:rPr>
                <w:sz w:val="17"/>
                <w:szCs w:val="17"/>
                <w:color w:val="auto"/>
              </w:rPr>
            </w:pPr>
          </w:p>
        </w:tc>
        <w:tc>
          <w:tcPr>
            <w:tcW w:w="65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250">
              <w:r>
                <w:rPr>
                  <w:rFonts w:ascii="Arial" w:cs="Arial" w:eastAsia="Arial" w:hAnsi="Arial"/>
                  <w:sz w:val="18"/>
                  <w:szCs w:val="18"/>
                  <w:color w:val="0000EE"/>
                  <w:w w:val="92"/>
                </w:rPr>
                <w:t>(incorporated by reference to Exhibit B to Exhibit 4.3 to Form 8-K filed August 24, 2011).</w:t>
              </w:r>
            </w:hyperlink>
          </w:p>
        </w:tc>
        <w:tc>
          <w:tcPr>
            <w:tcW w:w="3400" w:type="dxa"/>
            <w:vAlign w:val="bottom"/>
            <w:gridSpan w:val="7"/>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4.43</w:t>
            </w:r>
          </w:p>
        </w:tc>
        <w:tc>
          <w:tcPr>
            <w:tcW w:w="9920" w:type="dxa"/>
            <w:vAlign w:val="bottom"/>
            <w:tcBorders>
              <w:bottom w:val="single" w:sz="8" w:color="0000EE"/>
            </w:tcBorders>
            <w:gridSpan w:val="15"/>
          </w:tcPr>
          <w:p>
            <w:pPr>
              <w:spacing w:after="0" w:line="196" w:lineRule="exact"/>
              <w:rPr>
                <w:rFonts w:ascii="Arial" w:cs="Arial" w:eastAsia="Arial" w:hAnsi="Arial"/>
                <w:sz w:val="18"/>
                <w:szCs w:val="18"/>
                <w:color w:val="0000EE"/>
              </w:rPr>
            </w:pPr>
            <w:hyperlink r:id="rId251">
              <w:r>
                <w:rPr>
                  <w:rFonts w:ascii="Arial" w:cs="Arial" w:eastAsia="Arial" w:hAnsi="Arial"/>
                  <w:sz w:val="18"/>
                  <w:szCs w:val="18"/>
                  <w:color w:val="0000EE"/>
                </w:rPr>
                <w:t xml:space="preserve">Form of Global Note representing </w:t>
              </w:r>
              <w:r>
                <w:rPr>
                  <w:rFonts w:ascii="Arial" w:cs="Arial" w:eastAsia="Arial" w:hAnsi="Arial"/>
                  <w:sz w:val="18"/>
                  <w:szCs w:val="18"/>
                  <w:u w:val="single" w:color="auto"/>
                  <w:color w:val="0000EE"/>
                </w:rPr>
                <w:t>$</w:t>
              </w:r>
              <w:r>
                <w:rPr>
                  <w:rFonts w:ascii="Arial" w:cs="Arial" w:eastAsia="Arial" w:hAnsi="Arial"/>
                  <w:sz w:val="18"/>
                  <w:szCs w:val="18"/>
                  <w:color w:val="0000EE"/>
                </w:rPr>
                <w:t>750.0 million principal amount of 4.85% Senior Notes due 2042 with attached Guarantee</w:t>
              </w:r>
            </w:hyperlink>
          </w:p>
        </w:tc>
      </w:tr>
      <w:tr>
        <w:trPr>
          <w:trHeight w:val="196"/>
        </w:trPr>
        <w:tc>
          <w:tcPr>
            <w:tcW w:w="1500" w:type="dxa"/>
            <w:vAlign w:val="bottom"/>
          </w:tcPr>
          <w:p>
            <w:pPr>
              <w:spacing w:after="0"/>
              <w:rPr>
                <w:sz w:val="17"/>
                <w:szCs w:val="17"/>
                <w:color w:val="auto"/>
              </w:rPr>
            </w:pPr>
          </w:p>
        </w:tc>
        <w:tc>
          <w:tcPr>
            <w:tcW w:w="9920" w:type="dxa"/>
            <w:vAlign w:val="bottom"/>
            <w:gridSpan w:val="15"/>
          </w:tcPr>
          <w:p>
            <w:pPr>
              <w:spacing w:after="0" w:line="196" w:lineRule="exact"/>
              <w:rPr>
                <w:rFonts w:ascii="Arial" w:cs="Arial" w:eastAsia="Arial" w:hAnsi="Arial"/>
                <w:sz w:val="18"/>
                <w:szCs w:val="18"/>
                <w:color w:val="0000EE"/>
              </w:rPr>
            </w:pPr>
            <w:hyperlink r:id="rId251">
              <w:r>
                <w:rPr>
                  <w:rFonts w:ascii="Arial" w:cs="Arial" w:eastAsia="Arial" w:hAnsi="Arial"/>
                  <w:sz w:val="18"/>
                  <w:szCs w:val="18"/>
                  <w:color w:val="0000EE"/>
                </w:rPr>
                <w:t>(incorporated by reference to Exhibit A to Exhibit 4.25 to Form 10-Q filed May 10, 2012).</w:t>
              </w:r>
            </w:hyperlink>
          </w:p>
        </w:tc>
      </w:tr>
      <w:tr>
        <w:trPr>
          <w:trHeight w:val="669"/>
        </w:trPr>
        <w:tc>
          <w:tcPr>
            <w:tcW w:w="1500" w:type="dxa"/>
            <w:vAlign w:val="bottom"/>
          </w:tcPr>
          <w:p>
            <w:pPr>
              <w:spacing w:after="0"/>
              <w:rPr>
                <w:sz w:val="24"/>
                <w:szCs w:val="24"/>
                <w:color w:val="auto"/>
              </w:rPr>
            </w:pPr>
          </w:p>
        </w:tc>
        <w:tc>
          <w:tcPr>
            <w:tcW w:w="5320" w:type="dxa"/>
            <w:vAlign w:val="bottom"/>
            <w:tcBorders>
              <w:top w:val="single" w:sz="8" w:color="0000EE"/>
            </w:tcBorders>
            <w:gridSpan w:val="3"/>
          </w:tcPr>
          <w:p>
            <w:pPr>
              <w:ind w:left="4080"/>
              <w:spacing w:after="0"/>
              <w:rPr>
                <w:sz w:val="20"/>
                <w:szCs w:val="20"/>
                <w:color w:val="auto"/>
              </w:rPr>
            </w:pPr>
            <w:r>
              <w:rPr>
                <w:rFonts w:ascii="Arial" w:cs="Arial" w:eastAsia="Arial" w:hAnsi="Arial"/>
                <w:sz w:val="18"/>
                <w:szCs w:val="18"/>
                <w:color w:val="auto"/>
              </w:rPr>
              <w:t>144</w:t>
            </w:r>
          </w:p>
        </w:tc>
        <w:tc>
          <w:tcPr>
            <w:tcW w:w="6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5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46" w:name="page147"/>
    <w:bookmarkEnd w:id="1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jc w:val="right"/>
              <w:ind w:right="1090"/>
              <w:spacing w:after="0"/>
              <w:rPr>
                <w:sz w:val="20"/>
                <w:szCs w:val="20"/>
                <w:color w:val="auto"/>
              </w:rPr>
            </w:pPr>
            <w:r>
              <w:rPr>
                <w:rFonts w:ascii="Arial" w:cs="Arial" w:eastAsia="Arial" w:hAnsi="Arial"/>
                <w:sz w:val="18"/>
                <w:szCs w:val="18"/>
                <w:color w:val="auto"/>
                <w:w w:val="85"/>
              </w:rPr>
              <w:t>4.44</w:t>
            </w:r>
          </w:p>
        </w:tc>
        <w:tc>
          <w:tcPr>
            <w:tcW w:w="9920" w:type="dxa"/>
            <w:vAlign w:val="bottom"/>
            <w:tcBorders>
              <w:bottom w:val="single" w:sz="8" w:color="0000EE"/>
            </w:tcBorders>
            <w:gridSpan w:val="13"/>
          </w:tcPr>
          <w:p>
            <w:pPr>
              <w:spacing w:after="0"/>
              <w:rPr>
                <w:rFonts w:ascii="Arial" w:cs="Arial" w:eastAsia="Arial" w:hAnsi="Arial"/>
                <w:sz w:val="18"/>
                <w:szCs w:val="18"/>
                <w:color w:val="0000EE"/>
                <w:w w:val="92"/>
              </w:rPr>
            </w:pPr>
            <w:hyperlink r:id="rId252">
              <w:r>
                <w:rPr>
                  <w:rFonts w:ascii="Arial" w:cs="Arial" w:eastAsia="Arial" w:hAnsi="Arial"/>
                  <w:sz w:val="18"/>
                  <w:szCs w:val="18"/>
                  <w:color w:val="0000EE"/>
                  <w:w w:val="92"/>
                </w:rPr>
                <w:t xml:space="preserve">Form of Global Note representing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1.1 billion principal amount of 4.45% Senior Notes due 2043 with attached Guarantee (incorporated</w:t>
              </w:r>
            </w:hyperlink>
          </w:p>
        </w:tc>
      </w:tr>
      <w:tr>
        <w:trPr>
          <w:trHeight w:val="196"/>
        </w:trPr>
        <w:tc>
          <w:tcPr>
            <w:tcW w:w="1500" w:type="dxa"/>
            <w:vAlign w:val="bottom"/>
          </w:tcPr>
          <w:p>
            <w:pPr>
              <w:spacing w:after="0"/>
              <w:rPr>
                <w:sz w:val="17"/>
                <w:szCs w:val="17"/>
                <w:color w:val="auto"/>
              </w:rPr>
            </w:pPr>
          </w:p>
        </w:tc>
        <w:tc>
          <w:tcPr>
            <w:tcW w:w="9920" w:type="dxa"/>
            <w:vAlign w:val="bottom"/>
            <w:gridSpan w:val="13"/>
          </w:tcPr>
          <w:p>
            <w:pPr>
              <w:spacing w:after="0" w:line="196" w:lineRule="exact"/>
              <w:rPr>
                <w:rFonts w:ascii="Arial" w:cs="Arial" w:eastAsia="Arial" w:hAnsi="Arial"/>
                <w:sz w:val="18"/>
                <w:szCs w:val="18"/>
                <w:color w:val="0000EE"/>
              </w:rPr>
            </w:pPr>
            <w:hyperlink r:id="rId252">
              <w:r>
                <w:rPr>
                  <w:rFonts w:ascii="Arial" w:cs="Arial" w:eastAsia="Arial" w:hAnsi="Arial"/>
                  <w:sz w:val="18"/>
                  <w:szCs w:val="18"/>
                  <w:color w:val="0000EE"/>
                </w:rPr>
                <w:t>by reference to Exhibit B to Exhibit 4.3 to Form 8-K filed August 13, 2012).</w:t>
              </w:r>
            </w:hyperlink>
          </w:p>
        </w:tc>
      </w:tr>
      <w:tr>
        <w:trPr>
          <w:trHeight w:val="20"/>
        </w:trPr>
        <w:tc>
          <w:tcPr>
            <w:tcW w:w="1500" w:type="dxa"/>
            <w:vAlign w:val="bottom"/>
          </w:tcPr>
          <w:p>
            <w:pPr>
              <w:spacing w:after="0" w:line="20" w:lineRule="exact"/>
              <w:rPr>
                <w:sz w:val="1"/>
                <w:szCs w:val="1"/>
                <w:color w:val="auto"/>
              </w:rPr>
            </w:pPr>
          </w:p>
        </w:tc>
        <w:tc>
          <w:tcPr>
            <w:tcW w:w="54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4.45</w:t>
            </w:r>
          </w:p>
        </w:tc>
        <w:tc>
          <w:tcPr>
            <w:tcW w:w="9920" w:type="dxa"/>
            <w:vAlign w:val="bottom"/>
            <w:gridSpan w:val="13"/>
          </w:tcPr>
          <w:p>
            <w:pPr>
              <w:spacing w:after="0" w:line="196" w:lineRule="exact"/>
              <w:rPr>
                <w:rFonts w:ascii="Arial" w:cs="Arial" w:eastAsia="Arial" w:hAnsi="Arial"/>
                <w:sz w:val="18"/>
                <w:szCs w:val="18"/>
                <w:color w:val="0000EE"/>
                <w:w w:val="91"/>
              </w:rPr>
            </w:pPr>
            <w:hyperlink r:id="rId253">
              <w:r>
                <w:rPr>
                  <w:rFonts w:ascii="Arial" w:cs="Arial" w:eastAsia="Arial" w:hAnsi="Arial"/>
                  <w:sz w:val="18"/>
                  <w:szCs w:val="18"/>
                  <w:color w:val="0000EE"/>
                  <w:w w:val="91"/>
                </w:rPr>
                <w:t xml:space="preserve">Form of Global Note representing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1.25 billion principal amount of 3.35% Senior Notes due 2023 with attached Guarantee (incorporated</w:t>
              </w:r>
            </w:hyperlink>
          </w:p>
        </w:tc>
      </w:tr>
      <w:tr>
        <w:trPr>
          <w:trHeight w:val="196"/>
        </w:trPr>
        <w:tc>
          <w:tcPr>
            <w:tcW w:w="1500" w:type="dxa"/>
            <w:vAlign w:val="bottom"/>
          </w:tcPr>
          <w:p>
            <w:pPr>
              <w:spacing w:after="0"/>
              <w:rPr>
                <w:sz w:val="17"/>
                <w:szCs w:val="17"/>
                <w:color w:val="auto"/>
              </w:rPr>
            </w:pPr>
          </w:p>
        </w:tc>
        <w:tc>
          <w:tcPr>
            <w:tcW w:w="5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r:id="rId253">
              <w:r>
                <w:rPr>
                  <w:rFonts w:ascii="Arial" w:cs="Arial" w:eastAsia="Arial" w:hAnsi="Arial"/>
                  <w:sz w:val="18"/>
                  <w:szCs w:val="18"/>
                  <w:color w:val="0000EE"/>
                  <w:w w:val="93"/>
                </w:rPr>
                <w:t>by reference to Exhibit A to Exhibit 4.3 to Form 8-K filed March 18, 2013).</w:t>
              </w:r>
            </w:hyperlink>
          </w:p>
        </w:tc>
        <w:tc>
          <w:tcPr>
            <w:tcW w:w="440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4.46</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253">
              <w:r>
                <w:rPr>
                  <w:rFonts w:ascii="Arial" w:cs="Arial" w:eastAsia="Arial" w:hAnsi="Arial"/>
                  <w:sz w:val="18"/>
                  <w:szCs w:val="18"/>
                  <w:color w:val="0000EE"/>
                  <w:w w:val="92"/>
                </w:rPr>
                <w:t xml:space="preserve">Form of Global Note representing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1.0 billion principal amount of 4.85% Senior Notes due 2044 with attached Guarantee (incorporated</w:t>
              </w:r>
            </w:hyperlink>
          </w:p>
        </w:tc>
      </w:tr>
      <w:tr>
        <w:trPr>
          <w:trHeight w:val="196"/>
        </w:trPr>
        <w:tc>
          <w:tcPr>
            <w:tcW w:w="1500" w:type="dxa"/>
            <w:vAlign w:val="bottom"/>
          </w:tcPr>
          <w:p>
            <w:pPr>
              <w:spacing w:after="0"/>
              <w:rPr>
                <w:sz w:val="17"/>
                <w:szCs w:val="17"/>
                <w:color w:val="auto"/>
              </w:rPr>
            </w:pPr>
          </w:p>
        </w:tc>
        <w:tc>
          <w:tcPr>
            <w:tcW w:w="5460" w:type="dxa"/>
            <w:vAlign w:val="bottom"/>
            <w:tcBorders>
              <w:bottom w:val="single" w:sz="8" w:color="0000EE"/>
            </w:tcBorders>
          </w:tcPr>
          <w:p>
            <w:pPr>
              <w:spacing w:after="0" w:line="196" w:lineRule="exact"/>
              <w:rPr>
                <w:rFonts w:ascii="Arial" w:cs="Arial" w:eastAsia="Arial" w:hAnsi="Arial"/>
                <w:sz w:val="18"/>
                <w:szCs w:val="18"/>
                <w:color w:val="0000EE"/>
                <w:w w:val="93"/>
              </w:rPr>
            </w:pPr>
            <w:hyperlink r:id="rId253">
              <w:r>
                <w:rPr>
                  <w:rFonts w:ascii="Arial" w:cs="Arial" w:eastAsia="Arial" w:hAnsi="Arial"/>
                  <w:sz w:val="18"/>
                  <w:szCs w:val="18"/>
                  <w:color w:val="0000EE"/>
                  <w:w w:val="93"/>
                </w:rPr>
                <w:t>by reference to Exhibit B to Exhibit 4.3 to Form 8-K filed March 18, 2013).</w:t>
              </w:r>
            </w:hyperlink>
          </w:p>
        </w:tc>
        <w:tc>
          <w:tcPr>
            <w:tcW w:w="4460" w:type="dxa"/>
            <w:vAlign w:val="bottom"/>
            <w:gridSpan w:val="12"/>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4.47</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rPr>
            </w:pPr>
            <w:hyperlink r:id="rId254">
              <w:r>
                <w:rPr>
                  <w:rFonts w:ascii="Arial" w:cs="Arial" w:eastAsia="Arial" w:hAnsi="Arial"/>
                  <w:sz w:val="18"/>
                  <w:szCs w:val="18"/>
                  <w:color w:val="0000EE"/>
                </w:rPr>
                <w:t xml:space="preserve">Form of Global Note representing </w:t>
              </w:r>
              <w:r>
                <w:rPr>
                  <w:rFonts w:ascii="Arial" w:cs="Arial" w:eastAsia="Arial" w:hAnsi="Arial"/>
                  <w:sz w:val="18"/>
                  <w:szCs w:val="18"/>
                  <w:u w:val="single" w:color="auto"/>
                  <w:color w:val="0000EE"/>
                </w:rPr>
                <w:t>$</w:t>
              </w:r>
              <w:r>
                <w:rPr>
                  <w:rFonts w:ascii="Arial" w:cs="Arial" w:eastAsia="Arial" w:hAnsi="Arial"/>
                  <w:sz w:val="18"/>
                  <w:szCs w:val="18"/>
                  <w:color w:val="0000EE"/>
                </w:rPr>
                <w:t>850.0 million principal amount of 3.90% Senior Notes due 2024 with attached Guarantee</w:t>
              </w:r>
            </w:hyperlink>
          </w:p>
        </w:tc>
      </w:tr>
      <w:tr>
        <w:trPr>
          <w:trHeight w:val="196"/>
        </w:trPr>
        <w:tc>
          <w:tcPr>
            <w:tcW w:w="1500" w:type="dxa"/>
            <w:vAlign w:val="bottom"/>
          </w:tcPr>
          <w:p>
            <w:pPr>
              <w:spacing w:after="0"/>
              <w:rPr>
                <w:sz w:val="17"/>
                <w:szCs w:val="17"/>
                <w:color w:val="auto"/>
              </w:rPr>
            </w:pPr>
          </w:p>
        </w:tc>
        <w:tc>
          <w:tcPr>
            <w:tcW w:w="9920" w:type="dxa"/>
            <w:vAlign w:val="bottom"/>
            <w:gridSpan w:val="13"/>
          </w:tcPr>
          <w:p>
            <w:pPr>
              <w:spacing w:after="0" w:line="196" w:lineRule="exact"/>
              <w:rPr>
                <w:rFonts w:ascii="Arial" w:cs="Arial" w:eastAsia="Arial" w:hAnsi="Arial"/>
                <w:sz w:val="18"/>
                <w:szCs w:val="18"/>
                <w:color w:val="0000EE"/>
              </w:rPr>
            </w:pPr>
            <w:hyperlink r:id="rId254">
              <w:r>
                <w:rPr>
                  <w:rFonts w:ascii="Arial" w:cs="Arial" w:eastAsia="Arial" w:hAnsi="Arial"/>
                  <w:sz w:val="18"/>
                  <w:szCs w:val="18"/>
                  <w:color w:val="0000EE"/>
                </w:rPr>
                <w:t>(incorporated by reference to Exhibit A to Exhibit 4.3 to Form 8-K filed February 12, 2014).</w:t>
              </w:r>
            </w:hyperlink>
          </w:p>
        </w:tc>
      </w:tr>
      <w:tr>
        <w:trPr>
          <w:trHeight w:val="20"/>
        </w:trPr>
        <w:tc>
          <w:tcPr>
            <w:tcW w:w="1500" w:type="dxa"/>
            <w:vAlign w:val="bottom"/>
          </w:tcPr>
          <w:p>
            <w:pPr>
              <w:spacing w:after="0" w:line="20" w:lineRule="exact"/>
              <w:rPr>
                <w:sz w:val="1"/>
                <w:szCs w:val="1"/>
                <w:color w:val="auto"/>
              </w:rPr>
            </w:pPr>
          </w:p>
        </w:tc>
        <w:tc>
          <w:tcPr>
            <w:tcW w:w="55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4.48</w:t>
            </w:r>
          </w:p>
        </w:tc>
        <w:tc>
          <w:tcPr>
            <w:tcW w:w="9920" w:type="dxa"/>
            <w:vAlign w:val="bottom"/>
            <w:gridSpan w:val="13"/>
          </w:tcPr>
          <w:p>
            <w:pPr>
              <w:spacing w:after="0" w:line="196" w:lineRule="exact"/>
              <w:rPr>
                <w:rFonts w:ascii="Arial" w:cs="Arial" w:eastAsia="Arial" w:hAnsi="Arial"/>
                <w:sz w:val="18"/>
                <w:szCs w:val="18"/>
                <w:color w:val="0000EE"/>
                <w:w w:val="91"/>
              </w:rPr>
            </w:pPr>
            <w:hyperlink r:id="rId254">
              <w:r>
                <w:rPr>
                  <w:rFonts w:ascii="Arial" w:cs="Arial" w:eastAsia="Arial" w:hAnsi="Arial"/>
                  <w:sz w:val="18"/>
                  <w:szCs w:val="18"/>
                  <w:color w:val="0000EE"/>
                  <w:w w:val="91"/>
                </w:rPr>
                <w:t xml:space="preserve">Form of Global Note representing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1.15 billion principal amount of 5.10% Senior Notes due 2045 with attached Guarantee (incorporated</w:t>
              </w:r>
            </w:hyperlink>
          </w:p>
        </w:tc>
      </w:tr>
      <w:tr>
        <w:trPr>
          <w:trHeight w:val="196"/>
        </w:trPr>
        <w:tc>
          <w:tcPr>
            <w:tcW w:w="1500" w:type="dxa"/>
            <w:vAlign w:val="bottom"/>
          </w:tcPr>
          <w:p>
            <w:pPr>
              <w:spacing w:after="0"/>
              <w:rPr>
                <w:sz w:val="17"/>
                <w:szCs w:val="17"/>
                <w:color w:val="auto"/>
              </w:rPr>
            </w:pPr>
          </w:p>
        </w:tc>
        <w:tc>
          <w:tcPr>
            <w:tcW w:w="5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254">
              <w:r>
                <w:rPr>
                  <w:rFonts w:ascii="Arial" w:cs="Arial" w:eastAsia="Arial" w:hAnsi="Arial"/>
                  <w:sz w:val="18"/>
                  <w:szCs w:val="18"/>
                  <w:color w:val="0000EE"/>
                  <w:w w:val="92"/>
                </w:rPr>
                <w:t>by reference to Exhibit B to Exhibit 4.3 to Form 8-K filed February 12, 2014).</w:t>
              </w:r>
            </w:hyperlink>
          </w:p>
        </w:tc>
        <w:tc>
          <w:tcPr>
            <w:tcW w:w="426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4.49</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rPr>
            </w:pPr>
            <w:hyperlink r:id="rId255">
              <w:r>
                <w:rPr>
                  <w:rFonts w:ascii="Arial" w:cs="Arial" w:eastAsia="Arial" w:hAnsi="Arial"/>
                  <w:sz w:val="18"/>
                  <w:szCs w:val="18"/>
                  <w:color w:val="0000EE"/>
                </w:rPr>
                <w:t xml:space="preserve">Form of Global Note representing </w:t>
              </w:r>
              <w:r>
                <w:rPr>
                  <w:rFonts w:ascii="Arial" w:cs="Arial" w:eastAsia="Arial" w:hAnsi="Arial"/>
                  <w:sz w:val="18"/>
                  <w:szCs w:val="18"/>
                  <w:u w:val="single" w:color="auto"/>
                  <w:color w:val="0000EE"/>
                </w:rPr>
                <w:t>$</w:t>
              </w:r>
              <w:r>
                <w:rPr>
                  <w:rFonts w:ascii="Arial" w:cs="Arial" w:eastAsia="Arial" w:hAnsi="Arial"/>
                  <w:sz w:val="18"/>
                  <w:szCs w:val="18"/>
                  <w:color w:val="0000EE"/>
                </w:rPr>
                <w:t>800.0 million principal amount of 2.55% Senior Notes due 2019 with attached Guarantee</w:t>
              </w:r>
            </w:hyperlink>
          </w:p>
        </w:tc>
      </w:tr>
      <w:tr>
        <w:trPr>
          <w:trHeight w:val="196"/>
        </w:trPr>
        <w:tc>
          <w:tcPr>
            <w:tcW w:w="1500" w:type="dxa"/>
            <w:vAlign w:val="bottom"/>
          </w:tcPr>
          <w:p>
            <w:pPr>
              <w:spacing w:after="0"/>
              <w:rPr>
                <w:sz w:val="17"/>
                <w:szCs w:val="17"/>
                <w:color w:val="auto"/>
              </w:rPr>
            </w:pPr>
          </w:p>
        </w:tc>
        <w:tc>
          <w:tcPr>
            <w:tcW w:w="66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255">
              <w:r>
                <w:rPr>
                  <w:rFonts w:ascii="Arial" w:cs="Arial" w:eastAsia="Arial" w:hAnsi="Arial"/>
                  <w:sz w:val="18"/>
                  <w:szCs w:val="18"/>
                  <w:color w:val="0000EE"/>
                  <w:w w:val="93"/>
                </w:rPr>
                <w:t>(incorporated by reference to Exhibit A to Exhibit 4.4 to Form 8-K filed October 14, 2014).</w:t>
              </w:r>
            </w:hyperlink>
          </w:p>
        </w:tc>
        <w:tc>
          <w:tcPr>
            <w:tcW w:w="3260" w:type="dxa"/>
            <w:vAlign w:val="bottom"/>
            <w:gridSpan w:val="2"/>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4.50</w:t>
            </w:r>
          </w:p>
        </w:tc>
        <w:tc>
          <w:tcPr>
            <w:tcW w:w="9920" w:type="dxa"/>
            <w:vAlign w:val="bottom"/>
            <w:gridSpan w:val="13"/>
          </w:tcPr>
          <w:p>
            <w:pPr>
              <w:spacing w:after="0" w:line="196" w:lineRule="exact"/>
              <w:rPr>
                <w:rFonts w:ascii="Arial" w:cs="Arial" w:eastAsia="Arial" w:hAnsi="Arial"/>
                <w:sz w:val="18"/>
                <w:szCs w:val="18"/>
                <w:color w:val="0000EE"/>
                <w:w w:val="91"/>
              </w:rPr>
            </w:pPr>
            <w:hyperlink r:id="rId255">
              <w:r>
                <w:rPr>
                  <w:rFonts w:ascii="Arial" w:cs="Arial" w:eastAsia="Arial" w:hAnsi="Arial"/>
                  <w:sz w:val="18"/>
                  <w:szCs w:val="18"/>
                  <w:color w:val="0000EE"/>
                  <w:w w:val="91"/>
                </w:rPr>
                <w:t xml:space="preserve">Form of Global Note representing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1.15 billion principal amount of 3.75% Senior Notes due 2025 with attached Guarantee (incorporated</w:t>
              </w:r>
            </w:hyperlink>
          </w:p>
        </w:tc>
      </w:tr>
      <w:tr>
        <w:trPr>
          <w:trHeight w:val="196"/>
        </w:trPr>
        <w:tc>
          <w:tcPr>
            <w:tcW w:w="1500" w:type="dxa"/>
            <w:vAlign w:val="bottom"/>
          </w:tcPr>
          <w:p>
            <w:pPr>
              <w:spacing w:after="0"/>
              <w:rPr>
                <w:sz w:val="17"/>
                <w:szCs w:val="17"/>
                <w:color w:val="auto"/>
              </w:rPr>
            </w:pPr>
          </w:p>
        </w:tc>
        <w:tc>
          <w:tcPr>
            <w:tcW w:w="99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255">
              <w:r>
                <w:rPr>
                  <w:rFonts w:ascii="Arial" w:cs="Arial" w:eastAsia="Arial" w:hAnsi="Arial"/>
                  <w:sz w:val="18"/>
                  <w:szCs w:val="18"/>
                  <w:color w:val="0000EE"/>
                </w:rPr>
                <w:t>by reference to Exhibit B to Exhibit 4.4 to Form 8-K filed October 14, 2014).</w:t>
              </w:r>
            </w:hyperlink>
          </w:p>
        </w:tc>
        <w:tc>
          <w:tcPr>
            <w:tcW w:w="2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55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4.51</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rPr>
            </w:pPr>
            <w:hyperlink r:id="rId255">
              <w:r>
                <w:rPr>
                  <w:rFonts w:ascii="Arial" w:cs="Arial" w:eastAsia="Arial" w:hAnsi="Arial"/>
                  <w:sz w:val="18"/>
                  <w:szCs w:val="18"/>
                  <w:color w:val="0000EE"/>
                </w:rPr>
                <w:t xml:space="preserve">Form of Global Note representing </w:t>
              </w:r>
              <w:r>
                <w:rPr>
                  <w:rFonts w:ascii="Arial" w:cs="Arial" w:eastAsia="Arial" w:hAnsi="Arial"/>
                  <w:sz w:val="18"/>
                  <w:szCs w:val="18"/>
                  <w:u w:val="single" w:color="auto"/>
                  <w:color w:val="0000EE"/>
                </w:rPr>
                <w:t>$</w:t>
              </w:r>
              <w:r>
                <w:rPr>
                  <w:rFonts w:ascii="Arial" w:cs="Arial" w:eastAsia="Arial" w:hAnsi="Arial"/>
                  <w:sz w:val="18"/>
                  <w:szCs w:val="18"/>
                  <w:color w:val="0000EE"/>
                </w:rPr>
                <w:t>400.0 million principal amount of 4.95% Senior Notes due 2054 with attached Guarantee</w:t>
              </w:r>
            </w:hyperlink>
          </w:p>
        </w:tc>
      </w:tr>
      <w:tr>
        <w:trPr>
          <w:trHeight w:val="196"/>
        </w:trPr>
        <w:tc>
          <w:tcPr>
            <w:tcW w:w="1500" w:type="dxa"/>
            <w:vAlign w:val="bottom"/>
          </w:tcPr>
          <w:p>
            <w:pPr>
              <w:spacing w:after="0"/>
              <w:rPr>
                <w:sz w:val="17"/>
                <w:szCs w:val="17"/>
                <w:color w:val="auto"/>
              </w:rPr>
            </w:pPr>
          </w:p>
        </w:tc>
        <w:tc>
          <w:tcPr>
            <w:tcW w:w="9920" w:type="dxa"/>
            <w:vAlign w:val="bottom"/>
            <w:gridSpan w:val="13"/>
          </w:tcPr>
          <w:p>
            <w:pPr>
              <w:spacing w:after="0" w:line="196" w:lineRule="exact"/>
              <w:rPr>
                <w:rFonts w:ascii="Arial" w:cs="Arial" w:eastAsia="Arial" w:hAnsi="Arial"/>
                <w:sz w:val="18"/>
                <w:szCs w:val="18"/>
                <w:color w:val="0000EE"/>
              </w:rPr>
            </w:pPr>
            <w:hyperlink r:id="rId255">
              <w:r>
                <w:rPr>
                  <w:rFonts w:ascii="Arial" w:cs="Arial" w:eastAsia="Arial" w:hAnsi="Arial"/>
                  <w:sz w:val="18"/>
                  <w:szCs w:val="18"/>
                  <w:color w:val="0000EE"/>
                </w:rPr>
                <w:t>(incorporated by reference to Exhibit C to Exhibit 4.4 to Form 8-K filed October 14, 2014).</w:t>
              </w:r>
            </w:hyperlink>
          </w:p>
        </w:tc>
      </w:tr>
      <w:tr>
        <w:trPr>
          <w:trHeight w:val="20"/>
        </w:trPr>
        <w:tc>
          <w:tcPr>
            <w:tcW w:w="1500" w:type="dxa"/>
            <w:vAlign w:val="bottom"/>
          </w:tcPr>
          <w:p>
            <w:pPr>
              <w:spacing w:after="0" w:line="20" w:lineRule="exact"/>
              <w:rPr>
                <w:sz w:val="1"/>
                <w:szCs w:val="1"/>
                <w:color w:val="auto"/>
              </w:rPr>
            </w:pPr>
          </w:p>
        </w:tc>
        <w:tc>
          <w:tcPr>
            <w:tcW w:w="5640" w:type="dxa"/>
            <w:vAlign w:val="bottom"/>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4.52</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rPr>
            </w:pPr>
            <w:hyperlink r:id="rId253">
              <w:r>
                <w:rPr>
                  <w:rFonts w:ascii="Arial" w:cs="Arial" w:eastAsia="Arial" w:hAnsi="Arial"/>
                  <w:sz w:val="18"/>
                  <w:szCs w:val="18"/>
                  <w:color w:val="0000EE"/>
                </w:rPr>
                <w:t xml:space="preserve">Form of Global Note representing </w:t>
              </w:r>
              <w:r>
                <w:rPr>
                  <w:rFonts w:ascii="Arial" w:cs="Arial" w:eastAsia="Arial" w:hAnsi="Arial"/>
                  <w:sz w:val="18"/>
                  <w:szCs w:val="18"/>
                  <w:u w:val="single" w:color="auto"/>
                  <w:color w:val="0000EE"/>
                </w:rPr>
                <w:t>$</w:t>
              </w:r>
              <w:r>
                <w:rPr>
                  <w:rFonts w:ascii="Arial" w:cs="Arial" w:eastAsia="Arial" w:hAnsi="Arial"/>
                  <w:sz w:val="18"/>
                  <w:szCs w:val="18"/>
                  <w:color w:val="0000EE"/>
                </w:rPr>
                <w:t>400.0 million principal amount of 4.85% Senior Notes due 2044 with attached Guarantee</w:t>
              </w:r>
            </w:hyperlink>
          </w:p>
        </w:tc>
      </w:tr>
      <w:tr>
        <w:trPr>
          <w:trHeight w:val="196"/>
        </w:trPr>
        <w:tc>
          <w:tcPr>
            <w:tcW w:w="1500" w:type="dxa"/>
            <w:vAlign w:val="bottom"/>
          </w:tcPr>
          <w:p>
            <w:pPr>
              <w:spacing w:after="0"/>
              <w:rPr>
                <w:sz w:val="17"/>
                <w:szCs w:val="17"/>
                <w:color w:val="auto"/>
              </w:rPr>
            </w:pPr>
          </w:p>
        </w:tc>
        <w:tc>
          <w:tcPr>
            <w:tcW w:w="64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253">
              <w:r>
                <w:rPr>
                  <w:rFonts w:ascii="Arial" w:cs="Arial" w:eastAsia="Arial" w:hAnsi="Arial"/>
                  <w:sz w:val="18"/>
                  <w:szCs w:val="18"/>
                  <w:color w:val="0000EE"/>
                  <w:w w:val="92"/>
                </w:rPr>
                <w:t>(incorporated by reference to Exhibit B to Exhibit 4.3 to Form 8-K filed March 18, 2013).</w:t>
              </w:r>
            </w:hyperlink>
          </w:p>
        </w:tc>
        <w:tc>
          <w:tcPr>
            <w:tcW w:w="3440" w:type="dxa"/>
            <w:vAlign w:val="bottom"/>
            <w:gridSpan w:val="5"/>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4.53</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rPr>
            </w:pPr>
            <w:hyperlink r:id="rId256">
              <w:r>
                <w:rPr>
                  <w:rFonts w:ascii="Arial" w:cs="Arial" w:eastAsia="Arial" w:hAnsi="Arial"/>
                  <w:sz w:val="18"/>
                  <w:szCs w:val="18"/>
                  <w:color w:val="0000EE"/>
                </w:rPr>
                <w:t xml:space="preserve">Form of Global Note representing </w:t>
              </w:r>
              <w:r>
                <w:rPr>
                  <w:rFonts w:ascii="Arial" w:cs="Arial" w:eastAsia="Arial" w:hAnsi="Arial"/>
                  <w:sz w:val="18"/>
                  <w:szCs w:val="18"/>
                  <w:u w:val="single" w:color="auto"/>
                  <w:color w:val="0000EE"/>
                </w:rPr>
                <w:t>$</w:t>
              </w:r>
              <w:r>
                <w:rPr>
                  <w:rFonts w:ascii="Arial" w:cs="Arial" w:eastAsia="Arial" w:hAnsi="Arial"/>
                  <w:sz w:val="18"/>
                  <w:szCs w:val="18"/>
                  <w:color w:val="0000EE"/>
                </w:rPr>
                <w:t>875.0 million principal amount of 3.70% Senior Notes due 2026 with attached Guarantee</w:t>
              </w:r>
            </w:hyperlink>
          </w:p>
        </w:tc>
      </w:tr>
      <w:tr>
        <w:trPr>
          <w:trHeight w:val="196"/>
        </w:trPr>
        <w:tc>
          <w:tcPr>
            <w:tcW w:w="1500" w:type="dxa"/>
            <w:vAlign w:val="bottom"/>
          </w:tcPr>
          <w:p>
            <w:pPr>
              <w:spacing w:after="0"/>
              <w:rPr>
                <w:sz w:val="17"/>
                <w:szCs w:val="17"/>
                <w:color w:val="auto"/>
              </w:rPr>
            </w:pPr>
          </w:p>
        </w:tc>
        <w:tc>
          <w:tcPr>
            <w:tcW w:w="9920" w:type="dxa"/>
            <w:vAlign w:val="bottom"/>
            <w:gridSpan w:val="13"/>
          </w:tcPr>
          <w:p>
            <w:pPr>
              <w:spacing w:after="0" w:line="196" w:lineRule="exact"/>
              <w:rPr>
                <w:rFonts w:ascii="Arial" w:cs="Arial" w:eastAsia="Arial" w:hAnsi="Arial"/>
                <w:sz w:val="18"/>
                <w:szCs w:val="18"/>
                <w:color w:val="0000EE"/>
              </w:rPr>
            </w:pPr>
            <w:hyperlink r:id="rId256">
              <w:r>
                <w:rPr>
                  <w:rFonts w:ascii="Arial" w:cs="Arial" w:eastAsia="Arial" w:hAnsi="Arial"/>
                  <w:sz w:val="18"/>
                  <w:szCs w:val="18"/>
                  <w:color w:val="0000EE"/>
                </w:rPr>
                <w:t>(incorporated by reference to Exhibit B to Exhibit 4.3 to Form 8-K filed May 7, 2015).</w:t>
              </w:r>
            </w:hyperlink>
          </w:p>
        </w:tc>
      </w:tr>
      <w:tr>
        <w:trPr>
          <w:trHeight w:val="20"/>
        </w:trPr>
        <w:tc>
          <w:tcPr>
            <w:tcW w:w="1500" w:type="dxa"/>
            <w:vAlign w:val="bottom"/>
          </w:tcPr>
          <w:p>
            <w:pPr>
              <w:spacing w:after="0" w:line="20" w:lineRule="exact"/>
              <w:rPr>
                <w:sz w:val="1"/>
                <w:szCs w:val="1"/>
                <w:color w:val="auto"/>
              </w:rPr>
            </w:pPr>
          </w:p>
        </w:tc>
        <w:tc>
          <w:tcPr>
            <w:tcW w:w="5640" w:type="dxa"/>
            <w:vAlign w:val="bottom"/>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4.54</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rPr>
            </w:pPr>
            <w:hyperlink r:id="rId256">
              <w:r>
                <w:rPr>
                  <w:rFonts w:ascii="Arial" w:cs="Arial" w:eastAsia="Arial" w:hAnsi="Arial"/>
                  <w:sz w:val="18"/>
                  <w:szCs w:val="18"/>
                  <w:color w:val="0000EE"/>
                </w:rPr>
                <w:t xml:space="preserve">Form of Global Note representing </w:t>
              </w:r>
              <w:r>
                <w:rPr>
                  <w:rFonts w:ascii="Arial" w:cs="Arial" w:eastAsia="Arial" w:hAnsi="Arial"/>
                  <w:sz w:val="18"/>
                  <w:szCs w:val="18"/>
                  <w:u w:val="single" w:color="auto"/>
                  <w:color w:val="0000EE"/>
                </w:rPr>
                <w:t>$</w:t>
              </w:r>
              <w:r>
                <w:rPr>
                  <w:rFonts w:ascii="Arial" w:cs="Arial" w:eastAsia="Arial" w:hAnsi="Arial"/>
                  <w:sz w:val="18"/>
                  <w:szCs w:val="18"/>
                  <w:color w:val="0000EE"/>
                </w:rPr>
                <w:t>875.0 million principal amount of 4.90% Senior Notes due 2046 with attached Guarantee</w:t>
              </w:r>
            </w:hyperlink>
          </w:p>
        </w:tc>
      </w:tr>
      <w:tr>
        <w:trPr>
          <w:trHeight w:val="196"/>
        </w:trPr>
        <w:tc>
          <w:tcPr>
            <w:tcW w:w="1500" w:type="dxa"/>
            <w:vAlign w:val="bottom"/>
          </w:tcPr>
          <w:p>
            <w:pPr>
              <w:spacing w:after="0"/>
              <w:rPr>
                <w:sz w:val="17"/>
                <w:szCs w:val="17"/>
                <w:color w:val="auto"/>
              </w:rPr>
            </w:pPr>
          </w:p>
        </w:tc>
        <w:tc>
          <w:tcPr>
            <w:tcW w:w="9920" w:type="dxa"/>
            <w:vAlign w:val="bottom"/>
            <w:gridSpan w:val="13"/>
          </w:tcPr>
          <w:p>
            <w:pPr>
              <w:spacing w:after="0" w:line="196" w:lineRule="exact"/>
              <w:rPr>
                <w:rFonts w:ascii="Arial" w:cs="Arial" w:eastAsia="Arial" w:hAnsi="Arial"/>
                <w:sz w:val="18"/>
                <w:szCs w:val="18"/>
                <w:color w:val="0000EE"/>
              </w:rPr>
            </w:pPr>
            <w:hyperlink r:id="rId256">
              <w:r>
                <w:rPr>
                  <w:rFonts w:ascii="Arial" w:cs="Arial" w:eastAsia="Arial" w:hAnsi="Arial"/>
                  <w:sz w:val="18"/>
                  <w:szCs w:val="18"/>
                  <w:color w:val="0000EE"/>
                </w:rPr>
                <w:t>(incorporated by reference to Exhibit C to Exhibit 4.3 to Form 8-K filed May 7, 2015).</w:t>
              </w:r>
            </w:hyperlink>
          </w:p>
        </w:tc>
      </w:tr>
      <w:tr>
        <w:trPr>
          <w:trHeight w:val="20"/>
        </w:trPr>
        <w:tc>
          <w:tcPr>
            <w:tcW w:w="1500" w:type="dxa"/>
            <w:vAlign w:val="bottom"/>
          </w:tcPr>
          <w:p>
            <w:pPr>
              <w:spacing w:after="0" w:line="20" w:lineRule="exact"/>
              <w:rPr>
                <w:sz w:val="1"/>
                <w:szCs w:val="1"/>
                <w:color w:val="auto"/>
              </w:rPr>
            </w:pPr>
          </w:p>
        </w:tc>
        <w:tc>
          <w:tcPr>
            <w:tcW w:w="5640" w:type="dxa"/>
            <w:vAlign w:val="bottom"/>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4.55</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rPr>
            </w:pPr>
            <w:hyperlink r:id="rId257">
              <w:r>
                <w:rPr>
                  <w:rFonts w:ascii="Arial" w:cs="Arial" w:eastAsia="Arial" w:hAnsi="Arial"/>
                  <w:sz w:val="18"/>
                  <w:szCs w:val="18"/>
                  <w:color w:val="0000EE"/>
                </w:rPr>
                <w:t xml:space="preserve">Form of Global Note representing </w:t>
              </w:r>
              <w:r>
                <w:rPr>
                  <w:rFonts w:ascii="Arial" w:cs="Arial" w:eastAsia="Arial" w:hAnsi="Arial"/>
                  <w:sz w:val="18"/>
                  <w:szCs w:val="18"/>
                  <w:u w:val="single" w:color="auto"/>
                  <w:color w:val="0000EE"/>
                </w:rPr>
                <w:t>$</w:t>
              </w:r>
              <w:r>
                <w:rPr>
                  <w:rFonts w:ascii="Arial" w:cs="Arial" w:eastAsia="Arial" w:hAnsi="Arial"/>
                  <w:sz w:val="18"/>
                  <w:szCs w:val="18"/>
                  <w:color w:val="0000EE"/>
                </w:rPr>
                <w:t>575.0 million principal amount of 2.85% Senior Notes due 2021 with attached Guarantee</w:t>
              </w:r>
            </w:hyperlink>
          </w:p>
        </w:tc>
      </w:tr>
      <w:tr>
        <w:trPr>
          <w:trHeight w:val="196"/>
        </w:trPr>
        <w:tc>
          <w:tcPr>
            <w:tcW w:w="1500" w:type="dxa"/>
            <w:vAlign w:val="bottom"/>
          </w:tcPr>
          <w:p>
            <w:pPr>
              <w:spacing w:after="0"/>
              <w:rPr>
                <w:sz w:val="17"/>
                <w:szCs w:val="17"/>
                <w:color w:val="auto"/>
              </w:rPr>
            </w:pPr>
          </w:p>
        </w:tc>
        <w:tc>
          <w:tcPr>
            <w:tcW w:w="640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257">
              <w:r>
                <w:rPr>
                  <w:rFonts w:ascii="Arial" w:cs="Arial" w:eastAsia="Arial" w:hAnsi="Arial"/>
                  <w:sz w:val="18"/>
                  <w:szCs w:val="18"/>
                  <w:color w:val="0000EE"/>
                  <w:w w:val="93"/>
                </w:rPr>
                <w:t>(incorporated by reference to Exhibit A to Exhibit 4.4 to Form 8-K filed April 13, 2016).</w:t>
              </w:r>
            </w:hyperlink>
          </w:p>
        </w:tc>
        <w:tc>
          <w:tcPr>
            <w:tcW w:w="3520" w:type="dxa"/>
            <w:vAlign w:val="bottom"/>
            <w:gridSpan w:val="6"/>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4.56</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rPr>
            </w:pPr>
            <w:hyperlink r:id="rId257">
              <w:r>
                <w:rPr>
                  <w:rFonts w:ascii="Arial" w:cs="Arial" w:eastAsia="Arial" w:hAnsi="Arial"/>
                  <w:sz w:val="18"/>
                  <w:szCs w:val="18"/>
                  <w:color w:val="0000EE"/>
                </w:rPr>
                <w:t xml:space="preserve">Form of Global Note representing </w:t>
              </w:r>
              <w:r>
                <w:rPr>
                  <w:rFonts w:ascii="Arial" w:cs="Arial" w:eastAsia="Arial" w:hAnsi="Arial"/>
                  <w:sz w:val="18"/>
                  <w:szCs w:val="18"/>
                  <w:u w:val="single" w:color="auto"/>
                  <w:color w:val="0000EE"/>
                </w:rPr>
                <w:t>$</w:t>
              </w:r>
              <w:r>
                <w:rPr>
                  <w:rFonts w:ascii="Arial" w:cs="Arial" w:eastAsia="Arial" w:hAnsi="Arial"/>
                  <w:sz w:val="18"/>
                  <w:szCs w:val="18"/>
                  <w:color w:val="0000EE"/>
                </w:rPr>
                <w:t>575.0 million principal amount of 3.95% Senior Notes due 2027 with attached Guarantee</w:t>
              </w:r>
            </w:hyperlink>
          </w:p>
        </w:tc>
      </w:tr>
      <w:tr>
        <w:trPr>
          <w:trHeight w:val="196"/>
        </w:trPr>
        <w:tc>
          <w:tcPr>
            <w:tcW w:w="1500" w:type="dxa"/>
            <w:vAlign w:val="bottom"/>
          </w:tcPr>
          <w:p>
            <w:pPr>
              <w:spacing w:after="0"/>
              <w:rPr>
                <w:sz w:val="17"/>
                <w:szCs w:val="17"/>
                <w:color w:val="auto"/>
              </w:rPr>
            </w:pPr>
          </w:p>
        </w:tc>
        <w:tc>
          <w:tcPr>
            <w:tcW w:w="9920" w:type="dxa"/>
            <w:vAlign w:val="bottom"/>
            <w:gridSpan w:val="13"/>
          </w:tcPr>
          <w:p>
            <w:pPr>
              <w:spacing w:after="0" w:line="196" w:lineRule="exact"/>
              <w:rPr>
                <w:rFonts w:ascii="Arial" w:cs="Arial" w:eastAsia="Arial" w:hAnsi="Arial"/>
                <w:sz w:val="18"/>
                <w:szCs w:val="18"/>
                <w:color w:val="0000EE"/>
              </w:rPr>
            </w:pPr>
            <w:hyperlink r:id="rId257">
              <w:r>
                <w:rPr>
                  <w:rFonts w:ascii="Arial" w:cs="Arial" w:eastAsia="Arial" w:hAnsi="Arial"/>
                  <w:sz w:val="18"/>
                  <w:szCs w:val="18"/>
                  <w:color w:val="0000EE"/>
                </w:rPr>
                <w:t>(incorporated by reference to Exhibit B to Exhibit 4.4 to Form 8-K filed April 13, 2016).</w:t>
              </w:r>
            </w:hyperlink>
          </w:p>
        </w:tc>
      </w:tr>
      <w:tr>
        <w:trPr>
          <w:trHeight w:val="20"/>
        </w:trPr>
        <w:tc>
          <w:tcPr>
            <w:tcW w:w="1500" w:type="dxa"/>
            <w:vAlign w:val="bottom"/>
          </w:tcPr>
          <w:p>
            <w:pPr>
              <w:spacing w:after="0" w:line="20" w:lineRule="exact"/>
              <w:rPr>
                <w:sz w:val="1"/>
                <w:szCs w:val="1"/>
                <w:color w:val="auto"/>
              </w:rPr>
            </w:pPr>
          </w:p>
        </w:tc>
        <w:tc>
          <w:tcPr>
            <w:tcW w:w="5640" w:type="dxa"/>
            <w:vAlign w:val="bottom"/>
            <w:gridSpan w:val="4"/>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4.57</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rPr>
            </w:pPr>
            <w:hyperlink r:id="rId256">
              <w:r>
                <w:rPr>
                  <w:rFonts w:ascii="Arial" w:cs="Arial" w:eastAsia="Arial" w:hAnsi="Arial"/>
                  <w:sz w:val="18"/>
                  <w:szCs w:val="18"/>
                  <w:color w:val="0000EE"/>
                </w:rPr>
                <w:t xml:space="preserve">Form of Global Note representing </w:t>
              </w:r>
              <w:r>
                <w:rPr>
                  <w:rFonts w:ascii="Arial" w:cs="Arial" w:eastAsia="Arial" w:hAnsi="Arial"/>
                  <w:sz w:val="18"/>
                  <w:szCs w:val="18"/>
                  <w:u w:val="single" w:color="auto"/>
                  <w:color w:val="0000EE"/>
                </w:rPr>
                <w:t>$</w:t>
              </w:r>
              <w:r>
                <w:rPr>
                  <w:rFonts w:ascii="Arial" w:cs="Arial" w:eastAsia="Arial" w:hAnsi="Arial"/>
                  <w:sz w:val="18"/>
                  <w:szCs w:val="18"/>
                  <w:color w:val="0000EE"/>
                </w:rPr>
                <w:t>100.0 million principal amount of 4.90% Senior Notes due 2046 with attached Guarantee</w:t>
              </w:r>
            </w:hyperlink>
          </w:p>
        </w:tc>
      </w:tr>
      <w:tr>
        <w:trPr>
          <w:trHeight w:val="196"/>
        </w:trPr>
        <w:tc>
          <w:tcPr>
            <w:tcW w:w="1500" w:type="dxa"/>
            <w:vAlign w:val="bottom"/>
          </w:tcPr>
          <w:p>
            <w:pPr>
              <w:spacing w:after="0"/>
              <w:rPr>
                <w:sz w:val="17"/>
                <w:szCs w:val="17"/>
                <w:color w:val="auto"/>
              </w:rPr>
            </w:pPr>
          </w:p>
        </w:tc>
        <w:tc>
          <w:tcPr>
            <w:tcW w:w="9920" w:type="dxa"/>
            <w:vAlign w:val="bottom"/>
            <w:gridSpan w:val="13"/>
          </w:tcPr>
          <w:p>
            <w:pPr>
              <w:spacing w:after="0" w:line="196" w:lineRule="exact"/>
              <w:rPr>
                <w:rFonts w:ascii="Arial" w:cs="Arial" w:eastAsia="Arial" w:hAnsi="Arial"/>
                <w:sz w:val="18"/>
                <w:szCs w:val="18"/>
                <w:color w:val="0000EE"/>
              </w:rPr>
            </w:pPr>
            <w:hyperlink r:id="rId256">
              <w:r>
                <w:rPr>
                  <w:rFonts w:ascii="Arial" w:cs="Arial" w:eastAsia="Arial" w:hAnsi="Arial"/>
                  <w:sz w:val="18"/>
                  <w:szCs w:val="18"/>
                  <w:color w:val="0000EE"/>
                </w:rPr>
                <w:t>(incorporated by reference to Exhibit C to Exhibit 4.3 to Form 8-K filed May 7, 2015).</w:t>
              </w:r>
            </w:hyperlink>
          </w:p>
        </w:tc>
      </w:tr>
      <w:tr>
        <w:trPr>
          <w:trHeight w:val="20"/>
        </w:trPr>
        <w:tc>
          <w:tcPr>
            <w:tcW w:w="1500" w:type="dxa"/>
            <w:vAlign w:val="bottom"/>
          </w:tcPr>
          <w:p>
            <w:pPr>
              <w:spacing w:after="0" w:line="20" w:lineRule="exact"/>
              <w:rPr>
                <w:sz w:val="1"/>
                <w:szCs w:val="1"/>
                <w:color w:val="auto"/>
              </w:rPr>
            </w:pPr>
          </w:p>
        </w:tc>
        <w:tc>
          <w:tcPr>
            <w:tcW w:w="5640" w:type="dxa"/>
            <w:vAlign w:val="bottom"/>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4.58</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r:id="rId258">
              <w:r>
                <w:rPr>
                  <w:rFonts w:ascii="Arial" w:cs="Arial" w:eastAsia="Arial" w:hAnsi="Arial"/>
                  <w:sz w:val="18"/>
                  <w:szCs w:val="18"/>
                  <w:color w:val="0000EE"/>
                  <w:w w:val="94"/>
                </w:rPr>
                <w:t xml:space="preserve">Form of Global Note representing </w:t>
              </w:r>
              <w:r>
                <w:rPr>
                  <w:rFonts w:ascii="Arial" w:cs="Arial" w:eastAsia="Arial" w:hAnsi="Arial"/>
                  <w:sz w:val="18"/>
                  <w:szCs w:val="18"/>
                  <w:u w:val="single" w:color="auto"/>
                  <w:color w:val="0000EE"/>
                  <w:w w:val="94"/>
                </w:rPr>
                <w:t>$</w:t>
              </w:r>
              <w:r>
                <w:rPr>
                  <w:rFonts w:ascii="Arial" w:cs="Arial" w:eastAsia="Arial" w:hAnsi="Arial"/>
                  <w:sz w:val="18"/>
                  <w:szCs w:val="18"/>
                  <w:color w:val="0000EE"/>
                  <w:w w:val="94"/>
                </w:rPr>
                <w:t>700 million principal amount of Junior Subordinated Notes D due 2077 with attached Guarantee</w:t>
              </w:r>
            </w:hyperlink>
          </w:p>
        </w:tc>
      </w:tr>
      <w:tr>
        <w:trPr>
          <w:trHeight w:val="196"/>
        </w:trPr>
        <w:tc>
          <w:tcPr>
            <w:tcW w:w="1500" w:type="dxa"/>
            <w:vAlign w:val="bottom"/>
          </w:tcPr>
          <w:p>
            <w:pPr>
              <w:spacing w:after="0"/>
              <w:rPr>
                <w:sz w:val="17"/>
                <w:szCs w:val="17"/>
                <w:color w:val="auto"/>
              </w:rPr>
            </w:pPr>
          </w:p>
        </w:tc>
        <w:tc>
          <w:tcPr>
            <w:tcW w:w="658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258">
              <w:r>
                <w:rPr>
                  <w:rFonts w:ascii="Arial" w:cs="Arial" w:eastAsia="Arial" w:hAnsi="Arial"/>
                  <w:sz w:val="18"/>
                  <w:szCs w:val="18"/>
                  <w:color w:val="0000EE"/>
                  <w:w w:val="93"/>
                </w:rPr>
                <w:t>(incorporated by reference to Exhibit A to Exhibit 4.3 to Form 8-K filed August 16, 2017).</w:t>
              </w:r>
            </w:hyperlink>
          </w:p>
        </w:tc>
        <w:tc>
          <w:tcPr>
            <w:tcW w:w="3340" w:type="dxa"/>
            <w:vAlign w:val="bottom"/>
            <w:gridSpan w:val="3"/>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4.59</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r:id="rId258">
              <w:r>
                <w:rPr>
                  <w:rFonts w:ascii="Arial" w:cs="Arial" w:eastAsia="Arial" w:hAnsi="Arial"/>
                  <w:sz w:val="18"/>
                  <w:szCs w:val="18"/>
                  <w:color w:val="0000EE"/>
                  <w:w w:val="95"/>
                </w:rPr>
                <w:t xml:space="preserve">Form of Global Note representing </w:t>
              </w:r>
              <w:r>
                <w:rPr>
                  <w:rFonts w:ascii="Arial" w:cs="Arial" w:eastAsia="Arial" w:hAnsi="Arial"/>
                  <w:sz w:val="18"/>
                  <w:szCs w:val="18"/>
                  <w:u w:val="single" w:color="auto"/>
                  <w:color w:val="0000EE"/>
                  <w:w w:val="95"/>
                </w:rPr>
                <w:t>$</w:t>
              </w:r>
              <w:r>
                <w:rPr>
                  <w:rFonts w:ascii="Arial" w:cs="Arial" w:eastAsia="Arial" w:hAnsi="Arial"/>
                  <w:sz w:val="18"/>
                  <w:szCs w:val="18"/>
                  <w:color w:val="0000EE"/>
                  <w:w w:val="95"/>
                </w:rPr>
                <w:t>1.0 billion principal amount of Junior Subordinated Notes E due 2077 with attached Guarantee</w:t>
              </w:r>
            </w:hyperlink>
          </w:p>
        </w:tc>
      </w:tr>
      <w:tr>
        <w:trPr>
          <w:trHeight w:val="196"/>
        </w:trPr>
        <w:tc>
          <w:tcPr>
            <w:tcW w:w="1500" w:type="dxa"/>
            <w:vAlign w:val="bottom"/>
          </w:tcPr>
          <w:p>
            <w:pPr>
              <w:spacing w:after="0"/>
              <w:rPr>
                <w:sz w:val="17"/>
                <w:szCs w:val="17"/>
                <w:color w:val="auto"/>
              </w:rPr>
            </w:pPr>
          </w:p>
        </w:tc>
        <w:tc>
          <w:tcPr>
            <w:tcW w:w="9920" w:type="dxa"/>
            <w:vAlign w:val="bottom"/>
            <w:gridSpan w:val="13"/>
          </w:tcPr>
          <w:p>
            <w:pPr>
              <w:spacing w:after="0" w:line="196" w:lineRule="exact"/>
              <w:rPr>
                <w:rFonts w:ascii="Arial" w:cs="Arial" w:eastAsia="Arial" w:hAnsi="Arial"/>
                <w:sz w:val="18"/>
                <w:szCs w:val="18"/>
                <w:color w:val="0000EE"/>
              </w:rPr>
            </w:pPr>
            <w:hyperlink r:id="rId258">
              <w:r>
                <w:rPr>
                  <w:rFonts w:ascii="Arial" w:cs="Arial" w:eastAsia="Arial" w:hAnsi="Arial"/>
                  <w:sz w:val="18"/>
                  <w:szCs w:val="18"/>
                  <w:color w:val="0000EE"/>
                </w:rPr>
                <w:t>(incorporated by reference to Exhibit B to Exhibit 4.3 to Form 8-K filed August 16, 2017).</w:t>
              </w:r>
            </w:hyperlink>
          </w:p>
        </w:tc>
      </w:tr>
      <w:tr>
        <w:trPr>
          <w:trHeight w:val="20"/>
        </w:trPr>
        <w:tc>
          <w:tcPr>
            <w:tcW w:w="1500" w:type="dxa"/>
            <w:vAlign w:val="bottom"/>
          </w:tcPr>
          <w:p>
            <w:pPr>
              <w:spacing w:after="0" w:line="20" w:lineRule="exact"/>
              <w:rPr>
                <w:sz w:val="1"/>
                <w:szCs w:val="1"/>
                <w:color w:val="auto"/>
              </w:rPr>
            </w:pPr>
          </w:p>
        </w:tc>
        <w:tc>
          <w:tcPr>
            <w:tcW w:w="5640" w:type="dxa"/>
            <w:vAlign w:val="bottom"/>
            <w:gridSpan w:val="4"/>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4.60</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rPr>
            </w:pPr>
            <w:hyperlink r:id="rId259">
              <w:r>
                <w:rPr>
                  <w:rFonts w:ascii="Arial" w:cs="Arial" w:eastAsia="Arial" w:hAnsi="Arial"/>
                  <w:sz w:val="18"/>
                  <w:szCs w:val="18"/>
                  <w:color w:val="0000EE"/>
                </w:rPr>
                <w:t xml:space="preserve">Form of Global Note representing </w:t>
              </w:r>
              <w:r>
                <w:rPr>
                  <w:rFonts w:ascii="Arial" w:cs="Arial" w:eastAsia="Arial" w:hAnsi="Arial"/>
                  <w:sz w:val="18"/>
                  <w:szCs w:val="18"/>
                  <w:u w:val="single" w:color="auto"/>
                  <w:color w:val="0000EE"/>
                </w:rPr>
                <w:t>$</w:t>
              </w:r>
              <w:r>
                <w:rPr>
                  <w:rFonts w:ascii="Arial" w:cs="Arial" w:eastAsia="Arial" w:hAnsi="Arial"/>
                  <w:sz w:val="18"/>
                  <w:szCs w:val="18"/>
                  <w:color w:val="0000EE"/>
                </w:rPr>
                <w:t>750.0 million principal amount of 2.80% Senior Notes due 2021 with attached Guarantee</w:t>
              </w:r>
            </w:hyperlink>
          </w:p>
        </w:tc>
      </w:tr>
      <w:tr>
        <w:trPr>
          <w:trHeight w:val="196"/>
        </w:trPr>
        <w:tc>
          <w:tcPr>
            <w:tcW w:w="1500" w:type="dxa"/>
            <w:vAlign w:val="bottom"/>
          </w:tcPr>
          <w:p>
            <w:pPr>
              <w:spacing w:after="0"/>
              <w:rPr>
                <w:sz w:val="17"/>
                <w:szCs w:val="17"/>
                <w:color w:val="auto"/>
              </w:rPr>
            </w:pPr>
          </w:p>
        </w:tc>
        <w:tc>
          <w:tcPr>
            <w:tcW w:w="9920" w:type="dxa"/>
            <w:vAlign w:val="bottom"/>
            <w:gridSpan w:val="13"/>
          </w:tcPr>
          <w:p>
            <w:pPr>
              <w:spacing w:after="0" w:line="196" w:lineRule="exact"/>
              <w:rPr>
                <w:rFonts w:ascii="Arial" w:cs="Arial" w:eastAsia="Arial" w:hAnsi="Arial"/>
                <w:sz w:val="18"/>
                <w:szCs w:val="18"/>
                <w:color w:val="0000EE"/>
              </w:rPr>
            </w:pPr>
            <w:hyperlink r:id="rId259">
              <w:r>
                <w:rPr>
                  <w:rFonts w:ascii="Arial" w:cs="Arial" w:eastAsia="Arial" w:hAnsi="Arial"/>
                  <w:sz w:val="18"/>
                  <w:szCs w:val="18"/>
                  <w:color w:val="0000EE"/>
                </w:rPr>
                <w:t>(incorporated by reference to Exhibit A to Exhibit 4.4 to Form 8-K filed February 15, 2018).</w:t>
              </w:r>
            </w:hyperlink>
          </w:p>
        </w:tc>
      </w:tr>
      <w:tr>
        <w:trPr>
          <w:trHeight w:val="20"/>
        </w:trPr>
        <w:tc>
          <w:tcPr>
            <w:tcW w:w="1500" w:type="dxa"/>
            <w:vAlign w:val="bottom"/>
          </w:tcPr>
          <w:p>
            <w:pPr>
              <w:spacing w:after="0" w:line="20" w:lineRule="exact"/>
              <w:rPr>
                <w:sz w:val="1"/>
                <w:szCs w:val="1"/>
                <w:color w:val="auto"/>
              </w:rPr>
            </w:pPr>
          </w:p>
        </w:tc>
        <w:tc>
          <w:tcPr>
            <w:tcW w:w="5640" w:type="dxa"/>
            <w:vAlign w:val="bottom"/>
            <w:gridSpan w:val="4"/>
            <w:shd w:val="clear" w:color="auto" w:fill="0000EE"/>
          </w:tcPr>
          <w:p>
            <w:pPr>
              <w:spacing w:after="0" w:line="20" w:lineRule="exact"/>
              <w:rPr>
                <w:sz w:val="1"/>
                <w:szCs w:val="1"/>
                <w:color w:val="auto"/>
              </w:rPr>
            </w:pPr>
          </w:p>
        </w:tc>
        <w:tc>
          <w:tcPr>
            <w:tcW w:w="1020" w:type="dxa"/>
            <w:vAlign w:val="bottom"/>
            <w:tcBorders>
              <w:right w:val="single" w:sz="8" w:color="0000EE"/>
            </w:tcBorders>
            <w:gridSpan w:val="7"/>
            <w:shd w:val="clear" w:color="auto" w:fill="0000EE"/>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4.61</w:t>
            </w:r>
          </w:p>
        </w:tc>
        <w:tc>
          <w:tcPr>
            <w:tcW w:w="9920" w:type="dxa"/>
            <w:vAlign w:val="bottom"/>
            <w:gridSpan w:val="13"/>
          </w:tcPr>
          <w:p>
            <w:pPr>
              <w:spacing w:after="0" w:line="196" w:lineRule="exact"/>
              <w:rPr>
                <w:rFonts w:ascii="Arial" w:cs="Arial" w:eastAsia="Arial" w:hAnsi="Arial"/>
                <w:sz w:val="18"/>
                <w:szCs w:val="18"/>
                <w:color w:val="0000EE"/>
                <w:w w:val="91"/>
              </w:rPr>
            </w:pPr>
            <w:hyperlink r:id="rId259">
              <w:r>
                <w:rPr>
                  <w:rFonts w:ascii="Arial" w:cs="Arial" w:eastAsia="Arial" w:hAnsi="Arial"/>
                  <w:sz w:val="18"/>
                  <w:szCs w:val="18"/>
                  <w:color w:val="0000EE"/>
                  <w:w w:val="91"/>
                </w:rPr>
                <w:t xml:space="preserve">Form of Global Note representing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1.25 billion principal amount of 4.25% Senior Notes due 2048 with attached Guarantee (incorporated</w:t>
              </w:r>
            </w:hyperlink>
          </w:p>
        </w:tc>
      </w:tr>
      <w:tr>
        <w:trPr>
          <w:trHeight w:val="196"/>
        </w:trPr>
        <w:tc>
          <w:tcPr>
            <w:tcW w:w="1500" w:type="dxa"/>
            <w:vAlign w:val="bottom"/>
          </w:tcPr>
          <w:p>
            <w:pPr>
              <w:spacing w:after="0"/>
              <w:rPr>
                <w:sz w:val="17"/>
                <w:szCs w:val="17"/>
                <w:color w:val="auto"/>
              </w:rPr>
            </w:pPr>
          </w:p>
        </w:tc>
        <w:tc>
          <w:tcPr>
            <w:tcW w:w="99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259">
              <w:r>
                <w:rPr>
                  <w:rFonts w:ascii="Arial" w:cs="Arial" w:eastAsia="Arial" w:hAnsi="Arial"/>
                  <w:sz w:val="18"/>
                  <w:szCs w:val="18"/>
                  <w:color w:val="0000EE"/>
                </w:rPr>
                <w:t>by reference to Exhibit B to Exhibit 4.4 to Form 8-K filed February 15, 2018).</w:t>
              </w:r>
            </w:hyperlink>
          </w:p>
        </w:tc>
        <w:tc>
          <w:tcPr>
            <w:tcW w:w="20" w:type="dxa"/>
            <w:vAlign w:val="bottom"/>
          </w:tcPr>
          <w:p>
            <w:pPr>
              <w:spacing w:after="0"/>
              <w:rPr>
                <w:sz w:val="17"/>
                <w:szCs w:val="17"/>
                <w:color w:val="auto"/>
              </w:rPr>
            </w:pPr>
          </w:p>
        </w:tc>
      </w:tr>
      <w:tr>
        <w:trPr>
          <w:trHeight w:val="669"/>
        </w:trPr>
        <w:tc>
          <w:tcPr>
            <w:tcW w:w="1500" w:type="dxa"/>
            <w:vAlign w:val="bottom"/>
          </w:tcPr>
          <w:p>
            <w:pPr>
              <w:spacing w:after="0"/>
              <w:rPr>
                <w:sz w:val="24"/>
                <w:szCs w:val="24"/>
                <w:color w:val="auto"/>
              </w:rPr>
            </w:pPr>
          </w:p>
        </w:tc>
        <w:tc>
          <w:tcPr>
            <w:tcW w:w="5460" w:type="dxa"/>
            <w:vAlign w:val="bottom"/>
            <w:tcBorders>
              <w:top w:val="single" w:sz="8" w:color="0000EE"/>
            </w:tcBorders>
          </w:tcPr>
          <w:p>
            <w:pPr>
              <w:ind w:left="4080"/>
              <w:spacing w:after="0"/>
              <w:rPr>
                <w:sz w:val="20"/>
                <w:szCs w:val="20"/>
                <w:color w:val="auto"/>
              </w:rPr>
            </w:pPr>
            <w:r>
              <w:rPr>
                <w:rFonts w:ascii="Arial" w:cs="Arial" w:eastAsia="Arial" w:hAnsi="Arial"/>
                <w:sz w:val="18"/>
                <w:szCs w:val="18"/>
                <w:color w:val="auto"/>
              </w:rPr>
              <w:t>145</w:t>
            </w: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5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47" w:name="page148"/>
    <w:bookmarkEnd w:id="1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jc w:val="right"/>
              <w:ind w:right="1090"/>
              <w:spacing w:after="0"/>
              <w:rPr>
                <w:sz w:val="20"/>
                <w:szCs w:val="20"/>
                <w:color w:val="auto"/>
              </w:rPr>
            </w:pPr>
            <w:r>
              <w:rPr>
                <w:rFonts w:ascii="Arial" w:cs="Arial" w:eastAsia="Arial" w:hAnsi="Arial"/>
                <w:sz w:val="18"/>
                <w:szCs w:val="18"/>
                <w:color w:val="auto"/>
                <w:w w:val="85"/>
              </w:rPr>
              <w:t>4.62</w:t>
            </w:r>
          </w:p>
        </w:tc>
        <w:tc>
          <w:tcPr>
            <w:tcW w:w="9920" w:type="dxa"/>
            <w:vAlign w:val="bottom"/>
            <w:tcBorders>
              <w:bottom w:val="single" w:sz="8" w:color="0000EE"/>
            </w:tcBorders>
            <w:gridSpan w:val="13"/>
          </w:tcPr>
          <w:p>
            <w:pPr>
              <w:spacing w:after="0"/>
              <w:rPr>
                <w:rFonts w:ascii="Arial" w:cs="Arial" w:eastAsia="Arial" w:hAnsi="Arial"/>
                <w:sz w:val="18"/>
                <w:szCs w:val="18"/>
                <w:color w:val="0000EE"/>
                <w:w w:val="95"/>
              </w:rPr>
            </w:pPr>
            <w:hyperlink r:id="rId260">
              <w:r>
                <w:rPr>
                  <w:rFonts w:ascii="Arial" w:cs="Arial" w:eastAsia="Arial" w:hAnsi="Arial"/>
                  <w:sz w:val="18"/>
                  <w:szCs w:val="18"/>
                  <w:color w:val="0000EE"/>
                  <w:w w:val="95"/>
                </w:rPr>
                <w:t xml:space="preserve">Form of Global Note representing </w:t>
              </w:r>
              <w:r>
                <w:rPr>
                  <w:rFonts w:ascii="Arial" w:cs="Arial" w:eastAsia="Arial" w:hAnsi="Arial"/>
                  <w:sz w:val="18"/>
                  <w:szCs w:val="18"/>
                  <w:u w:val="single" w:color="auto"/>
                  <w:color w:val="0000EE"/>
                  <w:w w:val="95"/>
                </w:rPr>
                <w:t>$</w:t>
              </w:r>
              <w:r>
                <w:rPr>
                  <w:rFonts w:ascii="Arial" w:cs="Arial" w:eastAsia="Arial" w:hAnsi="Arial"/>
                  <w:sz w:val="18"/>
                  <w:szCs w:val="18"/>
                  <w:color w:val="0000EE"/>
                  <w:w w:val="95"/>
                </w:rPr>
                <w:t>700 million principal amount of Junior Subordinated Notes F due 2078 with attached Guarantee</w:t>
              </w:r>
            </w:hyperlink>
          </w:p>
        </w:tc>
      </w:tr>
      <w:tr>
        <w:trPr>
          <w:trHeight w:val="196"/>
        </w:trPr>
        <w:tc>
          <w:tcPr>
            <w:tcW w:w="1500" w:type="dxa"/>
            <w:vAlign w:val="bottom"/>
          </w:tcPr>
          <w:p>
            <w:pPr>
              <w:spacing w:after="0"/>
              <w:rPr>
                <w:sz w:val="17"/>
                <w:szCs w:val="17"/>
                <w:color w:val="auto"/>
              </w:rPr>
            </w:pPr>
          </w:p>
        </w:tc>
        <w:tc>
          <w:tcPr>
            <w:tcW w:w="9920" w:type="dxa"/>
            <w:vAlign w:val="bottom"/>
            <w:gridSpan w:val="13"/>
          </w:tcPr>
          <w:p>
            <w:pPr>
              <w:spacing w:after="0" w:line="196" w:lineRule="exact"/>
              <w:rPr>
                <w:rFonts w:ascii="Arial" w:cs="Arial" w:eastAsia="Arial" w:hAnsi="Arial"/>
                <w:sz w:val="18"/>
                <w:szCs w:val="18"/>
                <w:color w:val="0000EE"/>
              </w:rPr>
            </w:pPr>
            <w:hyperlink r:id="rId260">
              <w:r>
                <w:rPr>
                  <w:rFonts w:ascii="Arial" w:cs="Arial" w:eastAsia="Arial" w:hAnsi="Arial"/>
                  <w:sz w:val="18"/>
                  <w:szCs w:val="18"/>
                  <w:color w:val="0000EE"/>
                </w:rPr>
                <w:t>(incorporated by reference to Exhibit A to Exhibit 4.3 to Form 8-K filed February 15, 2018).</w:t>
              </w:r>
            </w:hyperlink>
          </w:p>
        </w:tc>
      </w:tr>
      <w:tr>
        <w:trPr>
          <w:trHeight w:val="20"/>
        </w:trPr>
        <w:tc>
          <w:tcPr>
            <w:tcW w:w="15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4.63</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rPr>
            </w:pPr>
            <w:hyperlink r:id="rId262">
              <w:r>
                <w:rPr>
                  <w:rFonts w:ascii="Arial" w:cs="Arial" w:eastAsia="Arial" w:hAnsi="Arial"/>
                  <w:sz w:val="18"/>
                  <w:szCs w:val="18"/>
                  <w:color w:val="0000EE"/>
                </w:rPr>
                <w:t xml:space="preserve">Form of Global Note representing </w:t>
              </w:r>
              <w:r>
                <w:rPr>
                  <w:rFonts w:ascii="Arial" w:cs="Arial" w:eastAsia="Arial" w:hAnsi="Arial"/>
                  <w:sz w:val="18"/>
                  <w:szCs w:val="18"/>
                  <w:u w:val="single" w:color="auto"/>
                  <w:color w:val="0000EE"/>
                </w:rPr>
                <w:t>$</w:t>
              </w:r>
              <w:r>
                <w:rPr>
                  <w:rFonts w:ascii="Arial" w:cs="Arial" w:eastAsia="Arial" w:hAnsi="Arial"/>
                  <w:sz w:val="18"/>
                  <w:szCs w:val="18"/>
                  <w:color w:val="0000EE"/>
                </w:rPr>
                <w:t>750.0 million principal amount of 3.50% Senior Notes due 2022 with attached Guarantee</w:t>
              </w:r>
            </w:hyperlink>
          </w:p>
        </w:tc>
      </w:tr>
      <w:tr>
        <w:trPr>
          <w:trHeight w:val="196"/>
        </w:trPr>
        <w:tc>
          <w:tcPr>
            <w:tcW w:w="1500" w:type="dxa"/>
            <w:vAlign w:val="bottom"/>
          </w:tcPr>
          <w:p>
            <w:pPr>
              <w:spacing w:after="0"/>
              <w:rPr>
                <w:sz w:val="17"/>
                <w:szCs w:val="17"/>
                <w:color w:val="auto"/>
              </w:rPr>
            </w:pPr>
          </w:p>
        </w:tc>
        <w:tc>
          <w:tcPr>
            <w:tcW w:w="66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262">
              <w:r>
                <w:rPr>
                  <w:rFonts w:ascii="Arial" w:cs="Arial" w:eastAsia="Arial" w:hAnsi="Arial"/>
                  <w:sz w:val="18"/>
                  <w:szCs w:val="18"/>
                  <w:color w:val="0000EE"/>
                  <w:w w:val="93"/>
                </w:rPr>
                <w:t>(incorporated by reference to Exhibit A to Exhibit 4.3 to Form 8-K filed October 11, 2018).</w:t>
              </w:r>
            </w:hyperlink>
          </w:p>
        </w:tc>
        <w:tc>
          <w:tcPr>
            <w:tcW w:w="3260" w:type="dxa"/>
            <w:vAlign w:val="bottom"/>
            <w:gridSpan w:val="3"/>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4.64</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8"/>
              </w:rPr>
            </w:pPr>
            <w:hyperlink r:id="rId262">
              <w:r>
                <w:rPr>
                  <w:rFonts w:ascii="Arial" w:cs="Arial" w:eastAsia="Arial" w:hAnsi="Arial"/>
                  <w:sz w:val="18"/>
                  <w:szCs w:val="18"/>
                  <w:color w:val="0000EE"/>
                  <w:w w:val="98"/>
                </w:rPr>
                <w:t xml:space="preserve">Form of Global Note representing </w:t>
              </w:r>
              <w:r>
                <w:rPr>
                  <w:rFonts w:ascii="Arial" w:cs="Arial" w:eastAsia="Arial" w:hAnsi="Arial"/>
                  <w:sz w:val="18"/>
                  <w:szCs w:val="18"/>
                  <w:u w:val="single" w:color="auto"/>
                  <w:color w:val="0000EE"/>
                  <w:w w:val="98"/>
                </w:rPr>
                <w:t>$</w:t>
              </w:r>
              <w:r>
                <w:rPr>
                  <w:rFonts w:ascii="Arial" w:cs="Arial" w:eastAsia="Arial" w:hAnsi="Arial"/>
                  <w:sz w:val="18"/>
                  <w:szCs w:val="18"/>
                  <w:color w:val="0000EE"/>
                  <w:w w:val="98"/>
                </w:rPr>
                <w:t>1,000.0 million principal amount of 4.15% Senior Notes due 2028 with attached Guarantee</w:t>
              </w:r>
            </w:hyperlink>
          </w:p>
        </w:tc>
      </w:tr>
      <w:tr>
        <w:trPr>
          <w:trHeight w:val="196"/>
        </w:trPr>
        <w:tc>
          <w:tcPr>
            <w:tcW w:w="1500" w:type="dxa"/>
            <w:vAlign w:val="bottom"/>
          </w:tcPr>
          <w:p>
            <w:pPr>
              <w:spacing w:after="0"/>
              <w:rPr>
                <w:sz w:val="17"/>
                <w:szCs w:val="17"/>
                <w:color w:val="auto"/>
              </w:rPr>
            </w:pPr>
          </w:p>
        </w:tc>
        <w:tc>
          <w:tcPr>
            <w:tcW w:w="66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262">
              <w:r>
                <w:rPr>
                  <w:rFonts w:ascii="Arial" w:cs="Arial" w:eastAsia="Arial" w:hAnsi="Arial"/>
                  <w:sz w:val="18"/>
                  <w:szCs w:val="18"/>
                  <w:color w:val="0000EE"/>
                  <w:w w:val="92"/>
                </w:rPr>
                <w:t>(incorporated by reference to Exhibit B to Exhibit 4.3 to Form 8-K filed October 11, 2018).</w:t>
              </w:r>
            </w:hyperlink>
          </w:p>
        </w:tc>
        <w:tc>
          <w:tcPr>
            <w:tcW w:w="3320" w:type="dxa"/>
            <w:vAlign w:val="bottom"/>
            <w:gridSpan w:val="4"/>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4.65</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8"/>
              </w:rPr>
            </w:pPr>
            <w:hyperlink r:id="rId262">
              <w:r>
                <w:rPr>
                  <w:rFonts w:ascii="Arial" w:cs="Arial" w:eastAsia="Arial" w:hAnsi="Arial"/>
                  <w:sz w:val="18"/>
                  <w:szCs w:val="18"/>
                  <w:color w:val="0000EE"/>
                  <w:w w:val="98"/>
                </w:rPr>
                <w:t xml:space="preserve">Form of Global Note representing </w:t>
              </w:r>
              <w:r>
                <w:rPr>
                  <w:rFonts w:ascii="Arial" w:cs="Arial" w:eastAsia="Arial" w:hAnsi="Arial"/>
                  <w:sz w:val="18"/>
                  <w:szCs w:val="18"/>
                  <w:u w:val="single" w:color="auto"/>
                  <w:color w:val="0000EE"/>
                  <w:w w:val="98"/>
                </w:rPr>
                <w:t>$</w:t>
              </w:r>
              <w:r>
                <w:rPr>
                  <w:rFonts w:ascii="Arial" w:cs="Arial" w:eastAsia="Arial" w:hAnsi="Arial"/>
                  <w:sz w:val="18"/>
                  <w:szCs w:val="18"/>
                  <w:color w:val="0000EE"/>
                  <w:w w:val="98"/>
                </w:rPr>
                <w:t>1,250.0 million principal amount of 4.80% Senior Notes due 2049 with attached Guarantee</w:t>
              </w:r>
            </w:hyperlink>
          </w:p>
        </w:tc>
      </w:tr>
      <w:tr>
        <w:trPr>
          <w:trHeight w:val="196"/>
        </w:trPr>
        <w:tc>
          <w:tcPr>
            <w:tcW w:w="1500" w:type="dxa"/>
            <w:vAlign w:val="bottom"/>
          </w:tcPr>
          <w:p>
            <w:pPr>
              <w:spacing w:after="0"/>
              <w:rPr>
                <w:sz w:val="17"/>
                <w:szCs w:val="17"/>
                <w:color w:val="auto"/>
              </w:rPr>
            </w:pPr>
          </w:p>
        </w:tc>
        <w:tc>
          <w:tcPr>
            <w:tcW w:w="66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262">
              <w:r>
                <w:rPr>
                  <w:rFonts w:ascii="Arial" w:cs="Arial" w:eastAsia="Arial" w:hAnsi="Arial"/>
                  <w:sz w:val="18"/>
                  <w:szCs w:val="18"/>
                  <w:color w:val="0000EE"/>
                  <w:w w:val="92"/>
                </w:rPr>
                <w:t>(incorporated by reference to Exhibit C to Exhibit 4.3 to Form 8-K filed October 11, 2018).</w:t>
              </w:r>
            </w:hyperlink>
          </w:p>
        </w:tc>
        <w:tc>
          <w:tcPr>
            <w:tcW w:w="3320" w:type="dxa"/>
            <w:vAlign w:val="bottom"/>
            <w:gridSpan w:val="4"/>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4.66</w:t>
            </w:r>
          </w:p>
        </w:tc>
        <w:tc>
          <w:tcPr>
            <w:tcW w:w="9920" w:type="dxa"/>
            <w:vAlign w:val="bottom"/>
            <w:gridSpan w:val="13"/>
          </w:tcPr>
          <w:p>
            <w:pPr>
              <w:spacing w:after="0" w:line="196" w:lineRule="exact"/>
              <w:rPr>
                <w:rFonts w:ascii="Arial" w:cs="Arial" w:eastAsia="Arial" w:hAnsi="Arial"/>
                <w:sz w:val="18"/>
                <w:szCs w:val="18"/>
                <w:color w:val="0000EE"/>
                <w:w w:val="97"/>
              </w:rPr>
            </w:pPr>
            <w:hyperlink r:id="rId263">
              <w:r>
                <w:rPr>
                  <w:rFonts w:ascii="Arial" w:cs="Arial" w:eastAsia="Arial" w:hAnsi="Arial"/>
                  <w:sz w:val="18"/>
                  <w:szCs w:val="18"/>
                  <w:color w:val="0000EE"/>
                  <w:w w:val="97"/>
                </w:rPr>
                <w:t xml:space="preserve">Form of Global Note representing </w:t>
              </w:r>
              <w:r>
                <w:rPr>
                  <w:rFonts w:ascii="Arial" w:cs="Arial" w:eastAsia="Arial" w:hAnsi="Arial"/>
                  <w:sz w:val="18"/>
                  <w:szCs w:val="18"/>
                  <w:u w:val="single" w:color="auto"/>
                  <w:color w:val="0000EE"/>
                  <w:w w:val="97"/>
                </w:rPr>
                <w:t>$</w:t>
              </w:r>
              <w:r>
                <w:rPr>
                  <w:rFonts w:ascii="Arial" w:cs="Arial" w:eastAsia="Arial" w:hAnsi="Arial"/>
                  <w:sz w:val="18"/>
                  <w:szCs w:val="18"/>
                  <w:color w:val="0000EE"/>
                  <w:w w:val="97"/>
                </w:rPr>
                <w:t>1,250.0 million principal amount of 3.125% Senior Notes due 2029 with attached Guarantee</w:t>
              </w:r>
            </w:hyperlink>
          </w:p>
        </w:tc>
      </w:tr>
      <w:tr>
        <w:trPr>
          <w:trHeight w:val="196"/>
        </w:trPr>
        <w:tc>
          <w:tcPr>
            <w:tcW w:w="1500" w:type="dxa"/>
            <w:vAlign w:val="bottom"/>
          </w:tcPr>
          <w:p>
            <w:pPr>
              <w:spacing w:after="0"/>
              <w:rPr>
                <w:sz w:val="17"/>
                <w:szCs w:val="17"/>
                <w:color w:val="auto"/>
              </w:rPr>
            </w:pPr>
          </w:p>
        </w:tc>
        <w:tc>
          <w:tcPr>
            <w:tcW w:w="62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r:id="rId263">
              <w:r>
                <w:rPr>
                  <w:rFonts w:ascii="Arial" w:cs="Arial" w:eastAsia="Arial" w:hAnsi="Arial"/>
                  <w:sz w:val="18"/>
                  <w:szCs w:val="18"/>
                  <w:color w:val="0000EE"/>
                  <w:w w:val="93"/>
                </w:rPr>
                <w:t>(incorporated by reference to Exhibit A to Exhibit 4.3 to Form 8-K filed July 8, 2019).</w:t>
              </w:r>
            </w:hyperlink>
          </w:p>
        </w:tc>
        <w:tc>
          <w:tcPr>
            <w:tcW w:w="36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4.67</w:t>
            </w:r>
          </w:p>
        </w:tc>
        <w:tc>
          <w:tcPr>
            <w:tcW w:w="9920" w:type="dxa"/>
            <w:vAlign w:val="bottom"/>
            <w:gridSpan w:val="13"/>
          </w:tcPr>
          <w:p>
            <w:pPr>
              <w:spacing w:after="0" w:line="196" w:lineRule="exact"/>
              <w:rPr>
                <w:rFonts w:ascii="Arial" w:cs="Arial" w:eastAsia="Arial" w:hAnsi="Arial"/>
                <w:sz w:val="18"/>
                <w:szCs w:val="18"/>
                <w:color w:val="0000EE"/>
                <w:w w:val="97"/>
              </w:rPr>
            </w:pPr>
            <w:hyperlink r:id="rId263">
              <w:r>
                <w:rPr>
                  <w:rFonts w:ascii="Arial" w:cs="Arial" w:eastAsia="Arial" w:hAnsi="Arial"/>
                  <w:sz w:val="18"/>
                  <w:szCs w:val="18"/>
                  <w:color w:val="0000EE"/>
                  <w:w w:val="97"/>
                </w:rPr>
                <w:t xml:space="preserve">Form of Global Note representing </w:t>
              </w:r>
              <w:r>
                <w:rPr>
                  <w:rFonts w:ascii="Arial" w:cs="Arial" w:eastAsia="Arial" w:hAnsi="Arial"/>
                  <w:sz w:val="18"/>
                  <w:szCs w:val="18"/>
                  <w:u w:val="single" w:color="auto"/>
                  <w:color w:val="0000EE"/>
                  <w:w w:val="97"/>
                </w:rPr>
                <w:t>$</w:t>
              </w:r>
              <w:r>
                <w:rPr>
                  <w:rFonts w:ascii="Arial" w:cs="Arial" w:eastAsia="Arial" w:hAnsi="Arial"/>
                  <w:sz w:val="18"/>
                  <w:szCs w:val="18"/>
                  <w:color w:val="0000EE"/>
                  <w:w w:val="97"/>
                </w:rPr>
                <w:t>1,250.0 million principal amount of 4.200% Senior Notes due 2050 with attached Guarantee</w:t>
              </w:r>
            </w:hyperlink>
          </w:p>
        </w:tc>
      </w:tr>
      <w:tr>
        <w:trPr>
          <w:trHeight w:val="196"/>
        </w:trPr>
        <w:tc>
          <w:tcPr>
            <w:tcW w:w="1500" w:type="dxa"/>
            <w:vAlign w:val="bottom"/>
          </w:tcPr>
          <w:p>
            <w:pPr>
              <w:spacing w:after="0"/>
              <w:rPr>
                <w:sz w:val="17"/>
                <w:szCs w:val="17"/>
                <w:color w:val="auto"/>
              </w:rPr>
            </w:pPr>
          </w:p>
        </w:tc>
        <w:tc>
          <w:tcPr>
            <w:tcW w:w="62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263">
              <w:r>
                <w:rPr>
                  <w:rFonts w:ascii="Arial" w:cs="Arial" w:eastAsia="Arial" w:hAnsi="Arial"/>
                  <w:sz w:val="18"/>
                  <w:szCs w:val="18"/>
                  <w:color w:val="0000EE"/>
                  <w:w w:val="92"/>
                </w:rPr>
                <w:t>(incorporated by reference to Exhibit B to Exhibit 4.3 to Form 8-K filed July 8, 2019).</w:t>
              </w:r>
            </w:hyperlink>
          </w:p>
        </w:tc>
        <w:tc>
          <w:tcPr>
            <w:tcW w:w="368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4.68</w:t>
            </w:r>
          </w:p>
        </w:tc>
        <w:tc>
          <w:tcPr>
            <w:tcW w:w="9920" w:type="dxa"/>
            <w:vAlign w:val="bottom"/>
            <w:gridSpan w:val="13"/>
          </w:tcPr>
          <w:p>
            <w:pPr>
              <w:spacing w:after="0" w:line="196" w:lineRule="exact"/>
              <w:rPr>
                <w:rFonts w:ascii="Arial" w:cs="Arial" w:eastAsia="Arial" w:hAnsi="Arial"/>
                <w:sz w:val="18"/>
                <w:szCs w:val="18"/>
                <w:color w:val="0000EE"/>
                <w:w w:val="97"/>
              </w:rPr>
            </w:pPr>
            <w:hyperlink r:id="rId264">
              <w:r>
                <w:rPr>
                  <w:rFonts w:ascii="Arial" w:cs="Arial" w:eastAsia="Arial" w:hAnsi="Arial"/>
                  <w:sz w:val="18"/>
                  <w:szCs w:val="18"/>
                  <w:color w:val="0000EE"/>
                  <w:w w:val="97"/>
                </w:rPr>
                <w:t xml:space="preserve">Form of Global Note representing </w:t>
              </w:r>
              <w:r>
                <w:rPr>
                  <w:rFonts w:ascii="Arial" w:cs="Arial" w:eastAsia="Arial" w:hAnsi="Arial"/>
                  <w:sz w:val="18"/>
                  <w:szCs w:val="18"/>
                  <w:u w:val="single" w:color="auto"/>
                  <w:color w:val="0000EE"/>
                  <w:w w:val="97"/>
                </w:rPr>
                <w:t>$</w:t>
              </w:r>
              <w:r>
                <w:rPr>
                  <w:rFonts w:ascii="Arial" w:cs="Arial" w:eastAsia="Arial" w:hAnsi="Arial"/>
                  <w:sz w:val="18"/>
                  <w:szCs w:val="18"/>
                  <w:color w:val="0000EE"/>
                  <w:w w:val="97"/>
                </w:rPr>
                <w:t>1,000.0 million principal amount of 2.800% Senior Notes due 2030 with attached Guarantee</w:t>
              </w:r>
            </w:hyperlink>
          </w:p>
        </w:tc>
      </w:tr>
      <w:tr>
        <w:trPr>
          <w:trHeight w:val="196"/>
        </w:trPr>
        <w:tc>
          <w:tcPr>
            <w:tcW w:w="1500" w:type="dxa"/>
            <w:vAlign w:val="bottom"/>
          </w:tcPr>
          <w:p>
            <w:pPr>
              <w:spacing w:after="0"/>
              <w:rPr>
                <w:sz w:val="17"/>
                <w:szCs w:val="17"/>
                <w:color w:val="auto"/>
              </w:rPr>
            </w:pPr>
          </w:p>
        </w:tc>
        <w:tc>
          <w:tcPr>
            <w:tcW w:w="65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264">
              <w:r>
                <w:rPr>
                  <w:rFonts w:ascii="Arial" w:cs="Arial" w:eastAsia="Arial" w:hAnsi="Arial"/>
                  <w:sz w:val="18"/>
                  <w:szCs w:val="18"/>
                  <w:color w:val="0000EE"/>
                  <w:w w:val="92"/>
                </w:rPr>
                <w:t>(incorporated by reference to Exhibit A to Exhibit 4.3 to Form 8-K filed January 15, 2020).</w:t>
              </w:r>
            </w:hyperlink>
          </w:p>
        </w:tc>
        <w:tc>
          <w:tcPr>
            <w:tcW w:w="332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4.69</w:t>
            </w:r>
          </w:p>
        </w:tc>
        <w:tc>
          <w:tcPr>
            <w:tcW w:w="9920" w:type="dxa"/>
            <w:vAlign w:val="bottom"/>
            <w:gridSpan w:val="13"/>
          </w:tcPr>
          <w:p>
            <w:pPr>
              <w:spacing w:after="0" w:line="196" w:lineRule="exact"/>
              <w:rPr>
                <w:rFonts w:ascii="Arial" w:cs="Arial" w:eastAsia="Arial" w:hAnsi="Arial"/>
                <w:sz w:val="18"/>
                <w:szCs w:val="18"/>
                <w:color w:val="0000EE"/>
                <w:w w:val="97"/>
              </w:rPr>
            </w:pPr>
            <w:hyperlink r:id="rId264">
              <w:r>
                <w:rPr>
                  <w:rFonts w:ascii="Arial" w:cs="Arial" w:eastAsia="Arial" w:hAnsi="Arial"/>
                  <w:sz w:val="18"/>
                  <w:szCs w:val="18"/>
                  <w:color w:val="0000EE"/>
                  <w:w w:val="97"/>
                </w:rPr>
                <w:t xml:space="preserve">Form of Global Note representing </w:t>
              </w:r>
              <w:r>
                <w:rPr>
                  <w:rFonts w:ascii="Arial" w:cs="Arial" w:eastAsia="Arial" w:hAnsi="Arial"/>
                  <w:sz w:val="18"/>
                  <w:szCs w:val="18"/>
                  <w:u w:val="single" w:color="auto"/>
                  <w:color w:val="0000EE"/>
                  <w:w w:val="97"/>
                </w:rPr>
                <w:t>$</w:t>
              </w:r>
              <w:r>
                <w:rPr>
                  <w:rFonts w:ascii="Arial" w:cs="Arial" w:eastAsia="Arial" w:hAnsi="Arial"/>
                  <w:sz w:val="18"/>
                  <w:szCs w:val="18"/>
                  <w:color w:val="0000EE"/>
                  <w:w w:val="97"/>
                </w:rPr>
                <w:t>1,000.0 million principal amount of 3.700% Senior Notes due 2051 with attached Guarantee</w:t>
              </w:r>
            </w:hyperlink>
          </w:p>
        </w:tc>
      </w:tr>
      <w:tr>
        <w:trPr>
          <w:trHeight w:val="196"/>
        </w:trPr>
        <w:tc>
          <w:tcPr>
            <w:tcW w:w="1500" w:type="dxa"/>
            <w:vAlign w:val="bottom"/>
          </w:tcPr>
          <w:p>
            <w:pPr>
              <w:spacing w:after="0"/>
              <w:rPr>
                <w:sz w:val="17"/>
                <w:szCs w:val="17"/>
                <w:color w:val="auto"/>
              </w:rPr>
            </w:pPr>
          </w:p>
        </w:tc>
        <w:tc>
          <w:tcPr>
            <w:tcW w:w="99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264">
              <w:r>
                <w:rPr>
                  <w:rFonts w:ascii="Arial" w:cs="Arial" w:eastAsia="Arial" w:hAnsi="Arial"/>
                  <w:sz w:val="18"/>
                  <w:szCs w:val="18"/>
                  <w:color w:val="0000EE"/>
                </w:rPr>
                <w:t>(incorporated by reference to Exhibit B to Exhibit 4.3 to Form 8-K filed January 15, 2020).</w:t>
              </w:r>
            </w:hyperlink>
          </w:p>
        </w:tc>
        <w:tc>
          <w:tcPr>
            <w:tcW w:w="2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4.70</w:t>
            </w:r>
          </w:p>
        </w:tc>
        <w:tc>
          <w:tcPr>
            <w:tcW w:w="9920" w:type="dxa"/>
            <w:vAlign w:val="bottom"/>
            <w:gridSpan w:val="13"/>
          </w:tcPr>
          <w:p>
            <w:pPr>
              <w:spacing w:after="0" w:line="196" w:lineRule="exact"/>
              <w:rPr>
                <w:rFonts w:ascii="Arial" w:cs="Arial" w:eastAsia="Arial" w:hAnsi="Arial"/>
                <w:sz w:val="18"/>
                <w:szCs w:val="18"/>
                <w:color w:val="0000EE"/>
                <w:w w:val="97"/>
              </w:rPr>
            </w:pPr>
            <w:hyperlink r:id="rId264">
              <w:r>
                <w:rPr>
                  <w:rFonts w:ascii="Arial" w:cs="Arial" w:eastAsia="Arial" w:hAnsi="Arial"/>
                  <w:sz w:val="18"/>
                  <w:szCs w:val="18"/>
                  <w:color w:val="0000EE"/>
                  <w:w w:val="97"/>
                </w:rPr>
                <w:t xml:space="preserve">Form of Global Note representing </w:t>
              </w:r>
              <w:r>
                <w:rPr>
                  <w:rFonts w:ascii="Arial" w:cs="Arial" w:eastAsia="Arial" w:hAnsi="Arial"/>
                  <w:sz w:val="18"/>
                  <w:szCs w:val="18"/>
                  <w:u w:val="single" w:color="auto"/>
                  <w:color w:val="0000EE"/>
                  <w:w w:val="97"/>
                </w:rPr>
                <w:t>$</w:t>
              </w:r>
              <w:r>
                <w:rPr>
                  <w:rFonts w:ascii="Arial" w:cs="Arial" w:eastAsia="Arial" w:hAnsi="Arial"/>
                  <w:sz w:val="18"/>
                  <w:szCs w:val="18"/>
                  <w:color w:val="0000EE"/>
                  <w:w w:val="97"/>
                </w:rPr>
                <w:t>1,000.0 million principal amount of 3.950% Senior Notes due 2060 with attached Guarantee</w:t>
              </w:r>
            </w:hyperlink>
          </w:p>
        </w:tc>
      </w:tr>
      <w:tr>
        <w:trPr>
          <w:trHeight w:val="196"/>
        </w:trPr>
        <w:tc>
          <w:tcPr>
            <w:tcW w:w="1500" w:type="dxa"/>
            <w:vAlign w:val="bottom"/>
          </w:tcPr>
          <w:p>
            <w:pPr>
              <w:spacing w:after="0"/>
              <w:rPr>
                <w:sz w:val="17"/>
                <w:szCs w:val="17"/>
                <w:color w:val="auto"/>
              </w:rPr>
            </w:pPr>
          </w:p>
        </w:tc>
        <w:tc>
          <w:tcPr>
            <w:tcW w:w="99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264">
              <w:r>
                <w:rPr>
                  <w:rFonts w:ascii="Arial" w:cs="Arial" w:eastAsia="Arial" w:hAnsi="Arial"/>
                  <w:sz w:val="18"/>
                  <w:szCs w:val="18"/>
                  <w:color w:val="0000EE"/>
                </w:rPr>
                <w:t>(incorporated by reference to Exhibit C to Exhibit 4.3 to Form 8-K filed January 15, 2020).</w:t>
              </w:r>
            </w:hyperlink>
          </w:p>
        </w:tc>
        <w:tc>
          <w:tcPr>
            <w:tcW w:w="2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4.71</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r:id="rId267">
              <w:r>
                <w:rPr>
                  <w:rFonts w:ascii="Arial" w:cs="Arial" w:eastAsia="Arial" w:hAnsi="Arial"/>
                  <w:sz w:val="18"/>
                  <w:szCs w:val="18"/>
                  <w:color w:val="0000EE"/>
                  <w:w w:val="95"/>
                </w:rPr>
                <w:t>Replacement Capital Covenant, dated October 27, 2009, executed by Enterprise Products Operating LLC and Enterprise Products</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267">
              <w:r>
                <w:rPr>
                  <w:rFonts w:ascii="Arial" w:cs="Arial" w:eastAsia="Arial" w:hAnsi="Arial"/>
                  <w:sz w:val="18"/>
                  <w:szCs w:val="18"/>
                  <w:color w:val="0000EE"/>
                  <w:w w:val="93"/>
                </w:rPr>
                <w:t>Partners L.P. in favor of the covered debtholders described therein (incorporated by reference to Exhibit 4.9 to Form 8-K filed October</w:t>
              </w:r>
            </w:hyperlink>
          </w:p>
        </w:tc>
      </w:tr>
      <w:tr>
        <w:trPr>
          <w:trHeight w:val="196"/>
        </w:trPr>
        <w:tc>
          <w:tcPr>
            <w:tcW w:w="150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267">
              <w:r>
                <w:rPr>
                  <w:rFonts w:ascii="Arial" w:cs="Arial" w:eastAsia="Arial" w:hAnsi="Arial"/>
                  <w:sz w:val="18"/>
                  <w:szCs w:val="18"/>
                  <w:color w:val="0000EE"/>
                  <w:w w:val="86"/>
                </w:rPr>
                <w:t>28, 2009).</w:t>
              </w:r>
            </w:hyperlink>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4.72</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268">
              <w:r>
                <w:rPr>
                  <w:rFonts w:ascii="Arial" w:cs="Arial" w:eastAsia="Arial" w:hAnsi="Arial"/>
                  <w:sz w:val="18"/>
                  <w:szCs w:val="18"/>
                  <w:color w:val="0000EE"/>
                  <w:w w:val="93"/>
                </w:rPr>
                <w:t>Amendment to Replacement Capital Covenants, dated May 6, 2015, executed by Enterprise Products Operating LLC and Enterprise</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68">
              <w:r>
                <w:rPr>
                  <w:rFonts w:ascii="Arial" w:cs="Arial" w:eastAsia="Arial" w:hAnsi="Arial"/>
                  <w:sz w:val="18"/>
                  <w:szCs w:val="18"/>
                  <w:color w:val="0000EE"/>
                  <w:w w:val="90"/>
                </w:rPr>
                <w:t>Products Partners L.P. in favor of the covered debtholders described therein (incorporated by reference to Exhibit 4.59 to Form 10-Q filed</w:t>
              </w:r>
            </w:hyperlink>
          </w:p>
        </w:tc>
      </w:tr>
      <w:tr>
        <w:trPr>
          <w:trHeight w:val="196"/>
        </w:trPr>
        <w:tc>
          <w:tcPr>
            <w:tcW w:w="1500" w:type="dxa"/>
            <w:vAlign w:val="bottom"/>
          </w:tcPr>
          <w:p>
            <w:pPr>
              <w:spacing w:after="0"/>
              <w:rPr>
                <w:sz w:val="17"/>
                <w:szCs w:val="17"/>
                <w:color w:val="auto"/>
              </w:rPr>
            </w:pPr>
          </w:p>
        </w:tc>
        <w:tc>
          <w:tcPr>
            <w:tcW w:w="10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268">
              <w:r>
                <w:rPr>
                  <w:rFonts w:ascii="Arial" w:cs="Arial" w:eastAsia="Arial" w:hAnsi="Arial"/>
                  <w:sz w:val="18"/>
                  <w:szCs w:val="18"/>
                  <w:color w:val="0000EE"/>
                  <w:w w:val="90"/>
                </w:rPr>
                <w:t>May 8, 2015).</w:t>
              </w:r>
            </w:hyperlink>
          </w:p>
        </w:tc>
        <w:tc>
          <w:tcPr>
            <w:tcW w:w="8900" w:type="dxa"/>
            <w:vAlign w:val="bottom"/>
            <w:gridSpan w:val="11"/>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4.73</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r:id="rId269">
              <w:r>
                <w:rPr>
                  <w:rFonts w:ascii="Arial" w:cs="Arial" w:eastAsia="Arial" w:hAnsi="Arial"/>
                  <w:sz w:val="18"/>
                  <w:szCs w:val="18"/>
                  <w:color w:val="0000EE"/>
                  <w:w w:val="97"/>
                </w:rPr>
                <w:t>Indenture, dated February 20, 2002, by and among TEPPCO Partners, L.P., as Issuer, TE Products Pipeline Company, Limited</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69">
              <w:r>
                <w:rPr>
                  <w:rFonts w:ascii="Arial" w:cs="Arial" w:eastAsia="Arial" w:hAnsi="Arial"/>
                  <w:sz w:val="18"/>
                  <w:szCs w:val="18"/>
                  <w:color w:val="0000EE"/>
                  <w:w w:val="90"/>
                </w:rPr>
                <w:t>Partnership, TCTM, L.P., TEPPCO Midstream Companies, L.P. and Jonah Gas Gathering Company, as Subsidiary Guarantors, and First</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r:id="rId269">
              <w:r>
                <w:rPr>
                  <w:rFonts w:ascii="Arial" w:cs="Arial" w:eastAsia="Arial" w:hAnsi="Arial"/>
                  <w:sz w:val="18"/>
                  <w:szCs w:val="18"/>
                  <w:color w:val="0000EE"/>
                  <w:w w:val="95"/>
                </w:rPr>
                <w:t>Union National Bank, NA, as Trustee (incorporated by reference to Exhibit 99.2 to the Form 8-K filed by TEPPCO Partners, L.P. on</w:t>
              </w:r>
            </w:hyperlink>
          </w:p>
        </w:tc>
      </w:tr>
      <w:tr>
        <w:trPr>
          <w:trHeight w:val="196"/>
        </w:trPr>
        <w:tc>
          <w:tcPr>
            <w:tcW w:w="1500" w:type="dxa"/>
            <w:vAlign w:val="bottom"/>
          </w:tcPr>
          <w:p>
            <w:pPr>
              <w:spacing w:after="0"/>
              <w:rPr>
                <w:sz w:val="17"/>
                <w:szCs w:val="17"/>
                <w:color w:val="auto"/>
              </w:rPr>
            </w:pPr>
          </w:p>
        </w:tc>
        <w:tc>
          <w:tcPr>
            <w:tcW w:w="9920" w:type="dxa"/>
            <w:vAlign w:val="bottom"/>
            <w:gridSpan w:val="13"/>
          </w:tcPr>
          <w:p>
            <w:pPr>
              <w:spacing w:after="0" w:line="196" w:lineRule="exact"/>
              <w:rPr>
                <w:rFonts w:ascii="Arial" w:cs="Arial" w:eastAsia="Arial" w:hAnsi="Arial"/>
                <w:sz w:val="18"/>
                <w:szCs w:val="18"/>
                <w:color w:val="0000EE"/>
              </w:rPr>
            </w:pPr>
            <w:hyperlink r:id="rId269">
              <w:r>
                <w:rPr>
                  <w:rFonts w:ascii="Arial" w:cs="Arial" w:eastAsia="Arial" w:hAnsi="Arial"/>
                  <w:sz w:val="18"/>
                  <w:szCs w:val="18"/>
                  <w:color w:val="0000EE"/>
                </w:rPr>
                <w:t>February 20, 2002).</w:t>
              </w:r>
            </w:hyperlink>
          </w:p>
        </w:tc>
      </w:tr>
      <w:tr>
        <w:trPr>
          <w:trHeight w:val="20"/>
        </w:trPr>
        <w:tc>
          <w:tcPr>
            <w:tcW w:w="150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6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4.74</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70">
              <w:r>
                <w:rPr>
                  <w:rFonts w:ascii="Arial" w:cs="Arial" w:eastAsia="Arial" w:hAnsi="Arial"/>
                  <w:sz w:val="18"/>
                  <w:szCs w:val="18"/>
                  <w:color w:val="0000EE"/>
                  <w:w w:val="90"/>
                </w:rPr>
                <w:t>Supplemental Indenture, dated June 27, 2002, by and among TEPPCO Partners, L.P., as Issuer, TE Products Pipeline Company, Limited</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70">
              <w:r>
                <w:rPr>
                  <w:rFonts w:ascii="Arial" w:cs="Arial" w:eastAsia="Arial" w:hAnsi="Arial"/>
                  <w:sz w:val="18"/>
                  <w:szCs w:val="18"/>
                  <w:color w:val="0000EE"/>
                  <w:w w:val="90"/>
                </w:rPr>
                <w:t>Partnership, TCTM, L.P., TEPPCO Midstream Companies, L.P. and Jonah Gas Gathering Company, as Initial Subsidiary Guarantors, Val</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270">
              <w:r>
                <w:rPr>
                  <w:rFonts w:ascii="Arial" w:cs="Arial" w:eastAsia="Arial" w:hAnsi="Arial"/>
                  <w:sz w:val="18"/>
                  <w:szCs w:val="18"/>
                  <w:color w:val="0000EE"/>
                  <w:w w:val="91"/>
                </w:rPr>
                <w:t>Verde Gas Gathering Company, L.P., as New Subsidiary Guarantor, and Wachovia Bank, National Association, formerly known as First</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270">
              <w:r>
                <w:rPr>
                  <w:rFonts w:ascii="Arial" w:cs="Arial" w:eastAsia="Arial" w:hAnsi="Arial"/>
                  <w:sz w:val="18"/>
                  <w:szCs w:val="18"/>
                  <w:color w:val="0000EE"/>
                  <w:w w:val="92"/>
                </w:rPr>
                <w:t>Union National Bank, as Trustee (incorporated by reference to Exhibit 4.6 to the Form 10-Q filed by TEPPCO Partners, L.P. on August</w:t>
              </w:r>
            </w:hyperlink>
          </w:p>
        </w:tc>
      </w:tr>
      <w:tr>
        <w:trPr>
          <w:trHeight w:val="196"/>
        </w:trPr>
        <w:tc>
          <w:tcPr>
            <w:tcW w:w="150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270">
              <w:r>
                <w:rPr>
                  <w:rFonts w:ascii="Arial" w:cs="Arial" w:eastAsia="Arial" w:hAnsi="Arial"/>
                  <w:sz w:val="18"/>
                  <w:szCs w:val="18"/>
                  <w:color w:val="0000EE"/>
                  <w:w w:val="86"/>
                </w:rPr>
                <w:t>14, 2002).</w:t>
              </w:r>
            </w:hyperlink>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4.75</w:t>
            </w:r>
          </w:p>
        </w:tc>
        <w:tc>
          <w:tcPr>
            <w:tcW w:w="9920" w:type="dxa"/>
            <w:vAlign w:val="bottom"/>
            <w:gridSpan w:val="13"/>
          </w:tcPr>
          <w:p>
            <w:pPr>
              <w:spacing w:after="0" w:line="196" w:lineRule="exact"/>
              <w:rPr>
                <w:rFonts w:ascii="Arial" w:cs="Arial" w:eastAsia="Arial" w:hAnsi="Arial"/>
                <w:sz w:val="18"/>
                <w:szCs w:val="18"/>
                <w:color w:val="0000EE"/>
                <w:w w:val="92"/>
              </w:rPr>
            </w:pPr>
            <w:hyperlink r:id="rId271">
              <w:r>
                <w:rPr>
                  <w:rFonts w:ascii="Arial" w:cs="Arial" w:eastAsia="Arial" w:hAnsi="Arial"/>
                  <w:sz w:val="18"/>
                  <w:szCs w:val="18"/>
                  <w:color w:val="0000EE"/>
                  <w:w w:val="92"/>
                </w:rPr>
                <w:t>Full Release of Guarantee, dated July 31, 2006, by Wachovia Bank, National Association, as Trustee, in favor of Jonah Gas Gathering</w:t>
              </w:r>
            </w:hyperlink>
          </w:p>
        </w:tc>
      </w:tr>
      <w:tr>
        <w:trPr>
          <w:trHeight w:val="196"/>
        </w:trPr>
        <w:tc>
          <w:tcPr>
            <w:tcW w:w="1500" w:type="dxa"/>
            <w:vAlign w:val="bottom"/>
          </w:tcPr>
          <w:p>
            <w:pPr>
              <w:spacing w:after="0"/>
              <w:rPr>
                <w:sz w:val="17"/>
                <w:szCs w:val="17"/>
                <w:color w:val="auto"/>
              </w:rPr>
            </w:pPr>
          </w:p>
        </w:tc>
        <w:tc>
          <w:tcPr>
            <w:tcW w:w="90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271">
              <w:r>
                <w:rPr>
                  <w:rFonts w:ascii="Arial" w:cs="Arial" w:eastAsia="Arial" w:hAnsi="Arial"/>
                  <w:sz w:val="18"/>
                  <w:szCs w:val="18"/>
                  <w:color w:val="0000EE"/>
                  <w:w w:val="90"/>
                </w:rPr>
                <w:t>Company (incorporated by reference to Exhibit 4.8 to the Form 10-Q filed by TEPPCO Partners, L.P. on November 7, 2006).</w:t>
              </w:r>
            </w:hyperlink>
          </w:p>
        </w:tc>
        <w:tc>
          <w:tcPr>
            <w:tcW w:w="8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500" w:type="dxa"/>
            <w:vAlign w:val="bottom"/>
          </w:tcPr>
          <w:p>
            <w:pPr>
              <w:jc w:val="right"/>
              <w:ind w:right="1090"/>
              <w:spacing w:after="0" w:line="196" w:lineRule="exact"/>
              <w:rPr>
                <w:sz w:val="20"/>
                <w:szCs w:val="20"/>
                <w:color w:val="auto"/>
              </w:rPr>
            </w:pPr>
            <w:r>
              <w:rPr>
                <w:rFonts w:ascii="Arial" w:cs="Arial" w:eastAsia="Arial" w:hAnsi="Arial"/>
                <w:sz w:val="18"/>
                <w:szCs w:val="18"/>
                <w:color w:val="auto"/>
                <w:w w:val="85"/>
              </w:rPr>
              <w:t>4.76</w:t>
            </w: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r:id="rId272">
              <w:r>
                <w:rPr>
                  <w:rFonts w:ascii="Arial" w:cs="Arial" w:eastAsia="Arial" w:hAnsi="Arial"/>
                  <w:sz w:val="18"/>
                  <w:szCs w:val="18"/>
                  <w:color w:val="0000EE"/>
                  <w:w w:val="96"/>
                </w:rPr>
                <w:t>Seventh Supplemental Indenture, dated March 27, 2008, by and among TEPPCO Partners, L.P., as Issuer, TE Products Pipeline</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r:id="rId272">
              <w:r>
                <w:rPr>
                  <w:rFonts w:ascii="Arial" w:cs="Arial" w:eastAsia="Arial" w:hAnsi="Arial"/>
                  <w:sz w:val="18"/>
                  <w:szCs w:val="18"/>
                  <w:color w:val="0000EE"/>
                  <w:w w:val="97"/>
                </w:rPr>
                <w:t>Company, LLC, TCTM, L.P., TEPPCO Midstream Companies, LLC and Val Verde Gas Gathering Company, L.P., as Subsidiary</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r:id="rId272">
              <w:r>
                <w:rPr>
                  <w:rFonts w:ascii="Arial" w:cs="Arial" w:eastAsia="Arial" w:hAnsi="Arial"/>
                  <w:sz w:val="18"/>
                  <w:szCs w:val="18"/>
                  <w:color w:val="0000EE"/>
                  <w:w w:val="97"/>
                </w:rPr>
                <w:t>Guarantors, and U.S. Bank National Association, as Trustee (incorporated by reference to Exhibit 4.13 to the Form 10-Q filed by</w:t>
              </w:r>
            </w:hyperlink>
          </w:p>
        </w:tc>
      </w:tr>
      <w:tr>
        <w:trPr>
          <w:trHeight w:val="196"/>
        </w:trPr>
        <w:tc>
          <w:tcPr>
            <w:tcW w:w="1500" w:type="dxa"/>
            <w:vAlign w:val="bottom"/>
          </w:tcPr>
          <w:p>
            <w:pPr>
              <w:spacing w:after="0"/>
              <w:rPr>
                <w:sz w:val="17"/>
                <w:szCs w:val="17"/>
                <w:color w:val="auto"/>
              </w:rPr>
            </w:pPr>
          </w:p>
        </w:tc>
        <w:tc>
          <w:tcPr>
            <w:tcW w:w="29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272">
              <w:r>
                <w:rPr>
                  <w:rFonts w:ascii="Arial" w:cs="Arial" w:eastAsia="Arial" w:hAnsi="Arial"/>
                  <w:sz w:val="18"/>
                  <w:szCs w:val="18"/>
                  <w:color w:val="0000EE"/>
                  <w:w w:val="89"/>
                </w:rPr>
                <w:t>TEPPCO Partners, L.P. on May 8, 2008).</w:t>
              </w:r>
            </w:hyperlink>
          </w:p>
        </w:tc>
        <w:tc>
          <w:tcPr>
            <w:tcW w:w="6960" w:type="dxa"/>
            <w:vAlign w:val="bottom"/>
            <w:gridSpan w:val="9"/>
          </w:tcPr>
          <w:p>
            <w:pPr>
              <w:spacing w:after="0"/>
              <w:rPr>
                <w:sz w:val="17"/>
                <w:szCs w:val="17"/>
                <w:color w:val="auto"/>
              </w:rPr>
            </w:pPr>
          </w:p>
        </w:tc>
      </w:tr>
      <w:tr>
        <w:trPr>
          <w:trHeight w:val="912"/>
        </w:trPr>
        <w:tc>
          <w:tcPr>
            <w:tcW w:w="1500" w:type="dxa"/>
            <w:vAlign w:val="bottom"/>
          </w:tcPr>
          <w:p>
            <w:pPr>
              <w:spacing w:after="0"/>
              <w:rPr>
                <w:sz w:val="24"/>
                <w:szCs w:val="24"/>
                <w:color w:val="auto"/>
              </w:rPr>
            </w:pPr>
          </w:p>
        </w:tc>
        <w:tc>
          <w:tcPr>
            <w:tcW w:w="6220" w:type="dxa"/>
            <w:vAlign w:val="bottom"/>
            <w:gridSpan w:val="5"/>
          </w:tcPr>
          <w:p>
            <w:pPr>
              <w:ind w:left="4080"/>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48" w:name="page149"/>
    <w:bookmarkEnd w:id="1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4.77</w:t>
            </w:r>
          </w:p>
        </w:tc>
        <w:tc>
          <w:tcPr>
            <w:tcW w:w="9920" w:type="dxa"/>
            <w:vAlign w:val="bottom"/>
            <w:tcBorders>
              <w:bottom w:val="single" w:sz="8" w:color="0000EE"/>
            </w:tcBorders>
            <w:gridSpan w:val="14"/>
          </w:tcPr>
          <w:p>
            <w:pPr>
              <w:spacing w:after="0"/>
              <w:rPr>
                <w:rFonts w:ascii="Arial" w:cs="Arial" w:eastAsia="Arial" w:hAnsi="Arial"/>
                <w:sz w:val="18"/>
                <w:szCs w:val="18"/>
                <w:color w:val="0000EE"/>
                <w:w w:val="96"/>
              </w:rPr>
            </w:pPr>
            <w:hyperlink r:id="rId273">
              <w:r>
                <w:rPr>
                  <w:rFonts w:ascii="Arial" w:cs="Arial" w:eastAsia="Arial" w:hAnsi="Arial"/>
                  <w:sz w:val="18"/>
                  <w:szCs w:val="18"/>
                  <w:color w:val="0000EE"/>
                  <w:w w:val="96"/>
                </w:rPr>
                <w:t>Eighth Supplemental Indenture, dated October 27, 2009, by and among TEPPCO Partners, L.P., as Issuer, TE Products Pipeline</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r:id="rId273">
              <w:r>
                <w:rPr>
                  <w:rFonts w:ascii="Arial" w:cs="Arial" w:eastAsia="Arial" w:hAnsi="Arial"/>
                  <w:sz w:val="18"/>
                  <w:szCs w:val="18"/>
                  <w:color w:val="0000EE"/>
                  <w:w w:val="97"/>
                </w:rPr>
                <w:t>Company, LLC, TCTM, L.P., TEPPCO Midstream Companies, LLC and Val Verde Gas Gathering Company, L.P., as Subsidiary</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273">
              <w:r>
                <w:rPr>
                  <w:rFonts w:ascii="Arial" w:cs="Arial" w:eastAsia="Arial" w:hAnsi="Arial"/>
                  <w:sz w:val="18"/>
                  <w:szCs w:val="18"/>
                  <w:color w:val="0000EE"/>
                  <w:w w:val="92"/>
                </w:rPr>
                <w:t>Guarantors, and U.S. Bank National Association, as Trustee (incorporated by reference to Exhibit 4.1 to the Form 8-K filed by TEPPCO</w:t>
              </w:r>
            </w:hyperlink>
          </w:p>
        </w:tc>
      </w:tr>
      <w:tr>
        <w:trPr>
          <w:trHeight w:val="196"/>
        </w:trPr>
        <w:tc>
          <w:tcPr>
            <w:tcW w:w="1500" w:type="dxa"/>
            <w:vAlign w:val="bottom"/>
          </w:tcPr>
          <w:p>
            <w:pPr>
              <w:spacing w:after="0"/>
              <w:rPr>
                <w:sz w:val="17"/>
                <w:szCs w:val="17"/>
                <w:color w:val="auto"/>
              </w:rPr>
            </w:pPr>
          </w:p>
        </w:tc>
        <w:tc>
          <w:tcPr>
            <w:tcW w:w="9920" w:type="dxa"/>
            <w:vAlign w:val="bottom"/>
            <w:gridSpan w:val="14"/>
          </w:tcPr>
          <w:p>
            <w:pPr>
              <w:spacing w:after="0" w:line="196" w:lineRule="exact"/>
              <w:rPr>
                <w:rFonts w:ascii="Arial" w:cs="Arial" w:eastAsia="Arial" w:hAnsi="Arial"/>
                <w:sz w:val="18"/>
                <w:szCs w:val="18"/>
                <w:color w:val="0000EE"/>
              </w:rPr>
            </w:pPr>
            <w:hyperlink r:id="rId273">
              <w:r>
                <w:rPr>
                  <w:rFonts w:ascii="Arial" w:cs="Arial" w:eastAsia="Arial" w:hAnsi="Arial"/>
                  <w:sz w:val="18"/>
                  <w:szCs w:val="18"/>
                  <w:color w:val="0000EE"/>
                </w:rPr>
                <w:t>Partners, L.P. on October 28, 2009).</w:t>
              </w:r>
            </w:hyperlink>
          </w:p>
        </w:tc>
      </w:tr>
      <w:tr>
        <w:trPr>
          <w:trHeight w:val="20"/>
        </w:trPr>
        <w:tc>
          <w:tcPr>
            <w:tcW w:w="150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4.78</w:t>
            </w:r>
          </w:p>
        </w:tc>
        <w:tc>
          <w:tcPr>
            <w:tcW w:w="992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r:id="rId274">
              <w:r>
                <w:rPr>
                  <w:rFonts w:ascii="Arial" w:cs="Arial" w:eastAsia="Arial" w:hAnsi="Arial"/>
                  <w:sz w:val="18"/>
                  <w:szCs w:val="18"/>
                  <w:color w:val="0000EE"/>
                  <w:w w:val="96"/>
                </w:rPr>
                <w:t>Full Release of Guarantee, dated November 23, 2009, of TE Products Pipeline Company, LLC, TCTM, L.P., TEPPCO Midstream</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274">
              <w:r>
                <w:rPr>
                  <w:rFonts w:ascii="Arial" w:cs="Arial" w:eastAsia="Arial" w:hAnsi="Arial"/>
                  <w:sz w:val="18"/>
                  <w:szCs w:val="18"/>
                  <w:color w:val="0000EE"/>
                  <w:w w:val="90"/>
                </w:rPr>
                <w:t>Companies, LLC and Val Verde Gas Gathering Company, L.P. by U.S. Bank National Association, as Trustee (incorporated by reference</w:t>
              </w:r>
            </w:hyperlink>
          </w:p>
        </w:tc>
      </w:tr>
      <w:tr>
        <w:trPr>
          <w:trHeight w:val="196"/>
        </w:trPr>
        <w:tc>
          <w:tcPr>
            <w:tcW w:w="1500" w:type="dxa"/>
            <w:vAlign w:val="bottom"/>
          </w:tcPr>
          <w:p>
            <w:pPr>
              <w:spacing w:after="0"/>
              <w:rPr>
                <w:sz w:val="17"/>
                <w:szCs w:val="17"/>
                <w:color w:val="auto"/>
              </w:rPr>
            </w:pPr>
          </w:p>
        </w:tc>
        <w:tc>
          <w:tcPr>
            <w:tcW w:w="370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274">
              <w:r>
                <w:rPr>
                  <w:rFonts w:ascii="Arial" w:cs="Arial" w:eastAsia="Arial" w:hAnsi="Arial"/>
                  <w:sz w:val="18"/>
                  <w:szCs w:val="18"/>
                  <w:color w:val="0000EE"/>
                  <w:w w:val="93"/>
                </w:rPr>
                <w:t>to Exhibit 4.64 to Form 10-K filed March 1, 2010).</w:t>
              </w:r>
            </w:hyperlink>
          </w:p>
        </w:tc>
        <w:tc>
          <w:tcPr>
            <w:tcW w:w="6220" w:type="dxa"/>
            <w:vAlign w:val="bottom"/>
            <w:gridSpan w:val="8"/>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4.79</w:t>
            </w:r>
          </w:p>
        </w:tc>
        <w:tc>
          <w:tcPr>
            <w:tcW w:w="99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275">
              <w:r>
                <w:rPr>
                  <w:rFonts w:ascii="Arial" w:cs="Arial" w:eastAsia="Arial" w:hAnsi="Arial"/>
                  <w:sz w:val="18"/>
                  <w:szCs w:val="18"/>
                  <w:color w:val="0000EE"/>
                  <w:w w:val="91"/>
                </w:rPr>
                <w:t>Indenture, dated May 14, 2007, by and among TEPPCO Partners, L.P., as Issuer, TE Products Pipeline Company, Limited Partnership,</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275">
              <w:r>
                <w:rPr>
                  <w:rFonts w:ascii="Arial" w:cs="Arial" w:eastAsia="Arial" w:hAnsi="Arial"/>
                  <w:sz w:val="18"/>
                  <w:szCs w:val="18"/>
                  <w:color w:val="0000EE"/>
                  <w:w w:val="93"/>
                </w:rPr>
                <w:t>TCTM, L.P., TEPPCO Midstream Companies, L.P. and Val Verde Gas Gathering Company, L.P., as Subsidiary Guarantors, and The</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r:id="rId275">
              <w:r>
                <w:rPr>
                  <w:rFonts w:ascii="Arial" w:cs="Arial" w:eastAsia="Arial" w:hAnsi="Arial"/>
                  <w:sz w:val="18"/>
                  <w:szCs w:val="18"/>
                  <w:color w:val="0000EE"/>
                  <w:w w:val="97"/>
                </w:rPr>
                <w:t>Bank of New York Trust Company, N.A., as Trustee (incorporated by reference to Exhibit 99.1 of the Form 8-K filed by TEPPCO</w:t>
              </w:r>
            </w:hyperlink>
          </w:p>
        </w:tc>
      </w:tr>
      <w:tr>
        <w:trPr>
          <w:trHeight w:val="196"/>
        </w:trPr>
        <w:tc>
          <w:tcPr>
            <w:tcW w:w="1500" w:type="dxa"/>
            <w:vAlign w:val="bottom"/>
          </w:tcPr>
          <w:p>
            <w:pPr>
              <w:spacing w:after="0"/>
              <w:rPr>
                <w:sz w:val="17"/>
                <w:szCs w:val="17"/>
                <w:color w:val="auto"/>
              </w:rPr>
            </w:pPr>
          </w:p>
        </w:tc>
        <w:tc>
          <w:tcPr>
            <w:tcW w:w="23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275">
              <w:r>
                <w:rPr>
                  <w:rFonts w:ascii="Arial" w:cs="Arial" w:eastAsia="Arial" w:hAnsi="Arial"/>
                  <w:sz w:val="18"/>
                  <w:szCs w:val="18"/>
                  <w:color w:val="0000EE"/>
                  <w:w w:val="89"/>
                </w:rPr>
                <w:t>Partners, L.P. on May 15, 2007).</w:t>
              </w:r>
            </w:hyperlink>
          </w:p>
        </w:tc>
        <w:tc>
          <w:tcPr>
            <w:tcW w:w="7580" w:type="dxa"/>
            <w:vAlign w:val="bottom"/>
            <w:gridSpan w:val="1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4.80</w:t>
            </w:r>
          </w:p>
        </w:tc>
        <w:tc>
          <w:tcPr>
            <w:tcW w:w="99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276">
              <w:r>
                <w:rPr>
                  <w:rFonts w:ascii="Arial" w:cs="Arial" w:eastAsia="Arial" w:hAnsi="Arial"/>
                  <w:sz w:val="18"/>
                  <w:szCs w:val="18"/>
                  <w:color w:val="0000EE"/>
                  <w:w w:val="92"/>
                </w:rPr>
                <w:t>First Supplemental Indenture, dated May 18, 2007, by and among TEPPCO Partners, L.P., as Issuer, TE Products Pipeline Company,</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276">
              <w:r>
                <w:rPr>
                  <w:rFonts w:ascii="Arial" w:cs="Arial" w:eastAsia="Arial" w:hAnsi="Arial"/>
                  <w:sz w:val="18"/>
                  <w:szCs w:val="18"/>
                  <w:color w:val="0000EE"/>
                  <w:w w:val="94"/>
                </w:rPr>
                <w:t>Limited Partnership, TCTM, L.P., TEPPCO Midstream Companies, L.P. and Val Verde Gas Gathering Company, L.P., as Subsidiary</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276">
              <w:r>
                <w:rPr>
                  <w:rFonts w:ascii="Arial" w:cs="Arial" w:eastAsia="Arial" w:hAnsi="Arial"/>
                  <w:sz w:val="18"/>
                  <w:szCs w:val="18"/>
                  <w:color w:val="0000EE"/>
                  <w:w w:val="91"/>
                </w:rPr>
                <w:t>Guarantors, and The Bank of New York Trust Company, N.A., as Trustee (incorporated by reference to Exhibit 4.2 to the Form 8-K filed</w:t>
              </w:r>
            </w:hyperlink>
          </w:p>
        </w:tc>
      </w:tr>
      <w:tr>
        <w:trPr>
          <w:trHeight w:val="196"/>
        </w:trPr>
        <w:tc>
          <w:tcPr>
            <w:tcW w:w="1500" w:type="dxa"/>
            <w:vAlign w:val="bottom"/>
          </w:tcPr>
          <w:p>
            <w:pPr>
              <w:spacing w:after="0"/>
              <w:rPr>
                <w:sz w:val="17"/>
                <w:szCs w:val="17"/>
                <w:color w:val="auto"/>
              </w:rPr>
            </w:pPr>
          </w:p>
        </w:tc>
        <w:tc>
          <w:tcPr>
            <w:tcW w:w="32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276">
              <w:r>
                <w:rPr>
                  <w:rFonts w:ascii="Arial" w:cs="Arial" w:eastAsia="Arial" w:hAnsi="Arial"/>
                  <w:sz w:val="18"/>
                  <w:szCs w:val="18"/>
                  <w:color w:val="0000EE"/>
                  <w:w w:val="89"/>
                </w:rPr>
                <w:t>by TEPPCO Partners, L.P. on May 18, 2007).</w:t>
              </w:r>
            </w:hyperlink>
          </w:p>
        </w:tc>
        <w:tc>
          <w:tcPr>
            <w:tcW w:w="6640" w:type="dxa"/>
            <w:vAlign w:val="bottom"/>
            <w:gridSpan w:val="10"/>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4.81</w:t>
            </w:r>
          </w:p>
        </w:tc>
        <w:tc>
          <w:tcPr>
            <w:tcW w:w="992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277">
              <w:r>
                <w:rPr>
                  <w:rFonts w:ascii="Arial" w:cs="Arial" w:eastAsia="Arial" w:hAnsi="Arial"/>
                  <w:sz w:val="18"/>
                  <w:szCs w:val="18"/>
                  <w:color w:val="0000EE"/>
                  <w:w w:val="93"/>
                </w:rPr>
                <w:t>Second Supplemental Indenture, dated as of June 30, 2007, by and among TEPPCO Partners, L.P., as Issuer, TE Products Pipeline</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277">
              <w:r>
                <w:rPr>
                  <w:rFonts w:ascii="Arial" w:cs="Arial" w:eastAsia="Arial" w:hAnsi="Arial"/>
                  <w:sz w:val="18"/>
                  <w:szCs w:val="18"/>
                  <w:color w:val="0000EE"/>
                  <w:w w:val="94"/>
                </w:rPr>
                <w:t>Company, Limited Partnership, TCTM, L.P., TEPPCO Midstream Companies, L.P. and Val Verde Gas Gathering Company, L.P., as</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277">
              <w:r>
                <w:rPr>
                  <w:rFonts w:ascii="Arial" w:cs="Arial" w:eastAsia="Arial" w:hAnsi="Arial"/>
                  <w:sz w:val="18"/>
                  <w:szCs w:val="18"/>
                  <w:color w:val="0000EE"/>
                  <w:w w:val="94"/>
                </w:rPr>
                <w:t>Existing Subsidiary Guarantors, TE Products Pipeline Company, LLC and TEPPCO Midstream Companies, LLC, as New Subsidiary</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277">
              <w:r>
                <w:rPr>
                  <w:rFonts w:ascii="Arial" w:cs="Arial" w:eastAsia="Arial" w:hAnsi="Arial"/>
                  <w:sz w:val="18"/>
                  <w:szCs w:val="18"/>
                  <w:color w:val="0000EE"/>
                  <w:w w:val="91"/>
                </w:rPr>
                <w:t>Guarantors, and The Bank of New York Trust Company, N.A., as Trustee (incorporated by reference to Exhibit 4.2 to the Form 8-K filed</w:t>
              </w:r>
            </w:hyperlink>
          </w:p>
        </w:tc>
      </w:tr>
      <w:tr>
        <w:trPr>
          <w:trHeight w:val="196"/>
        </w:trPr>
        <w:tc>
          <w:tcPr>
            <w:tcW w:w="1500" w:type="dxa"/>
            <w:vAlign w:val="bottom"/>
          </w:tcPr>
          <w:p>
            <w:pPr>
              <w:spacing w:after="0"/>
              <w:rPr>
                <w:sz w:val="17"/>
                <w:szCs w:val="17"/>
                <w:color w:val="auto"/>
              </w:rPr>
            </w:pPr>
          </w:p>
        </w:tc>
        <w:tc>
          <w:tcPr>
            <w:tcW w:w="41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277">
              <w:r>
                <w:rPr>
                  <w:rFonts w:ascii="Arial" w:cs="Arial" w:eastAsia="Arial" w:hAnsi="Arial"/>
                  <w:sz w:val="18"/>
                  <w:szCs w:val="18"/>
                  <w:color w:val="0000EE"/>
                  <w:w w:val="91"/>
                </w:rPr>
                <w:t>by TE Products Pipeline Company, LLC on July 6, 2007).</w:t>
              </w:r>
            </w:hyperlink>
          </w:p>
        </w:tc>
        <w:tc>
          <w:tcPr>
            <w:tcW w:w="5740" w:type="dxa"/>
            <w:vAlign w:val="bottom"/>
            <w:gridSpan w:val="5"/>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4.82</w:t>
            </w:r>
          </w:p>
        </w:tc>
        <w:tc>
          <w:tcPr>
            <w:tcW w:w="992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278">
              <w:r>
                <w:rPr>
                  <w:rFonts w:ascii="Arial" w:cs="Arial" w:eastAsia="Arial" w:hAnsi="Arial"/>
                  <w:sz w:val="18"/>
                  <w:szCs w:val="18"/>
                  <w:color w:val="0000EE"/>
                  <w:w w:val="93"/>
                </w:rPr>
                <w:t>Third Supplemental Indenture, dated as of October 27, 2009, by and among TEPPCO Partners, L.P., as Issuer, TE Products Pipeline</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r:id="rId278">
              <w:r>
                <w:rPr>
                  <w:rFonts w:ascii="Arial" w:cs="Arial" w:eastAsia="Arial" w:hAnsi="Arial"/>
                  <w:sz w:val="18"/>
                  <w:szCs w:val="18"/>
                  <w:color w:val="0000EE"/>
                  <w:w w:val="97"/>
                </w:rPr>
                <w:t>Company, LLC, TCTM, L.P., TEPPCO Midstream Companies, LLC and Val Verde Gas Gathering Company, L.P., as Subsidiary</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278">
              <w:r>
                <w:rPr>
                  <w:rFonts w:ascii="Arial" w:cs="Arial" w:eastAsia="Arial" w:hAnsi="Arial"/>
                  <w:sz w:val="18"/>
                  <w:szCs w:val="18"/>
                  <w:color w:val="0000EE"/>
                  <w:w w:val="91"/>
                </w:rPr>
                <w:t>Guarantors, and The Bank of New York Mellon Trust Company, N.A., as Trustee (incorporated by reference to Exhibit 4.2 to the Form 8-</w:t>
              </w:r>
            </w:hyperlink>
          </w:p>
        </w:tc>
      </w:tr>
      <w:tr>
        <w:trPr>
          <w:trHeight w:val="196"/>
        </w:trPr>
        <w:tc>
          <w:tcPr>
            <w:tcW w:w="1500" w:type="dxa"/>
            <w:vAlign w:val="bottom"/>
          </w:tcPr>
          <w:p>
            <w:pPr>
              <w:spacing w:after="0"/>
              <w:rPr>
                <w:sz w:val="17"/>
                <w:szCs w:val="17"/>
                <w:color w:val="auto"/>
              </w:rPr>
            </w:pPr>
          </w:p>
        </w:tc>
        <w:tc>
          <w:tcPr>
            <w:tcW w:w="40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278">
              <w:r>
                <w:rPr>
                  <w:rFonts w:ascii="Arial" w:cs="Arial" w:eastAsia="Arial" w:hAnsi="Arial"/>
                  <w:sz w:val="18"/>
                  <w:szCs w:val="18"/>
                  <w:color w:val="0000EE"/>
                  <w:w w:val="90"/>
                </w:rPr>
                <w:t>K filed by TEPPCO Partners, L.P. on October 28, 2009).</w:t>
              </w:r>
            </w:hyperlink>
          </w:p>
        </w:tc>
        <w:tc>
          <w:tcPr>
            <w:tcW w:w="5840" w:type="dxa"/>
            <w:vAlign w:val="bottom"/>
            <w:gridSpan w:val="6"/>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4.83</w:t>
            </w:r>
          </w:p>
        </w:tc>
        <w:tc>
          <w:tcPr>
            <w:tcW w:w="99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279">
              <w:r>
                <w:rPr>
                  <w:rFonts w:ascii="Arial" w:cs="Arial" w:eastAsia="Arial" w:hAnsi="Arial"/>
                  <w:sz w:val="18"/>
                  <w:szCs w:val="18"/>
                  <w:color w:val="0000EE"/>
                  <w:w w:val="92"/>
                </w:rPr>
                <w:t>Full Release of Guarantee, dated as of November 23, 2009, of TE Products Pipeline Company, LLC, TCTM, L.P., TEPPCO Midstream</w:t>
              </w:r>
            </w:hyperlink>
          </w:p>
        </w:tc>
      </w:tr>
      <w:tr>
        <w:trPr>
          <w:trHeight w:val="196"/>
        </w:trPr>
        <w:tc>
          <w:tcPr>
            <w:tcW w:w="1500" w:type="dxa"/>
            <w:vAlign w:val="bottom"/>
          </w:tcPr>
          <w:p>
            <w:pPr>
              <w:spacing w:after="0"/>
              <w:rPr>
                <w:sz w:val="17"/>
                <w:szCs w:val="17"/>
                <w:color w:val="auto"/>
              </w:rPr>
            </w:pPr>
          </w:p>
        </w:tc>
        <w:tc>
          <w:tcPr>
            <w:tcW w:w="9920" w:type="dxa"/>
            <w:vAlign w:val="bottom"/>
            <w:gridSpan w:val="14"/>
          </w:tcPr>
          <w:p>
            <w:pPr>
              <w:spacing w:after="0" w:line="196" w:lineRule="exact"/>
              <w:rPr>
                <w:rFonts w:ascii="Arial" w:cs="Arial" w:eastAsia="Arial" w:hAnsi="Arial"/>
                <w:sz w:val="18"/>
                <w:szCs w:val="18"/>
                <w:color w:val="0000EE"/>
                <w:w w:val="95"/>
              </w:rPr>
            </w:pPr>
            <w:hyperlink r:id="rId279">
              <w:r>
                <w:rPr>
                  <w:rFonts w:ascii="Arial" w:cs="Arial" w:eastAsia="Arial" w:hAnsi="Arial"/>
                  <w:sz w:val="18"/>
                  <w:szCs w:val="18"/>
                  <w:color w:val="0000EE"/>
                  <w:w w:val="95"/>
                </w:rPr>
                <w:t>Companies, LLC and Val Verde Gas Gathering Company, L.P. by The Bank of New York Mellon Trust Company, N.A., as Trustee</w:t>
              </w:r>
            </w:hyperlink>
          </w:p>
        </w:tc>
      </w:tr>
      <w:tr>
        <w:trPr>
          <w:trHeight w:val="196"/>
        </w:trPr>
        <w:tc>
          <w:tcPr>
            <w:tcW w:w="1500" w:type="dxa"/>
            <w:vAlign w:val="bottom"/>
          </w:tcPr>
          <w:p>
            <w:pPr>
              <w:spacing w:after="0"/>
              <w:rPr>
                <w:sz w:val="17"/>
                <w:szCs w:val="17"/>
                <w:color w:val="auto"/>
              </w:rPr>
            </w:pPr>
          </w:p>
        </w:tc>
        <w:tc>
          <w:tcPr>
            <w:tcW w:w="56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279">
              <w:r>
                <w:rPr>
                  <w:rFonts w:ascii="Arial" w:cs="Arial" w:eastAsia="Arial" w:hAnsi="Arial"/>
                  <w:sz w:val="18"/>
                  <w:szCs w:val="18"/>
                  <w:color w:val="0000EE"/>
                  <w:w w:val="92"/>
                </w:rPr>
                <w:t>(incorporated by reference to Exhibit 4.70 to Form 10-K filed March 1, 2010).</w:t>
              </w:r>
            </w:hyperlink>
          </w:p>
        </w:tc>
        <w:tc>
          <w:tcPr>
            <w:tcW w:w="426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992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280">
              <w:r>
                <w:rPr>
                  <w:rFonts w:ascii="Arial" w:cs="Arial" w:eastAsia="Arial" w:hAnsi="Arial"/>
                  <w:sz w:val="18"/>
                  <w:szCs w:val="18"/>
                  <w:color w:val="0000EE"/>
                  <w:w w:val="94"/>
                </w:rPr>
                <w:t>Enterprise Products 1998 Long-Term Incentive Plan (Amended and Restated as of February 23, 2010) (incorporated by reference to</w:t>
              </w:r>
            </w:hyperlink>
          </w:p>
        </w:tc>
      </w:tr>
      <w:tr>
        <w:trPr>
          <w:trHeight w:val="196"/>
        </w:trPr>
        <w:tc>
          <w:tcPr>
            <w:tcW w:w="1500" w:type="dxa"/>
            <w:vAlign w:val="bottom"/>
          </w:tcPr>
          <w:p>
            <w:pPr>
              <w:spacing w:after="0"/>
              <w:rPr>
                <w:sz w:val="17"/>
                <w:szCs w:val="17"/>
                <w:color w:val="auto"/>
              </w:rPr>
            </w:pPr>
          </w:p>
        </w:tc>
        <w:tc>
          <w:tcPr>
            <w:tcW w:w="36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280">
              <w:r>
                <w:rPr>
                  <w:rFonts w:ascii="Arial" w:cs="Arial" w:eastAsia="Arial" w:hAnsi="Arial"/>
                  <w:sz w:val="18"/>
                  <w:szCs w:val="18"/>
                  <w:color w:val="0000EE"/>
                  <w:w w:val="92"/>
                </w:rPr>
                <w:t>Exhibit 10.1 to Form 8-K filed February 26, 2010).</w:t>
              </w:r>
            </w:hyperlink>
          </w:p>
        </w:tc>
        <w:tc>
          <w:tcPr>
            <w:tcW w:w="6240" w:type="dxa"/>
            <w:vAlign w:val="bottom"/>
            <w:gridSpan w:val="9"/>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9920" w:type="dxa"/>
            <w:vAlign w:val="bottom"/>
            <w:gridSpan w:val="14"/>
          </w:tcPr>
          <w:p>
            <w:pPr>
              <w:spacing w:after="0" w:line="196" w:lineRule="exact"/>
              <w:rPr>
                <w:rFonts w:ascii="Arial" w:cs="Arial" w:eastAsia="Arial" w:hAnsi="Arial"/>
                <w:sz w:val="18"/>
                <w:szCs w:val="18"/>
                <w:color w:val="0000EE"/>
                <w:w w:val="97"/>
              </w:rPr>
            </w:pPr>
            <w:hyperlink r:id="rId281">
              <w:r>
                <w:rPr>
                  <w:rFonts w:ascii="Arial" w:cs="Arial" w:eastAsia="Arial" w:hAnsi="Arial"/>
                  <w:sz w:val="18"/>
                  <w:szCs w:val="18"/>
                  <w:color w:val="0000EE"/>
                  <w:w w:val="97"/>
                </w:rPr>
                <w:t>Form of Employee Restricted Unit Grant Award under the Enterprise Products 1998 Long-Term Incentive Plan (incorporated by</w:t>
              </w:r>
            </w:hyperlink>
          </w:p>
        </w:tc>
      </w:tr>
      <w:tr>
        <w:trPr>
          <w:trHeight w:val="196"/>
        </w:trPr>
        <w:tc>
          <w:tcPr>
            <w:tcW w:w="1500" w:type="dxa"/>
            <w:vAlign w:val="bottom"/>
          </w:tcPr>
          <w:p>
            <w:pPr>
              <w:spacing w:after="0"/>
              <w:rPr>
                <w:sz w:val="17"/>
                <w:szCs w:val="17"/>
                <w:color w:val="auto"/>
              </w:rPr>
            </w:pPr>
          </w:p>
        </w:tc>
        <w:tc>
          <w:tcPr>
            <w:tcW w:w="99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281">
              <w:r>
                <w:rPr>
                  <w:rFonts w:ascii="Arial" w:cs="Arial" w:eastAsia="Arial" w:hAnsi="Arial"/>
                  <w:sz w:val="18"/>
                  <w:szCs w:val="18"/>
                  <w:color w:val="0000EE"/>
                </w:rPr>
                <w:t>reference to Exhibit 10.5 to Form 10-Q filed August 9, 2010).</w:t>
              </w:r>
            </w:hyperlink>
          </w:p>
        </w:tc>
        <w:tc>
          <w:tcPr>
            <w:tcW w:w="2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992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282">
              <w:r>
                <w:rPr>
                  <w:rFonts w:ascii="Arial" w:cs="Arial" w:eastAsia="Arial" w:hAnsi="Arial"/>
                  <w:sz w:val="18"/>
                  <w:szCs w:val="18"/>
                  <w:color w:val="0000EE"/>
                  <w:w w:val="94"/>
                </w:rPr>
                <w:t>2008 Enterprise Products Long-Term Incentive Plan (Third Amendment and Restatement) (incorporated by reference to Annex A to</w:t>
              </w:r>
            </w:hyperlink>
          </w:p>
        </w:tc>
      </w:tr>
      <w:tr>
        <w:trPr>
          <w:trHeight w:val="196"/>
        </w:trPr>
        <w:tc>
          <w:tcPr>
            <w:tcW w:w="1500" w:type="dxa"/>
            <w:vAlign w:val="bottom"/>
          </w:tcPr>
          <w:p>
            <w:pPr>
              <w:spacing w:after="0"/>
              <w:rPr>
                <w:sz w:val="17"/>
                <w:szCs w:val="17"/>
                <w:color w:val="auto"/>
              </w:rPr>
            </w:pPr>
          </w:p>
        </w:tc>
        <w:tc>
          <w:tcPr>
            <w:tcW w:w="9920" w:type="dxa"/>
            <w:vAlign w:val="bottom"/>
            <w:gridSpan w:val="14"/>
          </w:tcPr>
          <w:p>
            <w:pPr>
              <w:spacing w:after="0" w:line="196" w:lineRule="exact"/>
              <w:rPr>
                <w:rFonts w:ascii="Arial" w:cs="Arial" w:eastAsia="Arial" w:hAnsi="Arial"/>
                <w:sz w:val="18"/>
                <w:szCs w:val="18"/>
                <w:color w:val="0000EE"/>
              </w:rPr>
            </w:pPr>
            <w:hyperlink r:id="rId282">
              <w:r>
                <w:rPr>
                  <w:rFonts w:ascii="Arial" w:cs="Arial" w:eastAsia="Arial" w:hAnsi="Arial"/>
                  <w:sz w:val="18"/>
                  <w:szCs w:val="18"/>
                  <w:color w:val="0000EE"/>
                </w:rPr>
                <w:t>Definitive Proxy Statement filed August 26, 2013).</w:t>
              </w:r>
            </w:hyperlink>
          </w:p>
        </w:tc>
      </w:tr>
      <w:tr>
        <w:trPr>
          <w:trHeight w:val="20"/>
        </w:trPr>
        <w:tc>
          <w:tcPr>
            <w:tcW w:w="150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7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99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283">
              <w:r>
                <w:rPr>
                  <w:rFonts w:ascii="Arial" w:cs="Arial" w:eastAsia="Arial" w:hAnsi="Arial"/>
                  <w:sz w:val="18"/>
                  <w:szCs w:val="18"/>
                  <w:color w:val="0000EE"/>
                  <w:w w:val="91"/>
                </w:rPr>
                <w:t>Form of Employee Phantom Unit Grant Award under the 2008 Enterprise Products Long-Term Incentive Plan (incorporated by reference</w:t>
              </w:r>
            </w:hyperlink>
          </w:p>
        </w:tc>
      </w:tr>
      <w:tr>
        <w:trPr>
          <w:trHeight w:val="196"/>
        </w:trPr>
        <w:tc>
          <w:tcPr>
            <w:tcW w:w="1500" w:type="dxa"/>
            <w:vAlign w:val="bottom"/>
          </w:tcPr>
          <w:p>
            <w:pPr>
              <w:spacing w:after="0"/>
              <w:rPr>
                <w:sz w:val="17"/>
                <w:szCs w:val="17"/>
                <w:color w:val="auto"/>
              </w:rPr>
            </w:pPr>
          </w:p>
        </w:tc>
        <w:tc>
          <w:tcPr>
            <w:tcW w:w="39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283">
              <w:r>
                <w:rPr>
                  <w:rFonts w:ascii="Arial" w:cs="Arial" w:eastAsia="Arial" w:hAnsi="Arial"/>
                  <w:sz w:val="18"/>
                  <w:szCs w:val="18"/>
                  <w:color w:val="0000EE"/>
                  <w:w w:val="92"/>
                </w:rPr>
                <w:t>to Exhibit 10.4 to Form 10-K filed February 24, 2017).</w:t>
              </w:r>
            </w:hyperlink>
          </w:p>
        </w:tc>
        <w:tc>
          <w:tcPr>
            <w:tcW w:w="5960" w:type="dxa"/>
            <w:vAlign w:val="bottom"/>
            <w:gridSpan w:val="7"/>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99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284">
              <w:r>
                <w:rPr>
                  <w:rFonts w:ascii="Arial" w:cs="Arial" w:eastAsia="Arial" w:hAnsi="Arial"/>
                  <w:sz w:val="18"/>
                  <w:szCs w:val="18"/>
                  <w:color w:val="0000EE"/>
                  <w:w w:val="90"/>
                </w:rPr>
                <w:t>Eighth Amended and Restated Administrative Services Agreement, effective as of February 13, 2015, by and among Enterprise Products</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284">
              <w:r>
                <w:rPr>
                  <w:rFonts w:ascii="Arial" w:cs="Arial" w:eastAsia="Arial" w:hAnsi="Arial"/>
                  <w:sz w:val="18"/>
                  <w:szCs w:val="18"/>
                  <w:color w:val="0000EE"/>
                  <w:w w:val="90"/>
                </w:rPr>
                <w:t>Company, EPCO Holdings, Inc., Enterprise Products Holdings LLC, Enterprise Products Partners L.P., Enterprise Products OLPGP, Inc.,</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284">
              <w:r>
                <w:rPr>
                  <w:rFonts w:ascii="Arial" w:cs="Arial" w:eastAsia="Arial" w:hAnsi="Arial"/>
                  <w:sz w:val="18"/>
                  <w:szCs w:val="18"/>
                  <w:color w:val="0000EE"/>
                  <w:w w:val="94"/>
                </w:rPr>
                <w:t>Enterprise Products Operating LLC and the Oiltanking Parties named therein (incorporated by reference to Exhibit 10.1 to Form 8-K</w:t>
              </w:r>
            </w:hyperlink>
          </w:p>
        </w:tc>
      </w:tr>
      <w:tr>
        <w:trPr>
          <w:trHeight w:val="196"/>
        </w:trPr>
        <w:tc>
          <w:tcPr>
            <w:tcW w:w="1500" w:type="dxa"/>
            <w:vAlign w:val="bottom"/>
          </w:tcPr>
          <w:p>
            <w:pPr>
              <w:spacing w:after="0"/>
              <w:rPr>
                <w:sz w:val="17"/>
                <w:szCs w:val="17"/>
                <w:color w:val="auto"/>
              </w:rPr>
            </w:pPr>
          </w:p>
        </w:tc>
        <w:tc>
          <w:tcPr>
            <w:tcW w:w="180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284">
              <w:r>
                <w:rPr>
                  <w:rFonts w:ascii="Arial" w:cs="Arial" w:eastAsia="Arial" w:hAnsi="Arial"/>
                  <w:sz w:val="18"/>
                  <w:szCs w:val="18"/>
                  <w:color w:val="0000EE"/>
                  <w:w w:val="90"/>
                </w:rPr>
                <w:t>filed February 13, 2015).</w:t>
              </w:r>
            </w:hyperlink>
          </w:p>
        </w:tc>
        <w:tc>
          <w:tcPr>
            <w:tcW w:w="8120" w:type="dxa"/>
            <w:vAlign w:val="bottom"/>
            <w:gridSpan w:val="13"/>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9920" w:type="dxa"/>
            <w:vAlign w:val="bottom"/>
            <w:gridSpan w:val="14"/>
          </w:tcPr>
          <w:p>
            <w:pPr>
              <w:spacing w:after="0" w:line="196" w:lineRule="exact"/>
              <w:rPr>
                <w:rFonts w:ascii="Arial" w:cs="Arial" w:eastAsia="Arial" w:hAnsi="Arial"/>
                <w:sz w:val="18"/>
                <w:szCs w:val="18"/>
                <w:color w:val="0000EE"/>
                <w:w w:val="93"/>
              </w:rPr>
            </w:pPr>
            <w:hyperlink r:id="rId285">
              <w:r>
                <w:rPr>
                  <w:rFonts w:ascii="Arial" w:cs="Arial" w:eastAsia="Arial" w:hAnsi="Arial"/>
                  <w:sz w:val="18"/>
                  <w:szCs w:val="18"/>
                  <w:color w:val="0000EE"/>
                  <w:w w:val="93"/>
                </w:rPr>
                <w:t>364-Day Revolving Credit Agreement, dated as of September 10, 2019 among Enterprise Products Operating LLC, the Lenders party</w:t>
              </w:r>
            </w:hyperlink>
          </w:p>
        </w:tc>
      </w:tr>
      <w:tr>
        <w:trPr>
          <w:trHeight w:val="196"/>
        </w:trPr>
        <w:tc>
          <w:tcPr>
            <w:tcW w:w="1500" w:type="dxa"/>
            <w:vAlign w:val="bottom"/>
          </w:tcPr>
          <w:p>
            <w:pPr>
              <w:spacing w:after="0"/>
              <w:rPr>
                <w:sz w:val="17"/>
                <w:szCs w:val="17"/>
                <w:color w:val="auto"/>
              </w:rPr>
            </w:pPr>
          </w:p>
        </w:tc>
        <w:tc>
          <w:tcPr>
            <w:tcW w:w="9900" w:type="dxa"/>
            <w:vAlign w:val="bottom"/>
            <w:tcBorders>
              <w:top w:val="single" w:sz="8" w:color="0000EE"/>
            </w:tcBorders>
            <w:gridSpan w:val="13"/>
          </w:tcPr>
          <w:p>
            <w:pPr>
              <w:spacing w:after="0" w:line="196" w:lineRule="exact"/>
              <w:rPr>
                <w:rFonts w:ascii="Arial" w:cs="Arial" w:eastAsia="Arial" w:hAnsi="Arial"/>
                <w:sz w:val="18"/>
                <w:szCs w:val="18"/>
                <w:color w:val="0000EE"/>
                <w:w w:val="93"/>
              </w:rPr>
            </w:pPr>
            <w:hyperlink r:id="rId285">
              <w:r>
                <w:rPr>
                  <w:rFonts w:ascii="Arial" w:cs="Arial" w:eastAsia="Arial" w:hAnsi="Arial"/>
                  <w:sz w:val="18"/>
                  <w:szCs w:val="18"/>
                  <w:color w:val="0000EE"/>
                  <w:w w:val="93"/>
                </w:rPr>
                <w:t>thereto, and Citibank, N.A. as Administrative Agent (incorporated by reference to Exhibit 10.1 to Form 8-K filed September 11, 2019).</w:t>
              </w:r>
            </w:hyperlink>
          </w:p>
        </w:tc>
        <w:tc>
          <w:tcPr>
            <w:tcW w:w="20" w:type="dxa"/>
            <w:vAlign w:val="bottom"/>
          </w:tcPr>
          <w:p>
            <w:pPr>
              <w:spacing w:after="0"/>
              <w:rPr>
                <w:sz w:val="17"/>
                <w:szCs w:val="17"/>
                <w:color w:val="auto"/>
              </w:rPr>
            </w:pPr>
          </w:p>
        </w:tc>
      </w:tr>
      <w:tr>
        <w:trPr>
          <w:trHeight w:val="669"/>
        </w:trPr>
        <w:tc>
          <w:tcPr>
            <w:tcW w:w="1500" w:type="dxa"/>
            <w:vAlign w:val="bottom"/>
          </w:tcPr>
          <w:p>
            <w:pPr>
              <w:spacing w:after="0"/>
              <w:rPr>
                <w:sz w:val="24"/>
                <w:szCs w:val="24"/>
                <w:color w:val="auto"/>
              </w:rPr>
            </w:pPr>
          </w:p>
        </w:tc>
        <w:tc>
          <w:tcPr>
            <w:tcW w:w="4440" w:type="dxa"/>
            <w:vAlign w:val="bottom"/>
            <w:tcBorders>
              <w:top w:val="single" w:sz="8" w:color="0000EE"/>
            </w:tcBorders>
            <w:gridSpan w:val="10"/>
          </w:tcPr>
          <w:p>
            <w:pPr>
              <w:ind w:left="4080"/>
              <w:spacing w:after="0"/>
              <w:rPr>
                <w:sz w:val="20"/>
                <w:szCs w:val="20"/>
                <w:color w:val="auto"/>
              </w:rPr>
            </w:pPr>
            <w:r>
              <w:rPr>
                <w:rFonts w:ascii="Arial" w:cs="Arial" w:eastAsia="Arial" w:hAnsi="Arial"/>
                <w:sz w:val="18"/>
                <w:szCs w:val="18"/>
                <w:color w:val="auto"/>
              </w:rPr>
              <w:t>147</w:t>
            </w:r>
          </w:p>
        </w:tc>
        <w:tc>
          <w:tcPr>
            <w:tcW w:w="1200" w:type="dxa"/>
            <w:vAlign w:val="bottom"/>
            <w:tcBorders>
              <w:top w:val="single" w:sz="8" w:color="0000EE"/>
            </w:tcBorders>
          </w:tcPr>
          <w:p>
            <w:pPr>
              <w:spacing w:after="0"/>
              <w:rPr>
                <w:sz w:val="24"/>
                <w:szCs w:val="24"/>
                <w:color w:val="auto"/>
              </w:rPr>
            </w:pPr>
          </w:p>
        </w:tc>
        <w:tc>
          <w:tcPr>
            <w:tcW w:w="4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5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49" w:name="page150"/>
    <w:bookmarkEnd w:id="1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10.7</w:t>
            </w:r>
          </w:p>
        </w:tc>
        <w:tc>
          <w:tcPr>
            <w:tcW w:w="9920" w:type="dxa"/>
            <w:vAlign w:val="bottom"/>
            <w:tcBorders>
              <w:bottom w:val="single" w:sz="8" w:color="0000EE"/>
            </w:tcBorders>
            <w:gridSpan w:val="16"/>
          </w:tcPr>
          <w:p>
            <w:pPr>
              <w:spacing w:after="0"/>
              <w:rPr>
                <w:rFonts w:ascii="Arial" w:cs="Arial" w:eastAsia="Arial" w:hAnsi="Arial"/>
                <w:sz w:val="18"/>
                <w:szCs w:val="18"/>
                <w:color w:val="0000EE"/>
                <w:w w:val="91"/>
              </w:rPr>
            </w:pPr>
            <w:hyperlink r:id="rId286">
              <w:r>
                <w:rPr>
                  <w:rFonts w:ascii="Arial" w:cs="Arial" w:eastAsia="Arial" w:hAnsi="Arial"/>
                  <w:sz w:val="18"/>
                  <w:szCs w:val="18"/>
                  <w:color w:val="0000EE"/>
                  <w:w w:val="91"/>
                </w:rPr>
                <w:t>Guaranty Agreement, dated as of September 10, 2019, by Enterprise Products Partners L.P. in favor of Citibank, N.A., as Administrative</w:t>
              </w:r>
            </w:hyperlink>
          </w:p>
        </w:tc>
      </w:tr>
      <w:tr>
        <w:trPr>
          <w:trHeight w:val="196"/>
        </w:trPr>
        <w:tc>
          <w:tcPr>
            <w:tcW w:w="1500" w:type="dxa"/>
            <w:vAlign w:val="bottom"/>
          </w:tcPr>
          <w:p>
            <w:pPr>
              <w:spacing w:after="0"/>
              <w:rPr>
                <w:sz w:val="17"/>
                <w:szCs w:val="17"/>
                <w:color w:val="auto"/>
              </w:rPr>
            </w:pPr>
          </w:p>
        </w:tc>
        <w:tc>
          <w:tcPr>
            <w:tcW w:w="64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286">
              <w:r>
                <w:rPr>
                  <w:rFonts w:ascii="Arial" w:cs="Arial" w:eastAsia="Arial" w:hAnsi="Arial"/>
                  <w:sz w:val="18"/>
                  <w:szCs w:val="18"/>
                  <w:color w:val="0000EE"/>
                  <w:w w:val="91"/>
                </w:rPr>
                <w:t>Agent (incorporated by reference to Exhibit 10.2 to Form 8-K filed September 11, 2019).</w:t>
              </w:r>
            </w:hyperlink>
          </w:p>
        </w:tc>
        <w:tc>
          <w:tcPr>
            <w:tcW w:w="3500" w:type="dxa"/>
            <w:vAlign w:val="bottom"/>
            <w:gridSpan w:val="7"/>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992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287">
              <w:r>
                <w:rPr>
                  <w:rFonts w:ascii="Arial" w:cs="Arial" w:eastAsia="Arial" w:hAnsi="Arial"/>
                  <w:sz w:val="18"/>
                  <w:szCs w:val="18"/>
                  <w:color w:val="0000EE"/>
                  <w:w w:val="93"/>
                </w:rPr>
                <w:t>Revolving Credit Agreement, dated as of September 13, 2017, among Enterprise Products Operating LLC, the Lenders party thereto,</w:t>
              </w:r>
            </w:hyperlink>
          </w:p>
        </w:tc>
      </w:tr>
      <w:tr>
        <w:trPr>
          <w:trHeight w:val="196"/>
        </w:trPr>
        <w:tc>
          <w:tcPr>
            <w:tcW w:w="1500" w:type="dxa"/>
            <w:vAlign w:val="bottom"/>
          </w:tcPr>
          <w:p>
            <w:pPr>
              <w:spacing w:after="0"/>
              <w:rPr>
                <w:sz w:val="17"/>
                <w:szCs w:val="17"/>
                <w:color w:val="auto"/>
              </w:rPr>
            </w:pPr>
          </w:p>
        </w:tc>
        <w:tc>
          <w:tcPr>
            <w:tcW w:w="9920" w:type="dxa"/>
            <w:vAlign w:val="bottom"/>
            <w:gridSpan w:val="16"/>
          </w:tcPr>
          <w:p>
            <w:pPr>
              <w:spacing w:after="0" w:line="196" w:lineRule="exact"/>
              <w:rPr>
                <w:rFonts w:ascii="Arial" w:cs="Arial" w:eastAsia="Arial" w:hAnsi="Arial"/>
                <w:sz w:val="18"/>
                <w:szCs w:val="18"/>
                <w:color w:val="0000EE"/>
                <w:w w:val="92"/>
              </w:rPr>
            </w:pPr>
            <w:hyperlink r:id="rId287">
              <w:r>
                <w:rPr>
                  <w:rFonts w:ascii="Arial" w:cs="Arial" w:eastAsia="Arial" w:hAnsi="Arial"/>
                  <w:sz w:val="18"/>
                  <w:szCs w:val="18"/>
                  <w:color w:val="0000EE"/>
                  <w:w w:val="92"/>
                </w:rPr>
                <w:t>Wells Fargo Bank, National Association, as Administrative Agent, Citibank, N.A., DNB Bank ASA, New York Branch, JPMorgan Chase</w:t>
              </w:r>
            </w:hyperlink>
          </w:p>
        </w:tc>
      </w:tr>
      <w:tr>
        <w:trPr>
          <w:trHeight w:val="20"/>
        </w:trPr>
        <w:tc>
          <w:tcPr>
            <w:tcW w:w="150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287">
              <w:r>
                <w:rPr>
                  <w:rFonts w:ascii="Arial" w:cs="Arial" w:eastAsia="Arial" w:hAnsi="Arial"/>
                  <w:sz w:val="18"/>
                  <w:szCs w:val="18"/>
                  <w:color w:val="0000EE"/>
                  <w:w w:val="92"/>
                </w:rPr>
                <w:t>Bank, N.A., Mizuho Bank, Ltd. and The Bank of Tokyo-Mitsubishi UFJ, Ltd., as Co-Syndication Agents, and Barclays Bank PLC, Royal</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287">
              <w:r>
                <w:rPr>
                  <w:rFonts w:ascii="Arial" w:cs="Arial" w:eastAsia="Arial" w:hAnsi="Arial"/>
                  <w:sz w:val="18"/>
                  <w:szCs w:val="18"/>
                  <w:color w:val="0000EE"/>
                  <w:w w:val="94"/>
                </w:rPr>
                <w:t>Bank of Canada, Sumitomo Mitsui Banking Corporation, SunTrust Bank, The Bank of Nova Scotia and The Toronto-Dominion Bank,</w:t>
              </w:r>
            </w:hyperlink>
          </w:p>
        </w:tc>
      </w:tr>
      <w:tr>
        <w:trPr>
          <w:trHeight w:val="196"/>
        </w:trPr>
        <w:tc>
          <w:tcPr>
            <w:tcW w:w="1500" w:type="dxa"/>
            <w:vAlign w:val="bottom"/>
          </w:tcPr>
          <w:p>
            <w:pPr>
              <w:spacing w:after="0"/>
              <w:rPr>
                <w:sz w:val="17"/>
                <w:szCs w:val="17"/>
                <w:color w:val="auto"/>
              </w:rPr>
            </w:pPr>
          </w:p>
        </w:tc>
        <w:tc>
          <w:tcPr>
            <w:tcW w:w="9920" w:type="dxa"/>
            <w:vAlign w:val="bottom"/>
            <w:gridSpan w:val="16"/>
          </w:tcPr>
          <w:p>
            <w:pPr>
              <w:spacing w:after="0" w:line="196" w:lineRule="exact"/>
              <w:rPr>
                <w:rFonts w:ascii="Arial" w:cs="Arial" w:eastAsia="Arial" w:hAnsi="Arial"/>
                <w:sz w:val="18"/>
                <w:szCs w:val="18"/>
                <w:color w:val="0000EE"/>
                <w:w w:val="95"/>
              </w:rPr>
            </w:pPr>
            <w:hyperlink r:id="rId287">
              <w:r>
                <w:rPr>
                  <w:rFonts w:ascii="Arial" w:cs="Arial" w:eastAsia="Arial" w:hAnsi="Arial"/>
                  <w:sz w:val="18"/>
                  <w:szCs w:val="18"/>
                  <w:color w:val="0000EE"/>
                  <w:w w:val="95"/>
                </w:rPr>
                <w:t>New York Branch, as Co-Documentation Agents (incorporated by reference to Exhibit 10.3 to Form 8-K filed September 15, 2017).</w:t>
              </w:r>
            </w:hyperlink>
          </w:p>
        </w:tc>
      </w:tr>
      <w:tr>
        <w:trPr>
          <w:trHeight w:val="20"/>
        </w:trPr>
        <w:tc>
          <w:tcPr>
            <w:tcW w:w="150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992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r:id="rId288">
              <w:r>
                <w:rPr>
                  <w:rFonts w:ascii="Arial" w:cs="Arial" w:eastAsia="Arial" w:hAnsi="Arial"/>
                  <w:sz w:val="18"/>
                  <w:szCs w:val="18"/>
                  <w:color w:val="0000EE"/>
                  <w:w w:val="95"/>
                </w:rPr>
                <w:t>First Amendment to Revolving Credit Agreement, dated as of September 10, 2019, among Enterprise Products Operating LLC, the</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288">
              <w:r>
                <w:rPr>
                  <w:rFonts w:ascii="Arial" w:cs="Arial" w:eastAsia="Arial" w:hAnsi="Arial"/>
                  <w:sz w:val="18"/>
                  <w:szCs w:val="18"/>
                  <w:color w:val="0000EE"/>
                  <w:w w:val="92"/>
                </w:rPr>
                <w:t>Lenders party thereto, and Wells Fargo Bank, National Association, as Administrative Agent (incorporated by reference to Exhibit 10.3</w:t>
              </w:r>
            </w:hyperlink>
          </w:p>
        </w:tc>
      </w:tr>
      <w:tr>
        <w:trPr>
          <w:trHeight w:val="196"/>
        </w:trPr>
        <w:tc>
          <w:tcPr>
            <w:tcW w:w="1500" w:type="dxa"/>
            <w:vAlign w:val="bottom"/>
          </w:tcPr>
          <w:p>
            <w:pPr>
              <w:spacing w:after="0"/>
              <w:rPr>
                <w:sz w:val="17"/>
                <w:szCs w:val="17"/>
                <w:color w:val="auto"/>
              </w:rPr>
            </w:pPr>
          </w:p>
        </w:tc>
        <w:tc>
          <w:tcPr>
            <w:tcW w:w="28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288">
              <w:r>
                <w:rPr>
                  <w:rFonts w:ascii="Arial" w:cs="Arial" w:eastAsia="Arial" w:hAnsi="Arial"/>
                  <w:sz w:val="18"/>
                  <w:szCs w:val="18"/>
                  <w:color w:val="0000EE"/>
                  <w:w w:val="90"/>
                </w:rPr>
                <w:t>to Form 8-K filed September 11, 2019).</w:t>
              </w:r>
            </w:hyperlink>
          </w:p>
        </w:tc>
        <w:tc>
          <w:tcPr>
            <w:tcW w:w="3080" w:type="dxa"/>
            <w:vAlign w:val="bottom"/>
            <w:gridSpan w:val="5"/>
          </w:tcPr>
          <w:p>
            <w:pPr>
              <w:spacing w:after="0"/>
              <w:rPr>
                <w:sz w:val="17"/>
                <w:szCs w:val="17"/>
                <w:color w:val="auto"/>
              </w:rPr>
            </w:pPr>
          </w:p>
        </w:tc>
        <w:tc>
          <w:tcPr>
            <w:tcW w:w="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992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289">
              <w:r>
                <w:rPr>
                  <w:rFonts w:ascii="Arial" w:cs="Arial" w:eastAsia="Arial" w:hAnsi="Arial"/>
                  <w:sz w:val="18"/>
                  <w:szCs w:val="18"/>
                  <w:color w:val="0000EE"/>
                  <w:w w:val="94"/>
                </w:rPr>
                <w:t>Guaranty Agreement, dated as of September 13, 2017, by Enterprise Products Partners L.P. in favor of Wells Fargo Bank, National</w:t>
              </w:r>
            </w:hyperlink>
          </w:p>
        </w:tc>
      </w:tr>
      <w:tr>
        <w:trPr>
          <w:trHeight w:val="196"/>
        </w:trPr>
        <w:tc>
          <w:tcPr>
            <w:tcW w:w="1500" w:type="dxa"/>
            <w:vAlign w:val="bottom"/>
          </w:tcPr>
          <w:p>
            <w:pPr>
              <w:spacing w:after="0"/>
              <w:rPr>
                <w:sz w:val="17"/>
                <w:szCs w:val="17"/>
                <w:color w:val="auto"/>
              </w:rPr>
            </w:pPr>
          </w:p>
        </w:tc>
        <w:tc>
          <w:tcPr>
            <w:tcW w:w="9920" w:type="dxa"/>
            <w:vAlign w:val="bottom"/>
            <w:gridSpan w:val="16"/>
          </w:tcPr>
          <w:p>
            <w:pPr>
              <w:spacing w:after="0" w:line="196" w:lineRule="exact"/>
              <w:rPr>
                <w:rFonts w:ascii="Arial" w:cs="Arial" w:eastAsia="Arial" w:hAnsi="Arial"/>
                <w:sz w:val="18"/>
                <w:szCs w:val="18"/>
                <w:color w:val="0000EE"/>
              </w:rPr>
            </w:pPr>
            <w:hyperlink r:id="rId289">
              <w:r>
                <w:rPr>
                  <w:rFonts w:ascii="Arial" w:cs="Arial" w:eastAsia="Arial" w:hAnsi="Arial"/>
                  <w:sz w:val="18"/>
                  <w:szCs w:val="18"/>
                  <w:color w:val="0000EE"/>
                </w:rPr>
                <w:t>Association, as administrative agent (incorporated by reference to Exhibit 10.4 to Form 8-K filed September 15, 2017).</w:t>
              </w:r>
            </w:hyperlink>
          </w:p>
        </w:tc>
      </w:tr>
      <w:tr>
        <w:trPr>
          <w:trHeight w:val="20"/>
        </w:trPr>
        <w:tc>
          <w:tcPr>
            <w:tcW w:w="150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992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290">
              <w:r>
                <w:rPr>
                  <w:rFonts w:ascii="Arial" w:cs="Arial" w:eastAsia="Arial" w:hAnsi="Arial"/>
                  <w:sz w:val="18"/>
                  <w:szCs w:val="18"/>
                  <w:color w:val="0000EE"/>
                  <w:w w:val="94"/>
                </w:rPr>
                <w:t>Liquidity Option Agreement, dated as of October 1, 2014, between Enterprise Products Partners, L.P., Oiltanking Holding Americas,</w:t>
              </w:r>
            </w:hyperlink>
          </w:p>
        </w:tc>
      </w:tr>
      <w:tr>
        <w:trPr>
          <w:trHeight w:val="196"/>
        </w:trPr>
        <w:tc>
          <w:tcPr>
            <w:tcW w:w="1500" w:type="dxa"/>
            <w:vAlign w:val="bottom"/>
          </w:tcPr>
          <w:p>
            <w:pPr>
              <w:spacing w:after="0"/>
              <w:rPr>
                <w:sz w:val="17"/>
                <w:szCs w:val="17"/>
                <w:color w:val="auto"/>
              </w:rPr>
            </w:pPr>
          </w:p>
        </w:tc>
        <w:tc>
          <w:tcPr>
            <w:tcW w:w="9920" w:type="dxa"/>
            <w:vAlign w:val="bottom"/>
            <w:gridSpan w:val="16"/>
          </w:tcPr>
          <w:p>
            <w:pPr>
              <w:spacing w:after="0" w:line="196" w:lineRule="exact"/>
              <w:rPr>
                <w:rFonts w:ascii="Arial" w:cs="Arial" w:eastAsia="Arial" w:hAnsi="Arial"/>
                <w:sz w:val="18"/>
                <w:szCs w:val="18"/>
                <w:color w:val="0000EE"/>
              </w:rPr>
            </w:pPr>
            <w:hyperlink r:id="rId290">
              <w:r>
                <w:rPr>
                  <w:rFonts w:ascii="Arial" w:cs="Arial" w:eastAsia="Arial" w:hAnsi="Arial"/>
                  <w:sz w:val="18"/>
                  <w:szCs w:val="18"/>
                  <w:color w:val="0000EE"/>
                </w:rPr>
                <w:t>Inc., and Marquard &amp; Bahls AG (incorporated by reference to Exhibit 10.3 to Form 8-K filed October 1, 2014).</w:t>
              </w:r>
            </w:hyperlink>
          </w:p>
        </w:tc>
      </w:tr>
      <w:tr>
        <w:trPr>
          <w:trHeight w:val="20"/>
        </w:trPr>
        <w:tc>
          <w:tcPr>
            <w:tcW w:w="150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99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291">
              <w:r>
                <w:rPr>
                  <w:rFonts w:ascii="Arial" w:cs="Arial" w:eastAsia="Arial" w:hAnsi="Arial"/>
                  <w:sz w:val="18"/>
                  <w:szCs w:val="18"/>
                  <w:color w:val="0000EE"/>
                  <w:w w:val="92"/>
                </w:rPr>
                <w:t>Support Agreement, dated as of November 11, 2014, by and among Enterprise Products Partners L.P., Enterprise Products Operating</w:t>
              </w:r>
            </w:hyperlink>
          </w:p>
        </w:tc>
      </w:tr>
      <w:tr>
        <w:trPr>
          <w:trHeight w:val="196"/>
        </w:trPr>
        <w:tc>
          <w:tcPr>
            <w:tcW w:w="1500" w:type="dxa"/>
            <w:vAlign w:val="bottom"/>
          </w:tcPr>
          <w:p>
            <w:pPr>
              <w:spacing w:after="0"/>
              <w:rPr>
                <w:sz w:val="17"/>
                <w:szCs w:val="17"/>
                <w:color w:val="auto"/>
              </w:rPr>
            </w:pPr>
          </w:p>
        </w:tc>
        <w:tc>
          <w:tcPr>
            <w:tcW w:w="84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91">
              <w:r>
                <w:rPr>
                  <w:rFonts w:ascii="Arial" w:cs="Arial" w:eastAsia="Arial" w:hAnsi="Arial"/>
                  <w:sz w:val="18"/>
                  <w:szCs w:val="18"/>
                  <w:color w:val="0000EE"/>
                  <w:w w:val="91"/>
                </w:rPr>
                <w:t>LLC and Oiltanking Partners, L.P. (incorporated by reference to Exhibit 10.1 to Form 8-K filed November 12, 2014).</w:t>
              </w:r>
            </w:hyperlink>
          </w:p>
        </w:tc>
        <w:tc>
          <w:tcPr>
            <w:tcW w:w="1480" w:type="dxa"/>
            <w:vAlign w:val="bottom"/>
            <w:gridSpan w:val="4"/>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99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292">
              <w:r>
                <w:rPr>
                  <w:rFonts w:ascii="Arial" w:cs="Arial" w:eastAsia="Arial" w:hAnsi="Arial"/>
                  <w:sz w:val="18"/>
                  <w:szCs w:val="18"/>
                  <w:color w:val="0000EE"/>
                  <w:w w:val="91"/>
                </w:rPr>
                <w:t>EPD PubCo Unit I L.P. Amended and Restated Agreement of Limited Partnership dated November 3, 2016 (incorporated by reference to</w:t>
              </w:r>
            </w:hyperlink>
          </w:p>
        </w:tc>
      </w:tr>
      <w:tr>
        <w:trPr>
          <w:trHeight w:val="196"/>
        </w:trPr>
        <w:tc>
          <w:tcPr>
            <w:tcW w:w="1500" w:type="dxa"/>
            <w:vAlign w:val="bottom"/>
          </w:tcPr>
          <w:p>
            <w:pPr>
              <w:spacing w:after="0"/>
              <w:rPr>
                <w:sz w:val="17"/>
                <w:szCs w:val="17"/>
                <w:color w:val="auto"/>
              </w:rPr>
            </w:pPr>
          </w:p>
        </w:tc>
        <w:tc>
          <w:tcPr>
            <w:tcW w:w="38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292">
              <w:r>
                <w:rPr>
                  <w:rFonts w:ascii="Arial" w:cs="Arial" w:eastAsia="Arial" w:hAnsi="Arial"/>
                  <w:sz w:val="18"/>
                  <w:szCs w:val="18"/>
                  <w:color w:val="0000EE"/>
                  <w:w w:val="92"/>
                </w:rPr>
                <w:t>Exhibit 10.17 to Form 10-K filed February 24, 2017).</w:t>
              </w:r>
            </w:hyperlink>
          </w:p>
        </w:tc>
        <w:tc>
          <w:tcPr>
            <w:tcW w:w="208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99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293">
              <w:r>
                <w:rPr>
                  <w:rFonts w:ascii="Arial" w:cs="Arial" w:eastAsia="Arial" w:hAnsi="Arial"/>
                  <w:sz w:val="18"/>
                  <w:szCs w:val="18"/>
                  <w:color w:val="0000EE"/>
                  <w:w w:val="92"/>
                </w:rPr>
                <w:t>EPD PubCo Unit II L.P. Amended and Restated Agreement of Limited Partnership dated November 3, 2016 (incorporated by reference</w:t>
              </w:r>
            </w:hyperlink>
          </w:p>
        </w:tc>
      </w:tr>
      <w:tr>
        <w:trPr>
          <w:trHeight w:val="196"/>
        </w:trPr>
        <w:tc>
          <w:tcPr>
            <w:tcW w:w="1500" w:type="dxa"/>
            <w:vAlign w:val="bottom"/>
          </w:tcPr>
          <w:p>
            <w:pPr>
              <w:spacing w:after="0"/>
              <w:rPr>
                <w:sz w:val="17"/>
                <w:szCs w:val="17"/>
                <w:color w:val="auto"/>
              </w:rPr>
            </w:pPr>
          </w:p>
        </w:tc>
        <w:tc>
          <w:tcPr>
            <w:tcW w:w="5940" w:type="dxa"/>
            <w:vAlign w:val="bottom"/>
            <w:gridSpan w:val="8"/>
          </w:tcPr>
          <w:p>
            <w:pPr>
              <w:spacing w:after="0" w:line="196" w:lineRule="exact"/>
              <w:rPr>
                <w:rFonts w:ascii="Arial" w:cs="Arial" w:eastAsia="Arial" w:hAnsi="Arial"/>
                <w:sz w:val="18"/>
                <w:szCs w:val="18"/>
                <w:color w:val="0000EE"/>
              </w:rPr>
            </w:pPr>
            <w:hyperlink r:id="rId293">
              <w:r>
                <w:rPr>
                  <w:rFonts w:ascii="Arial" w:cs="Arial" w:eastAsia="Arial" w:hAnsi="Arial"/>
                  <w:sz w:val="18"/>
                  <w:szCs w:val="18"/>
                  <w:color w:val="0000EE"/>
                </w:rPr>
                <w:t>to Exhibit 10.18 to Form 10-K filed February 24, 2017).</w:t>
              </w:r>
            </w:hyperlink>
          </w:p>
        </w:tc>
        <w:tc>
          <w:tcPr>
            <w:tcW w:w="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99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294">
              <w:r>
                <w:rPr>
                  <w:rFonts w:ascii="Arial" w:cs="Arial" w:eastAsia="Arial" w:hAnsi="Arial"/>
                  <w:sz w:val="18"/>
                  <w:szCs w:val="18"/>
                  <w:color w:val="0000EE"/>
                  <w:w w:val="91"/>
                </w:rPr>
                <w:t>EPD PrivCo Unit I L.P. Amended and Restated Agreement of Limited Partnership dated November 3, 2016 (incorporated by reference to</w:t>
              </w:r>
            </w:hyperlink>
          </w:p>
        </w:tc>
      </w:tr>
      <w:tr>
        <w:trPr>
          <w:trHeight w:val="196"/>
        </w:trPr>
        <w:tc>
          <w:tcPr>
            <w:tcW w:w="1500" w:type="dxa"/>
            <w:vAlign w:val="bottom"/>
          </w:tcPr>
          <w:p>
            <w:pPr>
              <w:spacing w:after="0"/>
              <w:rPr>
                <w:sz w:val="17"/>
                <w:szCs w:val="17"/>
                <w:color w:val="auto"/>
              </w:rPr>
            </w:pPr>
          </w:p>
        </w:tc>
        <w:tc>
          <w:tcPr>
            <w:tcW w:w="38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294">
              <w:r>
                <w:rPr>
                  <w:rFonts w:ascii="Arial" w:cs="Arial" w:eastAsia="Arial" w:hAnsi="Arial"/>
                  <w:sz w:val="18"/>
                  <w:szCs w:val="18"/>
                  <w:color w:val="0000EE"/>
                  <w:w w:val="92"/>
                </w:rPr>
                <w:t>Exhibit 10.19 to Form 10-K filed February 24, 2017).</w:t>
              </w:r>
            </w:hyperlink>
          </w:p>
        </w:tc>
        <w:tc>
          <w:tcPr>
            <w:tcW w:w="208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99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295">
              <w:r>
                <w:rPr>
                  <w:rFonts w:ascii="Arial" w:cs="Arial" w:eastAsia="Arial" w:hAnsi="Arial"/>
                  <w:sz w:val="18"/>
                  <w:szCs w:val="18"/>
                  <w:color w:val="0000EE"/>
                  <w:w w:val="91"/>
                </w:rPr>
                <w:t>EPD 2018 Unit IV L.P. Agreement of Limited Partnership dated December 3, 2018 (incorporated by reference to Exhibit 10.1 to Form 8-</w:t>
              </w:r>
            </w:hyperlink>
          </w:p>
        </w:tc>
      </w:tr>
      <w:tr>
        <w:trPr>
          <w:trHeight w:val="196"/>
        </w:trPr>
        <w:tc>
          <w:tcPr>
            <w:tcW w:w="1500" w:type="dxa"/>
            <w:vAlign w:val="bottom"/>
          </w:tcPr>
          <w:p>
            <w:pPr>
              <w:spacing w:after="0"/>
              <w:rPr>
                <w:sz w:val="17"/>
                <w:szCs w:val="17"/>
                <w:color w:val="auto"/>
              </w:rPr>
            </w:pPr>
          </w:p>
        </w:tc>
        <w:tc>
          <w:tcPr>
            <w:tcW w:w="19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295">
              <w:r>
                <w:rPr>
                  <w:rFonts w:ascii="Arial" w:cs="Arial" w:eastAsia="Arial" w:hAnsi="Arial"/>
                  <w:sz w:val="18"/>
                  <w:szCs w:val="18"/>
                  <w:color w:val="0000EE"/>
                  <w:w w:val="91"/>
                </w:rPr>
                <w:t>K filed December 6, 2018).</w:t>
              </w:r>
            </w:hyperlink>
          </w:p>
        </w:tc>
        <w:tc>
          <w:tcPr>
            <w:tcW w:w="3960" w:type="dxa"/>
            <w:vAlign w:val="bottom"/>
            <w:gridSpan w:val="6"/>
          </w:tcPr>
          <w:p>
            <w:pPr>
              <w:spacing w:after="0"/>
              <w:rPr>
                <w:sz w:val="17"/>
                <w:szCs w:val="17"/>
                <w:color w:val="auto"/>
              </w:rPr>
            </w:pPr>
          </w:p>
        </w:tc>
        <w:tc>
          <w:tcPr>
            <w:tcW w:w="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992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296">
              <w:r>
                <w:rPr>
                  <w:rFonts w:ascii="Arial" w:cs="Arial" w:eastAsia="Arial" w:hAnsi="Arial"/>
                  <w:sz w:val="18"/>
                  <w:szCs w:val="18"/>
                  <w:color w:val="0000EE"/>
                  <w:w w:val="94"/>
                </w:rPr>
                <w:t>EPCO Unit II L.P. Agreement of Limited Partnership dated December 3, 2018 (incorporated by reference to Exhibit 10.2 to Form 8-K</w:t>
              </w:r>
            </w:hyperlink>
          </w:p>
        </w:tc>
      </w:tr>
      <w:tr>
        <w:trPr>
          <w:trHeight w:val="196"/>
        </w:trPr>
        <w:tc>
          <w:tcPr>
            <w:tcW w:w="1500" w:type="dxa"/>
            <w:vAlign w:val="bottom"/>
          </w:tcPr>
          <w:p>
            <w:pPr>
              <w:spacing w:after="0"/>
              <w:rPr>
                <w:sz w:val="17"/>
                <w:szCs w:val="17"/>
                <w:color w:val="auto"/>
              </w:rPr>
            </w:pPr>
          </w:p>
        </w:tc>
        <w:tc>
          <w:tcPr>
            <w:tcW w:w="180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296">
              <w:r>
                <w:rPr>
                  <w:rFonts w:ascii="Arial" w:cs="Arial" w:eastAsia="Arial" w:hAnsi="Arial"/>
                  <w:sz w:val="18"/>
                  <w:szCs w:val="18"/>
                  <w:color w:val="0000EE"/>
                  <w:w w:val="90"/>
                </w:rPr>
                <w:t>filed December 6, 2018).</w:t>
              </w:r>
            </w:hyperlink>
          </w:p>
        </w:tc>
        <w:tc>
          <w:tcPr>
            <w:tcW w:w="414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99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297">
              <w:r>
                <w:rPr>
                  <w:rFonts w:ascii="Arial" w:cs="Arial" w:eastAsia="Arial" w:hAnsi="Arial"/>
                  <w:sz w:val="18"/>
                  <w:szCs w:val="18"/>
                  <w:color w:val="0000EE"/>
                  <w:w w:val="91"/>
                </w:rPr>
                <w:t>Equity Distribution Agreement, dated December 1, 2017, by and among Enterprise Products Partners L.P., Enterprise Products OLPGP,</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r:id="rId297">
              <w:r>
                <w:rPr>
                  <w:rFonts w:ascii="Arial" w:cs="Arial" w:eastAsia="Arial" w:hAnsi="Arial"/>
                  <w:sz w:val="18"/>
                  <w:szCs w:val="18"/>
                  <w:color w:val="0000EE"/>
                  <w:w w:val="97"/>
                </w:rPr>
                <w:t>Inc., Enterprise Products Operating LLC and Citigroup Global Markets Inc., Merrill Lynch, Pierce, Fenner &amp; Smith Incorporated,</w:t>
              </w:r>
            </w:hyperlink>
          </w:p>
        </w:tc>
      </w:tr>
      <w:tr>
        <w:trPr>
          <w:trHeight w:val="196"/>
        </w:trPr>
        <w:tc>
          <w:tcPr>
            <w:tcW w:w="1500" w:type="dxa"/>
            <w:vAlign w:val="bottom"/>
          </w:tcPr>
          <w:p>
            <w:pPr>
              <w:spacing w:after="0"/>
              <w:rPr>
                <w:sz w:val="17"/>
                <w:szCs w:val="17"/>
                <w:color w:val="auto"/>
              </w:rPr>
            </w:pPr>
          </w:p>
        </w:tc>
        <w:tc>
          <w:tcPr>
            <w:tcW w:w="5940" w:type="dxa"/>
            <w:vAlign w:val="bottom"/>
            <w:tcBorders>
              <w:bottom w:val="single" w:sz="8" w:color="0000EE"/>
            </w:tcBorders>
            <w:gridSpan w:val="8"/>
          </w:tcPr>
          <w:p>
            <w:pPr>
              <w:spacing w:after="0" w:line="196" w:lineRule="exact"/>
              <w:rPr>
                <w:rFonts w:ascii="Arial" w:cs="Arial" w:eastAsia="Arial" w:hAnsi="Arial"/>
                <w:sz w:val="18"/>
                <w:szCs w:val="18"/>
                <w:color w:val="0000EE"/>
              </w:rPr>
            </w:pPr>
            <w:hyperlink r:id="rId297">
              <w:r>
                <w:rPr>
                  <w:rFonts w:ascii="Arial" w:cs="Arial" w:eastAsia="Arial" w:hAnsi="Arial"/>
                  <w:sz w:val="18"/>
                  <w:szCs w:val="18"/>
                  <w:color w:val="0000EE"/>
                </w:rPr>
                <w:t>Barclays Capital Inc., Credit Suisse Securities (USA) LLC, Deutsche Bank</w:t>
              </w:r>
            </w:hyperlink>
          </w:p>
        </w:tc>
        <w:tc>
          <w:tcPr>
            <w:tcW w:w="3980" w:type="dxa"/>
            <w:vAlign w:val="bottom"/>
            <w:tcBorders>
              <w:bottom w:val="single" w:sz="8" w:color="0000EE"/>
            </w:tcBorders>
            <w:gridSpan w:val="8"/>
          </w:tcPr>
          <w:p>
            <w:pPr>
              <w:jc w:val="right"/>
              <w:spacing w:after="0" w:line="196" w:lineRule="exact"/>
              <w:rPr>
                <w:rFonts w:ascii="Arial" w:cs="Arial" w:eastAsia="Arial" w:hAnsi="Arial"/>
                <w:sz w:val="18"/>
                <w:szCs w:val="18"/>
                <w:color w:val="0000EE"/>
              </w:rPr>
            </w:pPr>
            <w:hyperlink r:id="rId297">
              <w:r>
                <w:rPr>
                  <w:rFonts w:ascii="Arial" w:cs="Arial" w:eastAsia="Arial" w:hAnsi="Arial"/>
                  <w:sz w:val="18"/>
                  <w:szCs w:val="18"/>
                  <w:color w:val="0000EE"/>
                </w:rPr>
                <w:t>Securities Inc., DNB Markets, Inc., Jefferies LLC,</w:t>
              </w:r>
            </w:hyperlink>
          </w:p>
        </w:tc>
      </w:tr>
      <w:tr>
        <w:trPr>
          <w:trHeight w:val="196"/>
        </w:trPr>
        <w:tc>
          <w:tcPr>
            <w:tcW w:w="1500" w:type="dxa"/>
            <w:vAlign w:val="bottom"/>
          </w:tcPr>
          <w:p>
            <w:pPr>
              <w:spacing w:after="0"/>
              <w:rPr>
                <w:sz w:val="17"/>
                <w:szCs w:val="17"/>
                <w:color w:val="auto"/>
              </w:rPr>
            </w:pPr>
          </w:p>
        </w:tc>
        <w:tc>
          <w:tcPr>
            <w:tcW w:w="992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r:id="rId297">
              <w:r>
                <w:rPr>
                  <w:rFonts w:ascii="Arial" w:cs="Arial" w:eastAsia="Arial" w:hAnsi="Arial"/>
                  <w:sz w:val="18"/>
                  <w:szCs w:val="18"/>
                  <w:color w:val="0000EE"/>
                  <w:w w:val="97"/>
                </w:rPr>
                <w:t>J.P. Morgan Securities LLC, Mizuho Securities USA Inc., Morgan Stanley &amp; Co. LLC, MUFG Securities Americas Inc., Raymond</w:t>
              </w:r>
            </w:hyperlink>
          </w:p>
        </w:tc>
      </w:tr>
      <w:tr>
        <w:trPr>
          <w:trHeight w:val="196"/>
        </w:trPr>
        <w:tc>
          <w:tcPr>
            <w:tcW w:w="1500" w:type="dxa"/>
            <w:vAlign w:val="bottom"/>
          </w:tcPr>
          <w:p>
            <w:pPr>
              <w:spacing w:after="0"/>
              <w:rPr>
                <w:sz w:val="17"/>
                <w:szCs w:val="17"/>
                <w:color w:val="auto"/>
              </w:rPr>
            </w:pPr>
          </w:p>
        </w:tc>
        <w:tc>
          <w:tcPr>
            <w:tcW w:w="5940" w:type="dxa"/>
            <w:vAlign w:val="bottom"/>
            <w:tcBorders>
              <w:bottom w:val="single" w:sz="8" w:color="0000EE"/>
            </w:tcBorders>
            <w:gridSpan w:val="8"/>
          </w:tcPr>
          <w:p>
            <w:pPr>
              <w:spacing w:after="0" w:line="196" w:lineRule="exact"/>
              <w:rPr>
                <w:rFonts w:ascii="Arial" w:cs="Arial" w:eastAsia="Arial" w:hAnsi="Arial"/>
                <w:sz w:val="18"/>
                <w:szCs w:val="18"/>
                <w:color w:val="0000EE"/>
                <w:w w:val="99"/>
              </w:rPr>
            </w:pPr>
            <w:hyperlink r:id="rId297">
              <w:r>
                <w:rPr>
                  <w:rFonts w:ascii="Arial" w:cs="Arial" w:eastAsia="Arial" w:hAnsi="Arial"/>
                  <w:sz w:val="18"/>
                  <w:szCs w:val="18"/>
                  <w:color w:val="0000EE"/>
                  <w:w w:val="99"/>
                </w:rPr>
                <w:t>James &amp; Associates, Inc., RBC Capital Markets, LLC, Scotia Capital (USA)</w:t>
              </w:r>
            </w:hyperlink>
          </w:p>
        </w:tc>
        <w:tc>
          <w:tcPr>
            <w:tcW w:w="3980" w:type="dxa"/>
            <w:vAlign w:val="bottom"/>
            <w:tcBorders>
              <w:bottom w:val="single" w:sz="8" w:color="0000EE"/>
            </w:tcBorders>
            <w:gridSpan w:val="8"/>
          </w:tcPr>
          <w:p>
            <w:pPr>
              <w:jc w:val="right"/>
              <w:spacing w:after="0" w:line="196" w:lineRule="exact"/>
              <w:rPr>
                <w:rFonts w:ascii="Arial" w:cs="Arial" w:eastAsia="Arial" w:hAnsi="Arial"/>
                <w:sz w:val="18"/>
                <w:szCs w:val="18"/>
                <w:color w:val="0000EE"/>
              </w:rPr>
            </w:pPr>
            <w:hyperlink r:id="rId297">
              <w:r>
                <w:rPr>
                  <w:rFonts w:ascii="Arial" w:cs="Arial" w:eastAsia="Arial" w:hAnsi="Arial"/>
                  <w:sz w:val="18"/>
                  <w:szCs w:val="18"/>
                  <w:color w:val="0000EE"/>
                </w:rPr>
                <w:t>Inc., SG Americas Securities, LLC, SMBC Nikko</w:t>
              </w:r>
            </w:hyperlink>
          </w:p>
        </w:tc>
      </w:tr>
      <w:tr>
        <w:trPr>
          <w:trHeight w:val="196"/>
        </w:trPr>
        <w:tc>
          <w:tcPr>
            <w:tcW w:w="1500" w:type="dxa"/>
            <w:vAlign w:val="bottom"/>
          </w:tcPr>
          <w:p>
            <w:pPr>
              <w:spacing w:after="0"/>
              <w:rPr>
                <w:sz w:val="17"/>
                <w:szCs w:val="17"/>
                <w:color w:val="auto"/>
              </w:rPr>
            </w:pPr>
          </w:p>
        </w:tc>
        <w:tc>
          <w:tcPr>
            <w:tcW w:w="9920" w:type="dxa"/>
            <w:vAlign w:val="bottom"/>
            <w:gridSpan w:val="16"/>
          </w:tcPr>
          <w:p>
            <w:pPr>
              <w:spacing w:after="0" w:line="196" w:lineRule="exact"/>
              <w:rPr>
                <w:rFonts w:ascii="Arial" w:cs="Arial" w:eastAsia="Arial" w:hAnsi="Arial"/>
                <w:sz w:val="18"/>
                <w:szCs w:val="18"/>
                <w:color w:val="0000EE"/>
                <w:w w:val="95"/>
              </w:rPr>
            </w:pPr>
            <w:hyperlink r:id="rId297">
              <w:r>
                <w:rPr>
                  <w:rFonts w:ascii="Arial" w:cs="Arial" w:eastAsia="Arial" w:hAnsi="Arial"/>
                  <w:sz w:val="18"/>
                  <w:szCs w:val="18"/>
                  <w:color w:val="0000EE"/>
                  <w:w w:val="95"/>
                </w:rPr>
                <w:t>Securities America, Inc., SunTrust Robinson Humphrey, Inc., TD Securities (USA) LLC, UBS Securities LLC, USCA Securities LLC</w:t>
              </w:r>
            </w:hyperlink>
          </w:p>
        </w:tc>
      </w:tr>
      <w:tr>
        <w:trPr>
          <w:trHeight w:val="196"/>
        </w:trPr>
        <w:tc>
          <w:tcPr>
            <w:tcW w:w="1500" w:type="dxa"/>
            <w:vAlign w:val="bottom"/>
          </w:tcPr>
          <w:p>
            <w:pPr>
              <w:spacing w:after="0"/>
              <w:rPr>
                <w:sz w:val="17"/>
                <w:szCs w:val="17"/>
                <w:color w:val="auto"/>
              </w:rPr>
            </w:pPr>
          </w:p>
        </w:tc>
        <w:tc>
          <w:tcPr>
            <w:tcW w:w="81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297">
              <w:r>
                <w:rPr>
                  <w:rFonts w:ascii="Arial" w:cs="Arial" w:eastAsia="Arial" w:hAnsi="Arial"/>
                  <w:sz w:val="18"/>
                  <w:szCs w:val="18"/>
                  <w:color w:val="0000EE"/>
                  <w:w w:val="91"/>
                </w:rPr>
                <w:t>and Wells Fargo Securities, LLC. (incorporated by reference to Exhibit 1.1 to Form 8-K filed December 1, 2017).</w:t>
              </w:r>
            </w:hyperlink>
          </w:p>
        </w:tc>
        <w:tc>
          <w:tcPr>
            <w:tcW w:w="172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99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298">
              <w:r>
                <w:rPr>
                  <w:rFonts w:ascii="Arial" w:cs="Arial" w:eastAsia="Arial" w:hAnsi="Arial"/>
                  <w:sz w:val="18"/>
                  <w:szCs w:val="18"/>
                  <w:color w:val="0000EE"/>
                  <w:w w:val="90"/>
                </w:rPr>
                <w:t>Retention Bonus Agreement between A. James Teague and Enterprise Products Company dated effective April 15, 2019 (incorporated by</w:t>
              </w:r>
            </w:hyperlink>
          </w:p>
        </w:tc>
      </w:tr>
      <w:tr>
        <w:trPr>
          <w:trHeight w:val="196"/>
        </w:trPr>
        <w:tc>
          <w:tcPr>
            <w:tcW w:w="1500" w:type="dxa"/>
            <w:vAlign w:val="bottom"/>
          </w:tcPr>
          <w:p>
            <w:pPr>
              <w:spacing w:after="0"/>
              <w:rPr>
                <w:sz w:val="17"/>
                <w:szCs w:val="17"/>
                <w:color w:val="auto"/>
              </w:rPr>
            </w:pPr>
          </w:p>
        </w:tc>
        <w:tc>
          <w:tcPr>
            <w:tcW w:w="5940" w:type="dxa"/>
            <w:vAlign w:val="bottom"/>
            <w:gridSpan w:val="8"/>
          </w:tcPr>
          <w:p>
            <w:pPr>
              <w:spacing w:after="0" w:line="196" w:lineRule="exact"/>
              <w:rPr>
                <w:rFonts w:ascii="Arial" w:cs="Arial" w:eastAsia="Arial" w:hAnsi="Arial"/>
                <w:sz w:val="18"/>
                <w:szCs w:val="18"/>
                <w:color w:val="0000EE"/>
              </w:rPr>
            </w:pPr>
            <w:hyperlink r:id="rId298">
              <w:r>
                <w:rPr>
                  <w:rFonts w:ascii="Arial" w:cs="Arial" w:eastAsia="Arial" w:hAnsi="Arial"/>
                  <w:sz w:val="18"/>
                  <w:szCs w:val="18"/>
                  <w:color w:val="0000EE"/>
                </w:rPr>
                <w:t>reference to Exhibit 10.1 to Form 8-K filed April 18, 2019).</w:t>
              </w:r>
            </w:hyperlink>
          </w:p>
        </w:tc>
        <w:tc>
          <w:tcPr>
            <w:tcW w:w="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430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80" w:type="dxa"/>
            <w:vAlign w:val="bottom"/>
            <w:gridSpan w:val="9"/>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99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299">
              <w:r>
                <w:rPr>
                  <w:rFonts w:ascii="Arial" w:cs="Arial" w:eastAsia="Arial" w:hAnsi="Arial"/>
                  <w:sz w:val="18"/>
                  <w:szCs w:val="18"/>
                  <w:color w:val="0000EE"/>
                  <w:w w:val="91"/>
                </w:rPr>
                <w:t>Retention Bonus Agreement between W. Randall Fowler and Enterprise Products Company dated effective April 15, 2019 (incorporated</w:t>
              </w:r>
            </w:hyperlink>
          </w:p>
        </w:tc>
      </w:tr>
      <w:tr>
        <w:trPr>
          <w:trHeight w:val="196"/>
        </w:trPr>
        <w:tc>
          <w:tcPr>
            <w:tcW w:w="1500" w:type="dxa"/>
            <w:vAlign w:val="bottom"/>
          </w:tcPr>
          <w:p>
            <w:pPr>
              <w:spacing w:after="0"/>
              <w:rPr>
                <w:sz w:val="17"/>
                <w:szCs w:val="17"/>
                <w:color w:val="auto"/>
              </w:rPr>
            </w:pPr>
          </w:p>
        </w:tc>
        <w:tc>
          <w:tcPr>
            <w:tcW w:w="5940" w:type="dxa"/>
            <w:vAlign w:val="bottom"/>
            <w:gridSpan w:val="8"/>
          </w:tcPr>
          <w:p>
            <w:pPr>
              <w:spacing w:after="0" w:line="196" w:lineRule="exact"/>
              <w:rPr>
                <w:rFonts w:ascii="Arial" w:cs="Arial" w:eastAsia="Arial" w:hAnsi="Arial"/>
                <w:sz w:val="18"/>
                <w:szCs w:val="18"/>
                <w:color w:val="0000EE"/>
              </w:rPr>
            </w:pPr>
            <w:hyperlink r:id="rId299">
              <w:r>
                <w:rPr>
                  <w:rFonts w:ascii="Arial" w:cs="Arial" w:eastAsia="Arial" w:hAnsi="Arial"/>
                  <w:sz w:val="18"/>
                  <w:szCs w:val="18"/>
                  <w:color w:val="0000EE"/>
                </w:rPr>
                <w:t>by reference to Exhibit 10.2 to Form 8-K filed April 18, 2019).</w:t>
              </w:r>
            </w:hyperlink>
          </w:p>
        </w:tc>
        <w:tc>
          <w:tcPr>
            <w:tcW w:w="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69"/>
        </w:trPr>
        <w:tc>
          <w:tcPr>
            <w:tcW w:w="1500" w:type="dxa"/>
            <w:vAlign w:val="bottom"/>
          </w:tcPr>
          <w:p>
            <w:pPr>
              <w:spacing w:after="0"/>
              <w:rPr>
                <w:sz w:val="24"/>
                <w:szCs w:val="24"/>
                <w:color w:val="auto"/>
              </w:rPr>
            </w:pPr>
          </w:p>
        </w:tc>
        <w:tc>
          <w:tcPr>
            <w:tcW w:w="4540" w:type="dxa"/>
            <w:vAlign w:val="bottom"/>
            <w:tcBorders>
              <w:top w:val="single" w:sz="8" w:color="0000EE"/>
            </w:tcBorders>
            <w:gridSpan w:val="7"/>
          </w:tcPr>
          <w:p>
            <w:pPr>
              <w:ind w:left="4080"/>
              <w:spacing w:after="0"/>
              <w:rPr>
                <w:sz w:val="20"/>
                <w:szCs w:val="20"/>
                <w:color w:val="auto"/>
              </w:rPr>
            </w:pPr>
            <w:r>
              <w:rPr>
                <w:rFonts w:ascii="Arial" w:cs="Arial" w:eastAsia="Arial" w:hAnsi="Arial"/>
                <w:sz w:val="18"/>
                <w:szCs w:val="18"/>
                <w:color w:val="auto"/>
              </w:rPr>
              <w:t>148</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5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50" w:name="page151"/>
    <w:bookmarkEnd w:id="1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10.21***</w:t>
            </w:r>
          </w:p>
        </w:tc>
        <w:tc>
          <w:tcPr>
            <w:tcW w:w="9920" w:type="dxa"/>
            <w:vAlign w:val="bottom"/>
            <w:tcBorders>
              <w:bottom w:val="single" w:sz="8" w:color="0000EE"/>
            </w:tcBorders>
            <w:gridSpan w:val="9"/>
          </w:tcPr>
          <w:p>
            <w:pPr>
              <w:spacing w:after="0"/>
              <w:rPr>
                <w:rFonts w:ascii="Arial" w:cs="Arial" w:eastAsia="Arial" w:hAnsi="Arial"/>
                <w:sz w:val="18"/>
                <w:szCs w:val="18"/>
                <w:color w:val="0000EE"/>
                <w:w w:val="91"/>
              </w:rPr>
            </w:pPr>
            <w:hyperlink r:id="rId300">
              <w:r>
                <w:rPr>
                  <w:rFonts w:ascii="Arial" w:cs="Arial" w:eastAsia="Arial" w:hAnsi="Arial"/>
                  <w:sz w:val="18"/>
                  <w:szCs w:val="18"/>
                  <w:color w:val="0000EE"/>
                  <w:w w:val="91"/>
                </w:rPr>
                <w:t>Retention Bonus Agreement between Graham W. Bacon and Enterprise Products Company dated effective April 15, 2019 (incorporated</w:t>
              </w:r>
            </w:hyperlink>
          </w:p>
        </w:tc>
      </w:tr>
      <w:tr>
        <w:trPr>
          <w:trHeight w:val="196"/>
        </w:trPr>
        <w:tc>
          <w:tcPr>
            <w:tcW w:w="1500" w:type="dxa"/>
            <w:vAlign w:val="bottom"/>
          </w:tcPr>
          <w:p>
            <w:pPr>
              <w:spacing w:after="0"/>
              <w:rPr>
                <w:sz w:val="17"/>
                <w:szCs w:val="17"/>
                <w:color w:val="auto"/>
              </w:rPr>
            </w:pPr>
          </w:p>
        </w:tc>
        <w:tc>
          <w:tcPr>
            <w:tcW w:w="45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300">
              <w:r>
                <w:rPr>
                  <w:rFonts w:ascii="Arial" w:cs="Arial" w:eastAsia="Arial" w:hAnsi="Arial"/>
                  <w:sz w:val="18"/>
                  <w:szCs w:val="18"/>
                  <w:color w:val="0000EE"/>
                  <w:w w:val="93"/>
                </w:rPr>
                <w:t>by reference to Exhibit 10.3 to Form 8-K filed April 18, 2019).</w:t>
              </w:r>
            </w:hyperlink>
          </w:p>
        </w:tc>
        <w:tc>
          <w:tcPr>
            <w:tcW w:w="5380" w:type="dxa"/>
            <w:vAlign w:val="bottom"/>
            <w:gridSpan w:val="3"/>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99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301">
              <w:r>
                <w:rPr>
                  <w:rFonts w:ascii="Arial" w:cs="Arial" w:eastAsia="Arial" w:hAnsi="Arial"/>
                  <w:sz w:val="18"/>
                  <w:szCs w:val="18"/>
                  <w:color w:val="0000EE"/>
                  <w:w w:val="90"/>
                </w:rPr>
                <w:t>Retention Bonus Agreement between Brent B. Secrest and Enterprise Products Company dated effective April 15, 2019 (incorporated by</w:t>
              </w:r>
            </w:hyperlink>
          </w:p>
        </w:tc>
      </w:tr>
      <w:tr>
        <w:trPr>
          <w:trHeight w:val="196"/>
        </w:trPr>
        <w:tc>
          <w:tcPr>
            <w:tcW w:w="1500" w:type="dxa"/>
            <w:vAlign w:val="bottom"/>
          </w:tcPr>
          <w:p>
            <w:pPr>
              <w:spacing w:after="0"/>
              <w:rPr>
                <w:sz w:val="17"/>
                <w:szCs w:val="17"/>
                <w:color w:val="auto"/>
              </w:rPr>
            </w:pPr>
          </w:p>
        </w:tc>
        <w:tc>
          <w:tcPr>
            <w:tcW w:w="9920" w:type="dxa"/>
            <w:vAlign w:val="bottom"/>
            <w:gridSpan w:val="9"/>
          </w:tcPr>
          <w:p>
            <w:pPr>
              <w:spacing w:after="0" w:line="196" w:lineRule="exact"/>
              <w:rPr>
                <w:rFonts w:ascii="Arial" w:cs="Arial" w:eastAsia="Arial" w:hAnsi="Arial"/>
                <w:sz w:val="18"/>
                <w:szCs w:val="18"/>
                <w:color w:val="0000EE"/>
              </w:rPr>
            </w:pPr>
            <w:hyperlink r:id="rId301">
              <w:r>
                <w:rPr>
                  <w:rFonts w:ascii="Arial" w:cs="Arial" w:eastAsia="Arial" w:hAnsi="Arial"/>
                  <w:sz w:val="18"/>
                  <w:szCs w:val="18"/>
                  <w:color w:val="0000EE"/>
                </w:rPr>
                <w:t>reference to Exhibit 10.4 to Form 8-K filed April 18, 2019).</w:t>
              </w:r>
            </w:hyperlink>
          </w:p>
        </w:tc>
      </w:tr>
      <w:tr>
        <w:trPr>
          <w:trHeight w:val="20"/>
        </w:trPr>
        <w:tc>
          <w:tcPr>
            <w:tcW w:w="150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99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302">
              <w:r>
                <w:rPr>
                  <w:rFonts w:ascii="Arial" w:cs="Arial" w:eastAsia="Arial" w:hAnsi="Arial"/>
                  <w:sz w:val="18"/>
                  <w:szCs w:val="18"/>
                  <w:color w:val="0000EE"/>
                  <w:w w:val="91"/>
                </w:rPr>
                <w:t>Retirement, Consulting Services and Release Agreement, dated effective as of August 16, 2019, between Enterprise Products Company</w:t>
              </w:r>
            </w:hyperlink>
          </w:p>
        </w:tc>
      </w:tr>
      <w:tr>
        <w:trPr>
          <w:trHeight w:val="196"/>
        </w:trPr>
        <w:tc>
          <w:tcPr>
            <w:tcW w:w="1500" w:type="dxa"/>
            <w:vAlign w:val="bottom"/>
          </w:tcPr>
          <w:p>
            <w:pPr>
              <w:spacing w:after="0"/>
              <w:rPr>
                <w:sz w:val="17"/>
                <w:szCs w:val="17"/>
                <w:color w:val="auto"/>
              </w:rPr>
            </w:pPr>
          </w:p>
        </w:tc>
        <w:tc>
          <w:tcPr>
            <w:tcW w:w="9920" w:type="dxa"/>
            <w:vAlign w:val="bottom"/>
            <w:gridSpan w:val="9"/>
          </w:tcPr>
          <w:p>
            <w:pPr>
              <w:spacing w:after="0" w:line="196" w:lineRule="exact"/>
              <w:rPr>
                <w:rFonts w:ascii="Arial" w:cs="Arial" w:eastAsia="Arial" w:hAnsi="Arial"/>
                <w:sz w:val="18"/>
                <w:szCs w:val="18"/>
                <w:color w:val="0000EE"/>
              </w:rPr>
            </w:pPr>
            <w:hyperlink r:id="rId302">
              <w:r>
                <w:rPr>
                  <w:rFonts w:ascii="Arial" w:cs="Arial" w:eastAsia="Arial" w:hAnsi="Arial"/>
                  <w:sz w:val="18"/>
                  <w:szCs w:val="18"/>
                  <w:color w:val="0000EE"/>
                </w:rPr>
                <w:t>and William Ordemann (incorporated by reference to Exhibit 10.1 to Form 8-K filed August 22, 2019).</w:t>
              </w:r>
            </w:hyperlink>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4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248">
              <w:r>
                <w:rPr>
                  <w:rFonts w:ascii="Arial" w:cs="Arial" w:eastAsia="Arial" w:hAnsi="Arial"/>
                  <w:sz w:val="18"/>
                  <w:szCs w:val="18"/>
                  <w:color w:val="0000EE"/>
                  <w:w w:val="90"/>
                </w:rPr>
                <w:t>List of consolidated subsidiaries as of February 1, 2020.</w:t>
              </w:r>
            </w:hyperlink>
          </w:p>
        </w:tc>
        <w:tc>
          <w:tcPr>
            <w:tcW w:w="3380" w:type="dxa"/>
            <w:vAlign w:val="bottom"/>
            <w:tcBorders>
              <w:top w:val="single" w:sz="8" w:color="0000EE"/>
            </w:tcBorders>
            <w:gridSpan w:val="3"/>
          </w:tcPr>
          <w:p>
            <w:pPr>
              <w:spacing w:after="0"/>
              <w:rPr>
                <w:sz w:val="17"/>
                <w:szCs w:val="17"/>
                <w:color w:val="auto"/>
              </w:rPr>
            </w:pPr>
          </w:p>
        </w:tc>
        <w:tc>
          <w:tcPr>
            <w:tcW w:w="2500" w:type="dxa"/>
            <w:vAlign w:val="bottom"/>
            <w:gridSpan w:val="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25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253">
              <w:r>
                <w:rPr>
                  <w:rFonts w:ascii="Arial" w:cs="Arial" w:eastAsia="Arial" w:hAnsi="Arial"/>
                  <w:sz w:val="18"/>
                  <w:szCs w:val="18"/>
                  <w:color w:val="0000EE"/>
                  <w:w w:val="91"/>
                </w:rPr>
                <w:t>Consent of Deloitte &amp; Touche LLP.</w:t>
              </w:r>
            </w:hyperlink>
          </w:p>
        </w:tc>
        <w:tc>
          <w:tcPr>
            <w:tcW w:w="7360" w:type="dxa"/>
            <w:vAlign w:val="bottom"/>
            <w:gridSpan w:val="6"/>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99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54">
              <w:r>
                <w:rPr>
                  <w:rFonts w:ascii="Arial" w:cs="Arial" w:eastAsia="Arial" w:hAnsi="Arial"/>
                  <w:sz w:val="18"/>
                  <w:szCs w:val="18"/>
                  <w:color w:val="0000EE"/>
                  <w:w w:val="91"/>
                </w:rPr>
                <w:t>Sarbanes-Oxley Section 302 certification of A. James Teague for Enterprise Products Partners L.P.’s annual report on Form 10-K for the</w:t>
              </w:r>
            </w:hyperlink>
          </w:p>
        </w:tc>
      </w:tr>
      <w:tr>
        <w:trPr>
          <w:trHeight w:val="196"/>
        </w:trPr>
        <w:tc>
          <w:tcPr>
            <w:tcW w:w="1500" w:type="dxa"/>
            <w:vAlign w:val="bottom"/>
          </w:tcPr>
          <w:p>
            <w:pPr>
              <w:spacing w:after="0"/>
              <w:rPr>
                <w:sz w:val="17"/>
                <w:szCs w:val="17"/>
                <w:color w:val="auto"/>
              </w:rPr>
            </w:pPr>
          </w:p>
        </w:tc>
        <w:tc>
          <w:tcPr>
            <w:tcW w:w="9920" w:type="dxa"/>
            <w:vAlign w:val="bottom"/>
            <w:gridSpan w:val="9"/>
          </w:tcPr>
          <w:p>
            <w:pPr>
              <w:spacing w:after="0" w:line="196" w:lineRule="exact"/>
              <w:rPr>
                <w:rFonts w:ascii="Arial" w:cs="Arial" w:eastAsia="Arial" w:hAnsi="Arial"/>
                <w:sz w:val="18"/>
                <w:szCs w:val="18"/>
                <w:color w:val="0000EE"/>
              </w:rPr>
            </w:pPr>
            <w:hyperlink w:anchor="page254">
              <w:r>
                <w:rPr>
                  <w:rFonts w:ascii="Arial" w:cs="Arial" w:eastAsia="Arial" w:hAnsi="Arial"/>
                  <w:sz w:val="18"/>
                  <w:szCs w:val="18"/>
                  <w:color w:val="0000EE"/>
                </w:rPr>
                <w:t>year ended December 31, 2019.</w:t>
              </w:r>
            </w:hyperlink>
          </w:p>
        </w:tc>
      </w:tr>
      <w:tr>
        <w:trPr>
          <w:trHeight w:val="20"/>
        </w:trPr>
        <w:tc>
          <w:tcPr>
            <w:tcW w:w="150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9920" w:type="dxa"/>
            <w:vAlign w:val="bottom"/>
            <w:gridSpan w:val="9"/>
          </w:tcPr>
          <w:p>
            <w:pPr>
              <w:spacing w:after="0" w:line="196" w:lineRule="exact"/>
              <w:rPr>
                <w:rFonts w:ascii="Arial" w:cs="Arial" w:eastAsia="Arial" w:hAnsi="Arial"/>
                <w:sz w:val="18"/>
                <w:szCs w:val="18"/>
                <w:color w:val="0000EE"/>
                <w:w w:val="93"/>
              </w:rPr>
            </w:pPr>
            <w:hyperlink w:anchor="page255">
              <w:r>
                <w:rPr>
                  <w:rFonts w:ascii="Arial" w:cs="Arial" w:eastAsia="Arial" w:hAnsi="Arial"/>
                  <w:sz w:val="18"/>
                  <w:szCs w:val="18"/>
                  <w:color w:val="0000EE"/>
                  <w:w w:val="93"/>
                </w:rPr>
                <w:t>Sarbanes-Oxley Section 302 certification of W. Randall Fowler for Enterprise Products Partners L.P.’s annual report on Form 10-K for</w:t>
              </w:r>
            </w:hyperlink>
          </w:p>
        </w:tc>
      </w:tr>
      <w:tr>
        <w:trPr>
          <w:trHeight w:val="196"/>
        </w:trPr>
        <w:tc>
          <w:tcPr>
            <w:tcW w:w="1500" w:type="dxa"/>
            <w:vAlign w:val="bottom"/>
          </w:tcPr>
          <w:p>
            <w:pPr>
              <w:spacing w:after="0"/>
              <w:rPr>
                <w:sz w:val="17"/>
                <w:szCs w:val="17"/>
                <w:color w:val="auto"/>
              </w:rPr>
            </w:pPr>
          </w:p>
        </w:tc>
        <w:tc>
          <w:tcPr>
            <w:tcW w:w="99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55">
              <w:r>
                <w:rPr>
                  <w:rFonts w:ascii="Arial" w:cs="Arial" w:eastAsia="Arial" w:hAnsi="Arial"/>
                  <w:sz w:val="18"/>
                  <w:szCs w:val="18"/>
                  <w:color w:val="0000EE"/>
                </w:rPr>
                <w:t>the year ended December 31, 2019.</w:t>
              </w:r>
            </w:hyperlink>
          </w:p>
        </w:tc>
        <w:tc>
          <w:tcPr>
            <w:tcW w:w="2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7380" w:type="dxa"/>
            <w:vAlign w:val="bottom"/>
            <w:gridSpan w:val="7"/>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99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56">
              <w:r>
                <w:rPr>
                  <w:rFonts w:ascii="Arial" w:cs="Arial" w:eastAsia="Arial" w:hAnsi="Arial"/>
                  <w:sz w:val="18"/>
                  <w:szCs w:val="18"/>
                  <w:color w:val="0000EE"/>
                  <w:w w:val="91"/>
                </w:rPr>
                <w:t>Sarbanes-Oxley Section 906 certification of A. James Teague for Enterprise Products Partners L.P.’s annual report on Form 10-K for the</w:t>
              </w:r>
            </w:hyperlink>
          </w:p>
        </w:tc>
      </w:tr>
      <w:tr>
        <w:trPr>
          <w:trHeight w:val="196"/>
        </w:trPr>
        <w:tc>
          <w:tcPr>
            <w:tcW w:w="1500" w:type="dxa"/>
            <w:vAlign w:val="bottom"/>
          </w:tcPr>
          <w:p>
            <w:pPr>
              <w:spacing w:after="0"/>
              <w:rPr>
                <w:sz w:val="17"/>
                <w:szCs w:val="17"/>
                <w:color w:val="auto"/>
              </w:rPr>
            </w:pPr>
          </w:p>
        </w:tc>
        <w:tc>
          <w:tcPr>
            <w:tcW w:w="9920" w:type="dxa"/>
            <w:vAlign w:val="bottom"/>
            <w:gridSpan w:val="9"/>
          </w:tcPr>
          <w:p>
            <w:pPr>
              <w:spacing w:after="0" w:line="196" w:lineRule="exact"/>
              <w:rPr>
                <w:rFonts w:ascii="Arial" w:cs="Arial" w:eastAsia="Arial" w:hAnsi="Arial"/>
                <w:sz w:val="18"/>
                <w:szCs w:val="18"/>
                <w:color w:val="0000EE"/>
              </w:rPr>
            </w:pPr>
            <w:hyperlink w:anchor="page256">
              <w:r>
                <w:rPr>
                  <w:rFonts w:ascii="Arial" w:cs="Arial" w:eastAsia="Arial" w:hAnsi="Arial"/>
                  <w:sz w:val="18"/>
                  <w:szCs w:val="18"/>
                  <w:color w:val="0000EE"/>
                </w:rPr>
                <w:t>year ended December 31, 2019.</w:t>
              </w:r>
            </w:hyperlink>
          </w:p>
        </w:tc>
      </w:tr>
      <w:tr>
        <w:trPr>
          <w:trHeight w:val="20"/>
        </w:trPr>
        <w:tc>
          <w:tcPr>
            <w:tcW w:w="150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7640" w:type="dxa"/>
            <w:vAlign w:val="bottom"/>
            <w:gridSpan w:val="8"/>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9920" w:type="dxa"/>
            <w:vAlign w:val="bottom"/>
            <w:gridSpan w:val="9"/>
          </w:tcPr>
          <w:p>
            <w:pPr>
              <w:spacing w:after="0" w:line="196" w:lineRule="exact"/>
              <w:rPr>
                <w:rFonts w:ascii="Arial" w:cs="Arial" w:eastAsia="Arial" w:hAnsi="Arial"/>
                <w:sz w:val="18"/>
                <w:szCs w:val="18"/>
                <w:color w:val="0000EE"/>
                <w:w w:val="93"/>
              </w:rPr>
            </w:pPr>
            <w:hyperlink w:anchor="page257">
              <w:r>
                <w:rPr>
                  <w:rFonts w:ascii="Arial" w:cs="Arial" w:eastAsia="Arial" w:hAnsi="Arial"/>
                  <w:sz w:val="18"/>
                  <w:szCs w:val="18"/>
                  <w:color w:val="0000EE"/>
                  <w:w w:val="93"/>
                </w:rPr>
                <w:t>Sarbanes-Oxley Section 906 certification of W. Randall Fowler for Enterprise Products Partners L.P.’s annual report on Form 10-K for</w:t>
              </w:r>
            </w:hyperlink>
          </w:p>
        </w:tc>
      </w:tr>
      <w:tr>
        <w:trPr>
          <w:trHeight w:val="196"/>
        </w:trPr>
        <w:tc>
          <w:tcPr>
            <w:tcW w:w="1500" w:type="dxa"/>
            <w:vAlign w:val="bottom"/>
          </w:tcPr>
          <w:p>
            <w:pPr>
              <w:spacing w:after="0"/>
              <w:rPr>
                <w:sz w:val="17"/>
                <w:szCs w:val="17"/>
                <w:color w:val="auto"/>
              </w:rPr>
            </w:pPr>
          </w:p>
        </w:tc>
        <w:tc>
          <w:tcPr>
            <w:tcW w:w="99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57">
              <w:r>
                <w:rPr>
                  <w:rFonts w:ascii="Arial" w:cs="Arial" w:eastAsia="Arial" w:hAnsi="Arial"/>
                  <w:sz w:val="18"/>
                  <w:szCs w:val="18"/>
                  <w:color w:val="0000EE"/>
                </w:rPr>
                <w:t>the year ended December 31, 2019.</w:t>
              </w:r>
            </w:hyperlink>
          </w:p>
        </w:tc>
        <w:tc>
          <w:tcPr>
            <w:tcW w:w="2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7380" w:type="dxa"/>
            <w:vAlign w:val="bottom"/>
            <w:gridSpan w:val="7"/>
          </w:tcPr>
          <w:p>
            <w:pPr>
              <w:spacing w:after="0" w:line="20" w:lineRule="exact"/>
              <w:rPr>
                <w:sz w:val="1"/>
                <w:szCs w:val="1"/>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8"/>
                <w:szCs w:val="18"/>
                <w:color w:val="auto"/>
              </w:rPr>
              <w:t>101#</w:t>
            </w:r>
          </w:p>
        </w:tc>
        <w:tc>
          <w:tcPr>
            <w:tcW w:w="9920" w:type="dxa"/>
            <w:vAlign w:val="bottom"/>
            <w:gridSpan w:val="9"/>
          </w:tcPr>
          <w:p>
            <w:pPr>
              <w:spacing w:after="0"/>
              <w:rPr>
                <w:sz w:val="20"/>
                <w:szCs w:val="20"/>
                <w:color w:val="auto"/>
              </w:rPr>
            </w:pPr>
            <w:r>
              <w:rPr>
                <w:rFonts w:ascii="Arial" w:cs="Arial" w:eastAsia="Arial" w:hAnsi="Arial"/>
                <w:sz w:val="18"/>
                <w:szCs w:val="18"/>
                <w:color w:val="auto"/>
                <w:w w:val="94"/>
              </w:rPr>
              <w:t>Interactive data files pursuant to Rule 405 of Regulation S-T formatted in iXBRL (Inline Extensible Business Reporting Language) in</w:t>
            </w:r>
          </w:p>
        </w:tc>
      </w:tr>
      <w:tr>
        <w:trPr>
          <w:trHeight w:val="216"/>
        </w:trPr>
        <w:tc>
          <w:tcPr>
            <w:tcW w:w="1500" w:type="dxa"/>
            <w:vAlign w:val="bottom"/>
          </w:tcPr>
          <w:p>
            <w:pPr>
              <w:spacing w:after="0"/>
              <w:rPr>
                <w:sz w:val="18"/>
                <w:szCs w:val="18"/>
                <w:color w:val="auto"/>
              </w:rPr>
            </w:pPr>
          </w:p>
        </w:tc>
        <w:tc>
          <w:tcPr>
            <w:tcW w:w="9920" w:type="dxa"/>
            <w:vAlign w:val="bottom"/>
            <w:gridSpan w:val="9"/>
          </w:tcPr>
          <w:p>
            <w:pPr>
              <w:spacing w:after="0"/>
              <w:rPr>
                <w:sz w:val="20"/>
                <w:szCs w:val="20"/>
                <w:color w:val="auto"/>
              </w:rPr>
            </w:pPr>
            <w:r>
              <w:rPr>
                <w:rFonts w:ascii="Arial" w:cs="Arial" w:eastAsia="Arial" w:hAnsi="Arial"/>
                <w:sz w:val="18"/>
                <w:szCs w:val="18"/>
                <w:color w:val="auto"/>
                <w:w w:val="94"/>
              </w:rPr>
              <w:t>this Form 10-K includes: (i) the Consolidated Balance Sheets, (ii) the Statements of Consolidated Operations, (iii) the Statements of</w:t>
            </w:r>
          </w:p>
        </w:tc>
      </w:tr>
      <w:tr>
        <w:trPr>
          <w:trHeight w:val="216"/>
        </w:trPr>
        <w:tc>
          <w:tcPr>
            <w:tcW w:w="1500" w:type="dxa"/>
            <w:vAlign w:val="bottom"/>
          </w:tcPr>
          <w:p>
            <w:pPr>
              <w:spacing w:after="0"/>
              <w:rPr>
                <w:sz w:val="18"/>
                <w:szCs w:val="18"/>
                <w:color w:val="auto"/>
              </w:rPr>
            </w:pPr>
          </w:p>
        </w:tc>
        <w:tc>
          <w:tcPr>
            <w:tcW w:w="9920" w:type="dxa"/>
            <w:vAlign w:val="bottom"/>
            <w:gridSpan w:val="9"/>
          </w:tcPr>
          <w:p>
            <w:pPr>
              <w:spacing w:after="0"/>
              <w:rPr>
                <w:sz w:val="20"/>
                <w:szCs w:val="20"/>
                <w:color w:val="auto"/>
              </w:rPr>
            </w:pPr>
            <w:r>
              <w:rPr>
                <w:rFonts w:ascii="Arial" w:cs="Arial" w:eastAsia="Arial" w:hAnsi="Arial"/>
                <w:sz w:val="18"/>
                <w:szCs w:val="18"/>
                <w:color w:val="auto"/>
                <w:w w:val="92"/>
              </w:rPr>
              <w:t>Consolidated Comprehensive Income, (iv) the Statements of Consolidated Cash Flows, (v) the Statements of Consolidated Equity and</w:t>
            </w:r>
          </w:p>
        </w:tc>
      </w:tr>
      <w:tr>
        <w:trPr>
          <w:trHeight w:val="216"/>
        </w:trPr>
        <w:tc>
          <w:tcPr>
            <w:tcW w:w="1500" w:type="dxa"/>
            <w:vAlign w:val="bottom"/>
          </w:tcPr>
          <w:p>
            <w:pPr>
              <w:spacing w:after="0"/>
              <w:rPr>
                <w:sz w:val="18"/>
                <w:szCs w:val="18"/>
                <w:color w:val="auto"/>
              </w:rPr>
            </w:pPr>
          </w:p>
        </w:tc>
        <w:tc>
          <w:tcPr>
            <w:tcW w:w="9920" w:type="dxa"/>
            <w:vAlign w:val="bottom"/>
            <w:gridSpan w:val="9"/>
          </w:tcPr>
          <w:p>
            <w:pPr>
              <w:spacing w:after="0"/>
              <w:rPr>
                <w:sz w:val="20"/>
                <w:szCs w:val="20"/>
                <w:color w:val="auto"/>
              </w:rPr>
            </w:pPr>
            <w:r>
              <w:rPr>
                <w:rFonts w:ascii="Arial" w:cs="Arial" w:eastAsia="Arial" w:hAnsi="Arial"/>
                <w:sz w:val="18"/>
                <w:szCs w:val="18"/>
                <w:color w:val="auto"/>
              </w:rPr>
              <w:t>(vi) Notes to the Consolidated Financial Statements.</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104#</w:t>
            </w:r>
          </w:p>
        </w:tc>
        <w:tc>
          <w:tcPr>
            <w:tcW w:w="9920" w:type="dxa"/>
            <w:vAlign w:val="bottom"/>
            <w:gridSpan w:val="9"/>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45"/>
        </w:trPr>
        <w:tc>
          <w:tcPr>
            <w:tcW w:w="1500" w:type="dxa"/>
            <w:vAlign w:val="bottom"/>
          </w:tcPr>
          <w:p>
            <w:pPr>
              <w:spacing w:after="0"/>
              <w:rPr>
                <w:sz w:val="20"/>
                <w:szCs w:val="20"/>
                <w:color w:val="auto"/>
              </w:rPr>
            </w:pPr>
            <w:r>
              <w:rPr>
                <w:rFonts w:ascii="Arial" w:cs="Arial" w:eastAsia="Arial" w:hAnsi="Arial"/>
                <w:sz w:val="18"/>
                <w:szCs w:val="18"/>
                <w:color w:val="auto"/>
              </w:rPr>
              <w:t>*</w:t>
            </w:r>
          </w:p>
        </w:tc>
        <w:tc>
          <w:tcPr>
            <w:tcW w:w="9920" w:type="dxa"/>
            <w:vAlign w:val="bottom"/>
            <w:gridSpan w:val="9"/>
          </w:tcPr>
          <w:p>
            <w:pPr>
              <w:ind w:left="40"/>
              <w:spacing w:after="0"/>
              <w:rPr>
                <w:sz w:val="20"/>
                <w:szCs w:val="20"/>
                <w:color w:val="auto"/>
              </w:rPr>
            </w:pPr>
            <w:r>
              <w:rPr>
                <w:rFonts w:ascii="Arial" w:cs="Arial" w:eastAsia="Arial" w:hAnsi="Arial"/>
                <w:sz w:val="18"/>
                <w:szCs w:val="18"/>
                <w:color w:val="auto"/>
                <w:w w:val="97"/>
              </w:rPr>
              <w:t>With respect to any exhibits incorporated by reference to any Exchange Act filings, the Commission file numbers for Enterprise</w:t>
            </w:r>
          </w:p>
        </w:tc>
      </w:tr>
      <w:tr>
        <w:trPr>
          <w:trHeight w:val="216"/>
        </w:trPr>
        <w:tc>
          <w:tcPr>
            <w:tcW w:w="1500" w:type="dxa"/>
            <w:vAlign w:val="bottom"/>
          </w:tcPr>
          <w:p>
            <w:pPr>
              <w:spacing w:after="0"/>
              <w:rPr>
                <w:sz w:val="18"/>
                <w:szCs w:val="18"/>
                <w:color w:val="auto"/>
              </w:rPr>
            </w:pPr>
          </w:p>
        </w:tc>
        <w:tc>
          <w:tcPr>
            <w:tcW w:w="9920" w:type="dxa"/>
            <w:vAlign w:val="bottom"/>
            <w:gridSpan w:val="9"/>
          </w:tcPr>
          <w:p>
            <w:pPr>
              <w:ind w:left="40"/>
              <w:spacing w:after="0"/>
              <w:rPr>
                <w:sz w:val="20"/>
                <w:szCs w:val="20"/>
                <w:color w:val="auto"/>
              </w:rPr>
            </w:pPr>
            <w:r>
              <w:rPr>
                <w:rFonts w:ascii="Arial" w:cs="Arial" w:eastAsia="Arial" w:hAnsi="Arial"/>
                <w:sz w:val="18"/>
                <w:szCs w:val="18"/>
                <w:color w:val="auto"/>
                <w:w w:val="92"/>
              </w:rPr>
              <w:t>Products Partners L.P., Enterprise GP Holdings L.P, TEPPCO Partners, L.P. and TE Products Pipeline Company, LLC are 1-14323, 1-</w:t>
            </w:r>
          </w:p>
        </w:tc>
      </w:tr>
      <w:tr>
        <w:trPr>
          <w:trHeight w:val="230"/>
        </w:trPr>
        <w:tc>
          <w:tcPr>
            <w:tcW w:w="1500" w:type="dxa"/>
            <w:vAlign w:val="bottom"/>
          </w:tcPr>
          <w:p>
            <w:pPr>
              <w:spacing w:after="0"/>
              <w:rPr>
                <w:sz w:val="20"/>
                <w:szCs w:val="20"/>
                <w:color w:val="auto"/>
              </w:rPr>
            </w:pPr>
          </w:p>
        </w:tc>
        <w:tc>
          <w:tcPr>
            <w:tcW w:w="9920" w:type="dxa"/>
            <w:vAlign w:val="bottom"/>
            <w:gridSpan w:val="9"/>
          </w:tcPr>
          <w:p>
            <w:pPr>
              <w:ind w:left="40"/>
              <w:spacing w:after="0"/>
              <w:rPr>
                <w:sz w:val="20"/>
                <w:szCs w:val="20"/>
                <w:color w:val="auto"/>
              </w:rPr>
            </w:pPr>
            <w:r>
              <w:rPr>
                <w:rFonts w:ascii="Arial" w:cs="Arial" w:eastAsia="Arial" w:hAnsi="Arial"/>
                <w:sz w:val="18"/>
                <w:szCs w:val="18"/>
                <w:color w:val="auto"/>
              </w:rPr>
              <w:t>32610, 1-10403 and 1-13603, respectively.</w:t>
            </w:r>
          </w:p>
        </w:tc>
      </w:tr>
    </w:tbl>
    <w:p>
      <w:pPr>
        <w:ind w:left="1540" w:hanging="1532"/>
        <w:spacing w:after="0"/>
        <w:tabs>
          <w:tab w:leader="none" w:pos="1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Identifies management contract and compensatory plan arrangements.</w:t>
      </w:r>
    </w:p>
    <w:p>
      <w:pPr>
        <w:spacing w:after="0" w:line="9"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Filed with this report.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16. FORM 10-K SUMMARY.</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Not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1" w:name="page152"/>
    <w:bookmarkEnd w:id="1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28, 2020.</w:t>
      </w:r>
    </w:p>
    <w:p>
      <w:pPr>
        <w:spacing w:after="0" w:line="19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ENTERPRISE PRODUCTS PARTNERS L.P.</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 Delaware Limited Partnership)</w:t>
      </w:r>
    </w:p>
    <w:p>
      <w:pPr>
        <w:spacing w:after="0" w:line="211" w:lineRule="exact"/>
        <w:rPr>
          <w:sz w:val="20"/>
          <w:szCs w:val="20"/>
          <w:color w:val="auto"/>
        </w:rPr>
      </w:pPr>
    </w:p>
    <w:tbl>
      <w:tblPr>
        <w:tblLayout w:type="fixed"/>
        <w:tblInd w:w="628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Pr>
          <w:p>
            <w:pPr>
              <w:spacing w:after="0"/>
              <w:rPr>
                <w:sz w:val="20"/>
                <w:szCs w:val="20"/>
                <w:color w:val="auto"/>
              </w:rPr>
            </w:pPr>
            <w:r>
              <w:rPr>
                <w:rFonts w:ascii="Arial" w:cs="Arial" w:eastAsia="Arial" w:hAnsi="Arial"/>
                <w:sz w:val="18"/>
                <w:szCs w:val="18"/>
                <w:color w:val="auto"/>
              </w:rPr>
              <w:t>Enterprise Products Holdings LLC, as General Partner</w:t>
            </w:r>
          </w:p>
        </w:tc>
      </w:tr>
      <w:tr>
        <w:trPr>
          <w:trHeight w:val="65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 Daniel Boss</w:t>
            </w:r>
          </w:p>
        </w:tc>
      </w:tr>
      <w:tr>
        <w:trPr>
          <w:trHeight w:val="202"/>
        </w:trPr>
        <w:tc>
          <w:tcPr>
            <w:tcW w:w="6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R. Daniel Boss</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w w:val="98"/>
              </w:rPr>
              <w:t>Executive Vice President – Accounting, Risk Control and</w:t>
            </w:r>
          </w:p>
        </w:tc>
      </w:tr>
      <w:tr>
        <w:trPr>
          <w:trHeight w:val="230"/>
        </w:trPr>
        <w:tc>
          <w:tcPr>
            <w:tcW w:w="660" w:type="dxa"/>
            <w:vAlign w:val="bottom"/>
          </w:tcPr>
          <w:p>
            <w:pPr>
              <w:spacing w:after="0"/>
              <w:rPr>
                <w:sz w:val="20"/>
                <w:szCs w:val="20"/>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Information Technology of the General Partner</w:t>
            </w:r>
          </w:p>
        </w:tc>
      </w:tr>
      <w:tr>
        <w:trPr>
          <w:trHeight w:val="65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W. Hanson</w:t>
            </w:r>
          </w:p>
        </w:tc>
      </w:tr>
      <w:tr>
        <w:trPr>
          <w:trHeight w:val="202"/>
        </w:trPr>
        <w:tc>
          <w:tcPr>
            <w:tcW w:w="6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Michael W. Hanson</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Vice President and Principal Accounting Officer</w:t>
            </w:r>
          </w:p>
        </w:tc>
      </w:tr>
      <w:tr>
        <w:trPr>
          <w:trHeight w:val="230"/>
        </w:trPr>
        <w:tc>
          <w:tcPr>
            <w:tcW w:w="660" w:type="dxa"/>
            <w:vAlign w:val="bottom"/>
          </w:tcPr>
          <w:p>
            <w:pPr>
              <w:spacing w:after="0"/>
              <w:rPr>
                <w:sz w:val="20"/>
                <w:szCs w:val="20"/>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of the General Partner</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2" w:name="page153"/>
    <w:bookmarkEnd w:id="1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below on February 28, 2020.</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8981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05">
                      <a:extLst>
                        <a:ext uri="{28A0092B-C50C-407E-A947-70E740481C1C}"/>
                      </a:extLst>
                    </a:blip>
                    <a:srcRect/>
                    <a:stretch>
                      <a:fillRect/>
                    </a:stretch>
                  </pic:blipFill>
                  <pic:spPr bwMode="auto">
                    <a:xfrm>
                      <a:off x="0" y="0"/>
                      <a:ext cx="2289810" cy="17145"/>
                    </a:xfrm>
                    <a:prstGeom prst="rect">
                      <a:avLst/>
                    </a:prstGeom>
                    <a:noFill/>
                  </pic:spPr>
                </pic:pic>
              </a:graphicData>
            </a:graphic>
          </wp:anchor>
        </w:drawing>
      </w:r>
    </w:p>
    <w:p>
      <w:pPr>
        <w:spacing w:after="0" w:line="246" w:lineRule="exact"/>
        <w:rPr>
          <w:sz w:val="20"/>
          <w:szCs w:val="20"/>
          <w:color w:val="auto"/>
        </w:rPr>
      </w:pPr>
    </w:p>
    <w:p>
      <w:pPr>
        <w:ind w:left="140" w:right="1220" w:hanging="134"/>
        <w:spacing w:after="0" w:line="377" w:lineRule="auto"/>
        <w:rPr>
          <w:sz w:val="20"/>
          <w:szCs w:val="20"/>
          <w:color w:val="auto"/>
        </w:rPr>
      </w:pPr>
      <w:r>
        <w:rPr>
          <w:rFonts w:ascii="Arial" w:cs="Arial" w:eastAsia="Arial" w:hAnsi="Arial"/>
          <w:sz w:val="16"/>
          <w:szCs w:val="16"/>
          <w:i w:val="1"/>
          <w:iCs w:val="1"/>
          <w:color w:val="auto"/>
        </w:rPr>
        <w:t xml:space="preserve">/s/ Randa Duncan Williams </w:t>
      </w:r>
      <w:r>
        <w:rPr>
          <w:rFonts w:ascii="Arial" w:cs="Arial" w:eastAsia="Arial" w:hAnsi="Arial"/>
          <w:sz w:val="16"/>
          <w:szCs w:val="16"/>
          <w:color w:val="auto"/>
        </w:rPr>
        <w:t>Randa Duncan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228981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06">
                      <a:extLst>
                        <a:ext uri="{28A0092B-C50C-407E-A947-70E740481C1C}"/>
                      </a:extLst>
                    </a:blip>
                    <a:srcRect/>
                    <a:stretch>
                      <a:fillRect/>
                    </a:stretch>
                  </pic:blipFill>
                  <pic:spPr bwMode="auto">
                    <a:xfrm>
                      <a:off x="0" y="0"/>
                      <a:ext cx="2289810" cy="1714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Richard H. Bachmann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981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7">
                      <a:extLst>
                        <a:ext uri="{28A0092B-C50C-407E-A947-70E740481C1C}"/>
                      </a:extLst>
                    </a:blip>
                    <a:srcRect/>
                    <a:stretch>
                      <a:fillRect/>
                    </a:stretch>
                  </pic:blipFill>
                  <pic:spPr bwMode="auto">
                    <a:xfrm>
                      <a:off x="0" y="0"/>
                      <a:ext cx="2289810" cy="1714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Richard H. Bachmann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 James Teague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981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08">
                      <a:extLst>
                        <a:ext uri="{28A0092B-C50C-407E-A947-70E740481C1C}"/>
                      </a:extLst>
                    </a:blip>
                    <a:srcRect/>
                    <a:stretch>
                      <a:fillRect/>
                    </a:stretch>
                  </pic:blipFill>
                  <pic:spPr bwMode="auto">
                    <a:xfrm>
                      <a:off x="0" y="0"/>
                      <a:ext cx="2289810" cy="1714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 James Teague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W. Randall Fowler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981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09">
                      <a:extLst>
                        <a:ext uri="{28A0092B-C50C-407E-A947-70E740481C1C}"/>
                      </a:extLst>
                    </a:blip>
                    <a:srcRect/>
                    <a:stretch>
                      <a:fillRect/>
                    </a:stretch>
                  </pic:blipFill>
                  <pic:spPr bwMode="auto">
                    <a:xfrm>
                      <a:off x="0" y="0"/>
                      <a:ext cx="2289810" cy="1714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 Randall Fowler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Harry P. Weitzel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981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10">
                      <a:extLst>
                        <a:ext uri="{28A0092B-C50C-407E-A947-70E740481C1C}"/>
                      </a:extLst>
                    </a:blip>
                    <a:srcRect/>
                    <a:stretch>
                      <a:fillRect/>
                    </a:stretch>
                  </pic:blipFill>
                  <pic:spPr bwMode="auto">
                    <a:xfrm>
                      <a:off x="0" y="0"/>
                      <a:ext cx="2289810" cy="1714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Harry P. Weitzel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Carin M. Barth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981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11">
                      <a:extLst>
                        <a:ext uri="{28A0092B-C50C-407E-A947-70E740481C1C}"/>
                      </a:extLst>
                    </a:blip>
                    <a:srcRect/>
                    <a:stretch>
                      <a:fillRect/>
                    </a:stretch>
                  </pic:blipFill>
                  <pic:spPr bwMode="auto">
                    <a:xfrm>
                      <a:off x="0" y="0"/>
                      <a:ext cx="2289810" cy="1714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Carin M. Barth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Murray E. Brasseux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981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12">
                      <a:extLst>
                        <a:ext uri="{28A0092B-C50C-407E-A947-70E740481C1C}"/>
                      </a:extLst>
                    </a:blip>
                    <a:srcRect/>
                    <a:stretch>
                      <a:fillRect/>
                    </a:stretch>
                  </pic:blipFill>
                  <pic:spPr bwMode="auto">
                    <a:xfrm>
                      <a:off x="0" y="0"/>
                      <a:ext cx="2289810" cy="1714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Murray E. Brasseux</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James T. Hackett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981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13">
                      <a:extLst>
                        <a:ext uri="{28A0092B-C50C-407E-A947-70E740481C1C}"/>
                      </a:extLst>
                    </a:blip>
                    <a:srcRect/>
                    <a:stretch>
                      <a:fillRect/>
                    </a:stretch>
                  </pic:blipFill>
                  <pic:spPr bwMode="auto">
                    <a:xfrm>
                      <a:off x="0" y="0"/>
                      <a:ext cx="2289810" cy="1714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James T. Hackett</w:t>
      </w:r>
    </w:p>
    <w:p>
      <w:pPr>
        <w:spacing w:after="0" w:line="212" w:lineRule="exact"/>
        <w:rPr>
          <w:sz w:val="20"/>
          <w:szCs w:val="20"/>
          <w:color w:val="auto"/>
        </w:rPr>
      </w:pPr>
    </w:p>
    <w:p>
      <w:pPr>
        <w:jc w:val="right"/>
        <w:ind w:right="1240"/>
        <w:spacing w:after="0"/>
        <w:rPr>
          <w:sz w:val="20"/>
          <w:szCs w:val="20"/>
          <w:color w:val="auto"/>
        </w:rPr>
      </w:pPr>
      <w:r>
        <w:rPr>
          <w:rFonts w:ascii="Arial" w:cs="Arial" w:eastAsia="Arial" w:hAnsi="Arial"/>
          <w:sz w:val="16"/>
          <w:szCs w:val="16"/>
          <w:i w:val="1"/>
          <w:iCs w:val="1"/>
          <w:color w:val="auto"/>
        </w:rPr>
        <w:t>/s/ William C.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28981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14">
                      <a:extLst>
                        <a:ext uri="{28A0092B-C50C-407E-A947-70E740481C1C}"/>
                      </a:extLst>
                    </a:blip>
                    <a:srcRect/>
                    <a:stretch>
                      <a:fillRect/>
                    </a:stretch>
                  </pic:blipFill>
                  <pic:spPr bwMode="auto">
                    <a:xfrm>
                      <a:off x="0" y="0"/>
                      <a:ext cx="2289810" cy="17145"/>
                    </a:xfrm>
                    <a:prstGeom prst="rect">
                      <a:avLst/>
                    </a:prstGeom>
                    <a:noFill/>
                  </pic:spPr>
                </pic:pic>
              </a:graphicData>
            </a:graphic>
          </wp:anchor>
        </w:drawing>
      </w:r>
    </w:p>
    <w:p>
      <w:pPr>
        <w:spacing w:after="0" w:line="39" w:lineRule="exact"/>
        <w:rPr>
          <w:sz w:val="20"/>
          <w:szCs w:val="20"/>
          <w:color w:val="auto"/>
        </w:rPr>
      </w:pPr>
    </w:p>
    <w:p>
      <w:pPr>
        <w:jc w:val="right"/>
        <w:ind w:right="1280"/>
        <w:spacing w:after="0"/>
        <w:rPr>
          <w:sz w:val="20"/>
          <w:szCs w:val="20"/>
          <w:color w:val="auto"/>
        </w:rPr>
      </w:pPr>
      <w:r>
        <w:rPr>
          <w:rFonts w:ascii="Arial" w:cs="Arial" w:eastAsia="Arial" w:hAnsi="Arial"/>
          <w:sz w:val="18"/>
          <w:szCs w:val="18"/>
          <w:color w:val="auto"/>
        </w:rPr>
        <w:t>William C. Montgomery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John R. Rutherford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981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15">
                      <a:extLst>
                        <a:ext uri="{28A0092B-C50C-407E-A947-70E740481C1C}"/>
                      </a:extLst>
                    </a:blip>
                    <a:srcRect/>
                    <a:stretch>
                      <a:fillRect/>
                    </a:stretch>
                  </pic:blipFill>
                  <pic:spPr bwMode="auto">
                    <a:xfrm>
                      <a:off x="0" y="0"/>
                      <a:ext cx="2289810" cy="1714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John R. Rutherford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Richard S.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981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16">
                      <a:extLst>
                        <a:ext uri="{28A0092B-C50C-407E-A947-70E740481C1C}"/>
                      </a:extLst>
                    </a:blip>
                    <a:srcRect/>
                    <a:stretch>
                      <a:fillRect/>
                    </a:stretch>
                  </pic:blipFill>
                  <pic:spPr bwMode="auto">
                    <a:xfrm>
                      <a:off x="0" y="0"/>
                      <a:ext cx="2289810" cy="1714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Richard S. Snell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 Daniel Boss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981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17">
                      <a:extLst>
                        <a:ext uri="{28A0092B-C50C-407E-A947-70E740481C1C}"/>
                      </a:extLst>
                    </a:blip>
                    <a:srcRect/>
                    <a:stretch>
                      <a:fillRect/>
                    </a:stretch>
                  </pic:blipFill>
                  <pic:spPr bwMode="auto">
                    <a:xfrm>
                      <a:off x="0" y="0"/>
                      <a:ext cx="2289810" cy="1714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 Daniel Boss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Michael W. 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981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18">
                      <a:extLst>
                        <a:ext uri="{28A0092B-C50C-407E-A947-70E740481C1C}"/>
                      </a:extLst>
                    </a:blip>
                    <a:srcRect/>
                    <a:stretch>
                      <a:fillRect/>
                    </a:stretch>
                  </pic:blipFill>
                  <pic:spPr bwMode="auto">
                    <a:xfrm>
                      <a:off x="0" y="0"/>
                      <a:ext cx="2289810" cy="1714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Michael W. Hanson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Title (Position with Enterprise Products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76821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19">
                      <a:extLst>
                        <a:ext uri="{28A0092B-C50C-407E-A947-70E740481C1C}"/>
                      </a:extLst>
                    </a:blip>
                    <a:srcRect/>
                    <a:stretch>
                      <a:fillRect/>
                    </a:stretch>
                  </pic:blipFill>
                  <pic:spPr bwMode="auto">
                    <a:xfrm>
                      <a:off x="0" y="0"/>
                      <a:ext cx="4768215"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Director and Chairman of the Board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 and Vice-Chairman of the Board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 and Co-Chief Executive Officer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 Co-Chief Executive Officer and Chief Financial Officer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 and Executive Vice President, General Counsel and Secretary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1560"/>
        <w:spacing w:after="0"/>
        <w:rPr>
          <w:sz w:val="20"/>
          <w:szCs w:val="20"/>
          <w:color w:val="auto"/>
        </w:rPr>
      </w:pPr>
      <w:r>
        <w:rPr>
          <w:rFonts w:ascii="Arial" w:cs="Arial" w:eastAsia="Arial" w:hAnsi="Arial"/>
          <w:sz w:val="16"/>
          <w:szCs w:val="16"/>
          <w:color w:val="auto"/>
        </w:rPr>
        <w:t>Executive Vice President – Accounting, Risk Control and Information Technology</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Principal Accounting Officer</w:t>
      </w:r>
    </w:p>
    <w:p>
      <w:pPr>
        <w:spacing w:after="0" w:line="429" w:lineRule="exact"/>
        <w:rPr>
          <w:sz w:val="20"/>
          <w:szCs w:val="20"/>
          <w:color w:val="auto"/>
        </w:rPr>
      </w:pPr>
    </w:p>
    <w:p>
      <w:pPr>
        <w:sectPr>
          <w:pgSz w:w="11900" w:h="16838" w:orient="portrait"/>
          <w:cols w:equalWidth="0" w:num="2">
            <w:col w:w="3200" w:space="720"/>
            <w:col w:w="7500"/>
          </w:cols>
          <w:pgMar w:left="240" w:top="12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53" w:name="page154"/>
    <w:bookmarkEnd w:id="1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344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Page No.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80" w:type="dxa"/>
            <w:vAlign w:val="bottom"/>
            <w:gridSpan w:val="30"/>
            <w:shd w:val="clear" w:color="auto" w:fill="CCEEFF"/>
          </w:tcPr>
          <w:p>
            <w:pPr>
              <w:spacing w:after="0" w:line="176" w:lineRule="exact"/>
              <w:rPr>
                <w:rFonts w:ascii="Arial" w:cs="Arial" w:eastAsia="Arial" w:hAnsi="Arial"/>
                <w:sz w:val="18"/>
                <w:szCs w:val="18"/>
                <w:b w:val="1"/>
                <w:bCs w:val="1"/>
                <w:color w:val="0000EE"/>
              </w:rPr>
            </w:pPr>
            <w:hyperlink w:anchor="page155">
              <w:r>
                <w:rPr>
                  <w:rFonts w:ascii="Arial" w:cs="Arial" w:eastAsia="Arial" w:hAnsi="Arial"/>
                  <w:sz w:val="18"/>
                  <w:szCs w:val="18"/>
                  <w:b w:val="1"/>
                  <w:bCs w:val="1"/>
                  <w:color w:val="0000EE"/>
                </w:rPr>
                <w:t>Report of Independent Registered Public Accounting Firm</w:t>
              </w:r>
            </w:hyperlink>
          </w:p>
        </w:tc>
        <w:tc>
          <w:tcPr>
            <w:tcW w:w="54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center"/>
              <w:ind w:right="540"/>
              <w:spacing w:after="0" w:line="176" w:lineRule="exact"/>
              <w:rPr>
                <w:rFonts w:ascii="Arial" w:cs="Arial" w:eastAsia="Arial" w:hAnsi="Arial"/>
                <w:sz w:val="18"/>
                <w:szCs w:val="18"/>
                <w:color w:val="0000EE"/>
                <w:w w:val="96"/>
              </w:rPr>
            </w:pPr>
            <w:hyperlink w:anchor="page155">
              <w:r>
                <w:rPr>
                  <w:rFonts w:ascii="Arial" w:cs="Arial" w:eastAsia="Arial" w:hAnsi="Arial"/>
                  <w:sz w:val="18"/>
                  <w:szCs w:val="18"/>
                  <w:color w:val="0000EE"/>
                  <w:w w:val="96"/>
                </w:rPr>
                <w:t>F-2</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80" w:type="dxa"/>
            <w:vAlign w:val="bottom"/>
            <w:gridSpan w:val="30"/>
            <w:shd w:val="clear" w:color="auto" w:fill="CCEEFF"/>
          </w:tcPr>
          <w:p>
            <w:pPr>
              <w:spacing w:after="0" w:line="176" w:lineRule="exact"/>
              <w:rPr>
                <w:rFonts w:ascii="Arial" w:cs="Arial" w:eastAsia="Arial" w:hAnsi="Arial"/>
                <w:sz w:val="18"/>
                <w:szCs w:val="18"/>
                <w:b w:val="1"/>
                <w:bCs w:val="1"/>
                <w:color w:val="0000EE"/>
              </w:rPr>
            </w:pPr>
            <w:hyperlink w:anchor="page157">
              <w:r>
                <w:rPr>
                  <w:rFonts w:ascii="Arial" w:cs="Arial" w:eastAsia="Arial" w:hAnsi="Arial"/>
                  <w:sz w:val="18"/>
                  <w:szCs w:val="18"/>
                  <w:b w:val="1"/>
                  <w:bCs w:val="1"/>
                  <w:color w:val="0000EE"/>
                </w:rPr>
                <w:t>Consolidated Balance Sheets as of December 31, 2019 and 2018</w:t>
              </w:r>
            </w:hyperlink>
          </w:p>
        </w:tc>
        <w:tc>
          <w:tcPr>
            <w:tcW w:w="54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center"/>
              <w:ind w:right="540"/>
              <w:spacing w:after="0" w:line="176" w:lineRule="exact"/>
              <w:rPr>
                <w:rFonts w:ascii="Arial" w:cs="Arial" w:eastAsia="Arial" w:hAnsi="Arial"/>
                <w:sz w:val="18"/>
                <w:szCs w:val="18"/>
                <w:color w:val="0000EE"/>
                <w:w w:val="96"/>
              </w:rPr>
            </w:pPr>
            <w:hyperlink w:anchor="page157">
              <w:r>
                <w:rPr>
                  <w:rFonts w:ascii="Arial" w:cs="Arial" w:eastAsia="Arial" w:hAnsi="Arial"/>
                  <w:sz w:val="18"/>
                  <w:szCs w:val="18"/>
                  <w:color w:val="0000EE"/>
                  <w:w w:val="96"/>
                </w:rPr>
                <w:t>F-4</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vMerge w:val="continue"/>
          </w:tcPr>
          <w:p>
            <w:pPr>
              <w:spacing w:after="0"/>
              <w:rPr>
                <w:sz w:val="15"/>
                <w:szCs w:val="15"/>
                <w:color w:val="auto"/>
              </w:rPr>
            </w:pPr>
          </w:p>
        </w:tc>
        <w:tc>
          <w:tcPr>
            <w:tcW w:w="300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b w:val="1"/>
                <w:bCs w:val="1"/>
                <w:color w:val="0000EE"/>
                <w:w w:val="88"/>
              </w:rPr>
            </w:pPr>
            <w:hyperlink w:anchor="page158">
              <w:r>
                <w:rPr>
                  <w:rFonts w:ascii="Arial" w:cs="Arial" w:eastAsia="Arial" w:hAnsi="Arial"/>
                  <w:sz w:val="18"/>
                  <w:szCs w:val="18"/>
                  <w:b w:val="1"/>
                  <w:bCs w:val="1"/>
                  <w:color w:val="0000EE"/>
                  <w:w w:val="88"/>
                </w:rPr>
                <w:t>Statements of Consolidated Operations</w:t>
              </w:r>
            </w:hyperlink>
          </w:p>
        </w:tc>
        <w:tc>
          <w:tcPr>
            <w:tcW w:w="6980" w:type="dxa"/>
            <w:vAlign w:val="bottom"/>
            <w:tcBorders>
              <w:bottom w:val="single" w:sz="8" w:color="CCEEFF"/>
            </w:tcBorders>
            <w:gridSpan w:val="19"/>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980" w:type="dxa"/>
            <w:vAlign w:val="bottom"/>
            <w:gridSpan w:val="30"/>
            <w:shd w:val="clear" w:color="auto" w:fill="CCEEFF"/>
          </w:tcPr>
          <w:p>
            <w:pPr>
              <w:spacing w:after="0" w:line="196" w:lineRule="exact"/>
              <w:rPr>
                <w:rFonts w:ascii="Arial" w:cs="Arial" w:eastAsia="Arial" w:hAnsi="Arial"/>
                <w:sz w:val="18"/>
                <w:szCs w:val="18"/>
                <w:b w:val="1"/>
                <w:bCs w:val="1"/>
                <w:color w:val="0000EE"/>
              </w:rPr>
            </w:pPr>
            <w:hyperlink w:anchor="page158">
              <w:r>
                <w:rPr>
                  <w:rFonts w:ascii="Arial" w:cs="Arial" w:eastAsia="Arial" w:hAnsi="Arial"/>
                  <w:sz w:val="18"/>
                  <w:szCs w:val="18"/>
                  <w:b w:val="1"/>
                  <w:bCs w:val="1"/>
                  <w:color w:val="0000EE"/>
                </w:rPr>
                <w:t>for the Years Ended December 31, 2019, 2018 and 2017</w:t>
              </w:r>
            </w:hyperlink>
          </w:p>
        </w:tc>
        <w:tc>
          <w:tcPr>
            <w:tcW w:w="5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center"/>
              <w:ind w:right="540"/>
              <w:spacing w:after="0" w:line="196" w:lineRule="exact"/>
              <w:rPr>
                <w:rFonts w:ascii="Arial" w:cs="Arial" w:eastAsia="Arial" w:hAnsi="Arial"/>
                <w:sz w:val="18"/>
                <w:szCs w:val="18"/>
                <w:color w:val="0000EE"/>
                <w:w w:val="96"/>
              </w:rPr>
            </w:pPr>
            <w:hyperlink w:anchor="page158">
              <w:r>
                <w:rPr>
                  <w:rFonts w:ascii="Arial" w:cs="Arial" w:eastAsia="Arial" w:hAnsi="Arial"/>
                  <w:sz w:val="18"/>
                  <w:szCs w:val="18"/>
                  <w:color w:val="0000EE"/>
                  <w:w w:val="96"/>
                </w:rPr>
                <w:t>F-5</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980" w:type="dxa"/>
            <w:vAlign w:val="bottom"/>
            <w:gridSpan w:val="30"/>
            <w:shd w:val="clear" w:color="auto" w:fill="CCEEFF"/>
          </w:tcPr>
          <w:p>
            <w:pPr>
              <w:spacing w:after="0" w:line="176" w:lineRule="exact"/>
              <w:rPr>
                <w:rFonts w:ascii="Arial" w:cs="Arial" w:eastAsia="Arial" w:hAnsi="Arial"/>
                <w:sz w:val="18"/>
                <w:szCs w:val="18"/>
                <w:b w:val="1"/>
                <w:bCs w:val="1"/>
                <w:color w:val="0000EE"/>
              </w:rPr>
            </w:pPr>
            <w:hyperlink w:anchor="page159">
              <w:r>
                <w:rPr>
                  <w:rFonts w:ascii="Arial" w:cs="Arial" w:eastAsia="Arial" w:hAnsi="Arial"/>
                  <w:sz w:val="18"/>
                  <w:szCs w:val="18"/>
                  <w:b w:val="1"/>
                  <w:bCs w:val="1"/>
                  <w:color w:val="0000EE"/>
                </w:rPr>
                <w:t>Statements of Consolidated Comprehensive Income</w:t>
              </w:r>
            </w:hyperlink>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820" w:type="dxa"/>
            <w:vAlign w:val="bottom"/>
            <w:gridSpan w:val="2"/>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40" w:type="dxa"/>
            <w:vAlign w:val="bottom"/>
            <w:gridSpan w:val="3"/>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980" w:type="dxa"/>
            <w:vAlign w:val="bottom"/>
            <w:gridSpan w:val="30"/>
            <w:shd w:val="clear" w:color="auto" w:fill="CCEEFF"/>
          </w:tcPr>
          <w:p>
            <w:pPr>
              <w:spacing w:after="0" w:line="196" w:lineRule="exact"/>
              <w:rPr>
                <w:rFonts w:ascii="Arial" w:cs="Arial" w:eastAsia="Arial" w:hAnsi="Arial"/>
                <w:sz w:val="18"/>
                <w:szCs w:val="18"/>
                <w:b w:val="1"/>
                <w:bCs w:val="1"/>
                <w:color w:val="0000EE"/>
              </w:rPr>
            </w:pPr>
            <w:hyperlink w:anchor="page159">
              <w:r>
                <w:rPr>
                  <w:rFonts w:ascii="Arial" w:cs="Arial" w:eastAsia="Arial" w:hAnsi="Arial"/>
                  <w:sz w:val="18"/>
                  <w:szCs w:val="18"/>
                  <w:b w:val="1"/>
                  <w:bCs w:val="1"/>
                  <w:color w:val="0000EE"/>
                </w:rPr>
                <w:t>for the Years Ended December 31, 2019, 2018 and 2017</w:t>
              </w:r>
            </w:hyperlink>
          </w:p>
        </w:tc>
        <w:tc>
          <w:tcPr>
            <w:tcW w:w="5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center"/>
              <w:ind w:right="540"/>
              <w:spacing w:after="0" w:line="196" w:lineRule="exact"/>
              <w:rPr>
                <w:rFonts w:ascii="Arial" w:cs="Arial" w:eastAsia="Arial" w:hAnsi="Arial"/>
                <w:sz w:val="18"/>
                <w:szCs w:val="18"/>
                <w:color w:val="0000EE"/>
                <w:w w:val="96"/>
              </w:rPr>
            </w:pPr>
            <w:hyperlink w:anchor="page159">
              <w:r>
                <w:rPr>
                  <w:rFonts w:ascii="Arial" w:cs="Arial" w:eastAsia="Arial" w:hAnsi="Arial"/>
                  <w:sz w:val="18"/>
                  <w:szCs w:val="18"/>
                  <w:color w:val="0000EE"/>
                  <w:w w:val="96"/>
                </w:rPr>
                <w:t>F-6</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vMerge w:val="continue"/>
          </w:tcPr>
          <w:p>
            <w:pPr>
              <w:spacing w:after="0"/>
              <w:rPr>
                <w:sz w:val="15"/>
                <w:szCs w:val="15"/>
                <w:color w:val="auto"/>
              </w:rPr>
            </w:pPr>
          </w:p>
        </w:tc>
        <w:tc>
          <w:tcPr>
            <w:tcW w:w="30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b w:val="1"/>
                <w:bCs w:val="1"/>
                <w:color w:val="0000EE"/>
                <w:w w:val="87"/>
              </w:rPr>
            </w:pPr>
            <w:hyperlink w:anchor="page160">
              <w:r>
                <w:rPr>
                  <w:rFonts w:ascii="Arial" w:cs="Arial" w:eastAsia="Arial" w:hAnsi="Arial"/>
                  <w:sz w:val="18"/>
                  <w:szCs w:val="18"/>
                  <w:b w:val="1"/>
                  <w:bCs w:val="1"/>
                  <w:color w:val="0000EE"/>
                  <w:w w:val="87"/>
                </w:rPr>
                <w:t>Statements of Consolidated Cash Flows</w:t>
              </w:r>
            </w:hyperlink>
          </w:p>
        </w:tc>
        <w:tc>
          <w:tcPr>
            <w:tcW w:w="6960" w:type="dxa"/>
            <w:vAlign w:val="bottom"/>
            <w:tcBorders>
              <w:bottom w:val="single" w:sz="8" w:color="CCEEFF"/>
            </w:tcBorders>
            <w:gridSpan w:val="18"/>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980" w:type="dxa"/>
            <w:vAlign w:val="bottom"/>
            <w:gridSpan w:val="30"/>
            <w:shd w:val="clear" w:color="auto" w:fill="CCEEFF"/>
          </w:tcPr>
          <w:p>
            <w:pPr>
              <w:spacing w:after="0" w:line="196" w:lineRule="exact"/>
              <w:rPr>
                <w:rFonts w:ascii="Arial" w:cs="Arial" w:eastAsia="Arial" w:hAnsi="Arial"/>
                <w:sz w:val="18"/>
                <w:szCs w:val="18"/>
                <w:b w:val="1"/>
                <w:bCs w:val="1"/>
                <w:color w:val="0000EE"/>
              </w:rPr>
            </w:pPr>
            <w:hyperlink w:anchor="page160">
              <w:r>
                <w:rPr>
                  <w:rFonts w:ascii="Arial" w:cs="Arial" w:eastAsia="Arial" w:hAnsi="Arial"/>
                  <w:sz w:val="18"/>
                  <w:szCs w:val="18"/>
                  <w:b w:val="1"/>
                  <w:bCs w:val="1"/>
                  <w:color w:val="0000EE"/>
                </w:rPr>
                <w:t>for the Years Ended December 31, 2019, 2018 and 2017</w:t>
              </w:r>
            </w:hyperlink>
          </w:p>
        </w:tc>
        <w:tc>
          <w:tcPr>
            <w:tcW w:w="5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center"/>
              <w:ind w:right="540"/>
              <w:spacing w:after="0" w:line="196" w:lineRule="exact"/>
              <w:rPr>
                <w:rFonts w:ascii="Arial" w:cs="Arial" w:eastAsia="Arial" w:hAnsi="Arial"/>
                <w:sz w:val="18"/>
                <w:szCs w:val="18"/>
                <w:color w:val="0000EE"/>
                <w:w w:val="96"/>
              </w:rPr>
            </w:pPr>
            <w:hyperlink w:anchor="page160">
              <w:r>
                <w:rPr>
                  <w:rFonts w:ascii="Arial" w:cs="Arial" w:eastAsia="Arial" w:hAnsi="Arial"/>
                  <w:sz w:val="18"/>
                  <w:szCs w:val="18"/>
                  <w:color w:val="0000EE"/>
                  <w:w w:val="96"/>
                </w:rPr>
                <w:t>F-7</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vMerge w:val="continue"/>
          </w:tcPr>
          <w:p>
            <w:pPr>
              <w:spacing w:after="0"/>
              <w:rPr>
                <w:sz w:val="15"/>
                <w:szCs w:val="15"/>
                <w:color w:val="auto"/>
              </w:rPr>
            </w:pPr>
          </w:p>
        </w:tc>
        <w:tc>
          <w:tcPr>
            <w:tcW w:w="26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b w:val="1"/>
                <w:bCs w:val="1"/>
                <w:color w:val="0000EE"/>
                <w:w w:val="88"/>
              </w:rPr>
            </w:pPr>
            <w:hyperlink w:anchor="page161">
              <w:r>
                <w:rPr>
                  <w:rFonts w:ascii="Arial" w:cs="Arial" w:eastAsia="Arial" w:hAnsi="Arial"/>
                  <w:sz w:val="18"/>
                  <w:szCs w:val="18"/>
                  <w:b w:val="1"/>
                  <w:bCs w:val="1"/>
                  <w:color w:val="0000EE"/>
                  <w:w w:val="88"/>
                </w:rPr>
                <w:t>Statements of Consolidated Equity</w:t>
              </w:r>
            </w:hyperlink>
          </w:p>
        </w:tc>
        <w:tc>
          <w:tcPr>
            <w:tcW w:w="7320" w:type="dxa"/>
            <w:vAlign w:val="bottom"/>
            <w:tcBorders>
              <w:bottom w:val="single" w:sz="8" w:color="CCEEFF"/>
            </w:tcBorders>
            <w:gridSpan w:val="22"/>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980" w:type="dxa"/>
            <w:vAlign w:val="bottom"/>
            <w:gridSpan w:val="30"/>
            <w:shd w:val="clear" w:color="auto" w:fill="CCEEFF"/>
          </w:tcPr>
          <w:p>
            <w:pPr>
              <w:spacing w:after="0" w:line="196" w:lineRule="exact"/>
              <w:rPr>
                <w:rFonts w:ascii="Arial" w:cs="Arial" w:eastAsia="Arial" w:hAnsi="Arial"/>
                <w:sz w:val="18"/>
                <w:szCs w:val="18"/>
                <w:b w:val="1"/>
                <w:bCs w:val="1"/>
                <w:color w:val="0000EE"/>
              </w:rPr>
            </w:pPr>
            <w:hyperlink w:anchor="page161">
              <w:r>
                <w:rPr>
                  <w:rFonts w:ascii="Arial" w:cs="Arial" w:eastAsia="Arial" w:hAnsi="Arial"/>
                  <w:sz w:val="18"/>
                  <w:szCs w:val="18"/>
                  <w:b w:val="1"/>
                  <w:bCs w:val="1"/>
                  <w:color w:val="0000EE"/>
                </w:rPr>
                <w:t>for the Years Ended December 31, 2019, 2018 and 2017</w:t>
              </w:r>
            </w:hyperlink>
          </w:p>
        </w:tc>
        <w:tc>
          <w:tcPr>
            <w:tcW w:w="5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center"/>
              <w:ind w:right="540"/>
              <w:spacing w:after="0" w:line="196" w:lineRule="exact"/>
              <w:rPr>
                <w:rFonts w:ascii="Arial" w:cs="Arial" w:eastAsia="Arial" w:hAnsi="Arial"/>
                <w:sz w:val="18"/>
                <w:szCs w:val="18"/>
                <w:color w:val="0000EE"/>
                <w:w w:val="96"/>
              </w:rPr>
            </w:pPr>
            <w:hyperlink w:anchor="page161">
              <w:r>
                <w:rPr>
                  <w:rFonts w:ascii="Arial" w:cs="Arial" w:eastAsia="Arial" w:hAnsi="Arial"/>
                  <w:sz w:val="18"/>
                  <w:szCs w:val="18"/>
                  <w:color w:val="0000EE"/>
                  <w:w w:val="96"/>
                </w:rPr>
                <w:t>F-8</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980" w:type="dxa"/>
            <w:vAlign w:val="bottom"/>
            <w:gridSpan w:val="30"/>
            <w:shd w:val="clear" w:color="auto" w:fill="CCEEFF"/>
          </w:tcPr>
          <w:p>
            <w:pPr>
              <w:spacing w:after="0" w:line="176" w:lineRule="exact"/>
              <w:rPr>
                <w:rFonts w:ascii="Arial" w:cs="Arial" w:eastAsia="Arial" w:hAnsi="Arial"/>
                <w:sz w:val="18"/>
                <w:szCs w:val="18"/>
                <w:b w:val="1"/>
                <w:bCs w:val="1"/>
                <w:color w:val="0000EE"/>
              </w:rPr>
            </w:pPr>
            <w:hyperlink w:anchor="page162">
              <w:r>
                <w:rPr>
                  <w:rFonts w:ascii="Arial" w:cs="Arial" w:eastAsia="Arial" w:hAnsi="Arial"/>
                  <w:sz w:val="18"/>
                  <w:szCs w:val="18"/>
                  <w:b w:val="1"/>
                  <w:bCs w:val="1"/>
                  <w:color w:val="0000EE"/>
                </w:rPr>
                <w:t>Notes to Consolidated Financial Statements</w:t>
              </w:r>
            </w:hyperlink>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line="176" w:lineRule="exact"/>
              <w:rPr>
                <w:rFonts w:ascii="Arial" w:cs="Arial" w:eastAsia="Arial" w:hAnsi="Arial"/>
                <w:sz w:val="18"/>
                <w:szCs w:val="18"/>
                <w:color w:val="0000EE"/>
              </w:rPr>
            </w:pPr>
            <w:hyperlink w:anchor="page162">
              <w:r>
                <w:rPr>
                  <w:rFonts w:ascii="Arial" w:cs="Arial" w:eastAsia="Arial" w:hAnsi="Arial"/>
                  <w:sz w:val="18"/>
                  <w:szCs w:val="18"/>
                  <w:color w:val="0000EE"/>
                </w:rPr>
                <w:t>Note 1</w:t>
              </w:r>
            </w:hyperlink>
          </w:p>
        </w:tc>
        <w:tc>
          <w:tcPr>
            <w:tcW w:w="8900" w:type="dxa"/>
            <w:vAlign w:val="bottom"/>
            <w:gridSpan w:val="28"/>
          </w:tcPr>
          <w:p>
            <w:pPr>
              <w:ind w:left="40"/>
              <w:spacing w:after="0" w:line="176" w:lineRule="exact"/>
              <w:rPr>
                <w:rFonts w:ascii="Arial" w:cs="Arial" w:eastAsia="Arial" w:hAnsi="Arial"/>
                <w:sz w:val="18"/>
                <w:szCs w:val="18"/>
                <w:color w:val="0000EE"/>
              </w:rPr>
            </w:pPr>
            <w:hyperlink w:anchor="page162">
              <w:r>
                <w:rPr>
                  <w:rFonts w:ascii="Arial" w:cs="Arial" w:eastAsia="Arial" w:hAnsi="Arial"/>
                  <w:sz w:val="18"/>
                  <w:szCs w:val="18"/>
                  <w:color w:val="0000EE"/>
                </w:rPr>
                <w:t>– Partnership Organization and Operations</w:t>
              </w:r>
            </w:hyperlink>
          </w:p>
        </w:tc>
        <w:tc>
          <w:tcPr>
            <w:tcW w:w="540" w:type="dxa"/>
            <w:vAlign w:val="bottom"/>
          </w:tcPr>
          <w:p>
            <w:pPr>
              <w:spacing w:after="0"/>
              <w:rPr>
                <w:sz w:val="15"/>
                <w:szCs w:val="15"/>
                <w:color w:val="auto"/>
              </w:rPr>
            </w:pPr>
          </w:p>
        </w:tc>
        <w:tc>
          <w:tcPr>
            <w:tcW w:w="880" w:type="dxa"/>
            <w:vAlign w:val="bottom"/>
            <w:gridSpan w:val="4"/>
          </w:tcPr>
          <w:p>
            <w:pPr>
              <w:jc w:val="center"/>
              <w:ind w:right="540"/>
              <w:spacing w:after="0" w:line="176" w:lineRule="exact"/>
              <w:rPr>
                <w:rFonts w:ascii="Arial" w:cs="Arial" w:eastAsia="Arial" w:hAnsi="Arial"/>
                <w:sz w:val="18"/>
                <w:szCs w:val="18"/>
                <w:color w:val="0000EE"/>
                <w:w w:val="96"/>
              </w:rPr>
            </w:pPr>
            <w:hyperlink w:anchor="page162">
              <w:r>
                <w:rPr>
                  <w:rFonts w:ascii="Arial" w:cs="Arial" w:eastAsia="Arial" w:hAnsi="Arial"/>
                  <w:sz w:val="18"/>
                  <w:szCs w:val="18"/>
                  <w:color w:val="0000EE"/>
                  <w:w w:val="96"/>
                </w:rPr>
                <w:t>F-9</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line="176" w:lineRule="exact"/>
              <w:rPr>
                <w:rFonts w:ascii="Arial" w:cs="Arial" w:eastAsia="Arial" w:hAnsi="Arial"/>
                <w:sz w:val="18"/>
                <w:szCs w:val="18"/>
                <w:color w:val="0000EE"/>
              </w:rPr>
            </w:pPr>
            <w:hyperlink w:anchor="page163">
              <w:r>
                <w:rPr>
                  <w:rFonts w:ascii="Arial" w:cs="Arial" w:eastAsia="Arial" w:hAnsi="Arial"/>
                  <w:sz w:val="18"/>
                  <w:szCs w:val="18"/>
                  <w:color w:val="0000EE"/>
                </w:rPr>
                <w:t>Note 2</w:t>
              </w:r>
            </w:hyperlink>
          </w:p>
        </w:tc>
        <w:tc>
          <w:tcPr>
            <w:tcW w:w="3400" w:type="dxa"/>
            <w:vAlign w:val="bottom"/>
            <w:gridSpan w:val="23"/>
            <w:shd w:val="clear" w:color="auto" w:fill="CCEEFF"/>
          </w:tcPr>
          <w:p>
            <w:pPr>
              <w:ind w:left="40"/>
              <w:spacing w:after="0" w:line="176" w:lineRule="exact"/>
              <w:rPr>
                <w:rFonts w:ascii="Arial" w:cs="Arial" w:eastAsia="Arial" w:hAnsi="Arial"/>
                <w:sz w:val="18"/>
                <w:szCs w:val="18"/>
                <w:color w:val="0000EE"/>
                <w:w w:val="92"/>
              </w:rPr>
            </w:pPr>
            <w:hyperlink w:anchor="page163">
              <w:r>
                <w:rPr>
                  <w:rFonts w:ascii="Arial" w:cs="Arial" w:eastAsia="Arial" w:hAnsi="Arial"/>
                  <w:sz w:val="18"/>
                  <w:szCs w:val="18"/>
                  <w:color w:val="0000EE"/>
                  <w:w w:val="92"/>
                </w:rPr>
                <w:t>– Summary of Significant Accounting Policies</w:t>
              </w:r>
            </w:hyperlink>
          </w:p>
        </w:tc>
        <w:tc>
          <w:tcPr>
            <w:tcW w:w="5500" w:type="dxa"/>
            <w:vAlign w:val="bottom"/>
            <w:gridSpan w:val="5"/>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gridSpan w:val="4"/>
            <w:shd w:val="clear" w:color="auto" w:fill="CCEEFF"/>
          </w:tcPr>
          <w:p>
            <w:pPr>
              <w:jc w:val="center"/>
              <w:ind w:right="540"/>
              <w:spacing w:after="0" w:line="176" w:lineRule="exact"/>
              <w:rPr>
                <w:rFonts w:ascii="Arial" w:cs="Arial" w:eastAsia="Arial" w:hAnsi="Arial"/>
                <w:sz w:val="18"/>
                <w:szCs w:val="18"/>
                <w:color w:val="0000EE"/>
                <w:w w:val="91"/>
              </w:rPr>
            </w:pPr>
            <w:hyperlink w:anchor="page163">
              <w:r>
                <w:rPr>
                  <w:rFonts w:ascii="Arial" w:cs="Arial" w:eastAsia="Arial" w:hAnsi="Arial"/>
                  <w:sz w:val="18"/>
                  <w:szCs w:val="18"/>
                  <w:color w:val="0000EE"/>
                  <w:w w:val="91"/>
                </w:rPr>
                <w:t>F-10</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line="176" w:lineRule="exact"/>
              <w:rPr>
                <w:rFonts w:ascii="Arial" w:cs="Arial" w:eastAsia="Arial" w:hAnsi="Arial"/>
                <w:sz w:val="18"/>
                <w:szCs w:val="18"/>
                <w:color w:val="0000EE"/>
              </w:rPr>
            </w:pPr>
            <w:hyperlink w:anchor="page171">
              <w:r>
                <w:rPr>
                  <w:rFonts w:ascii="Arial" w:cs="Arial" w:eastAsia="Arial" w:hAnsi="Arial"/>
                  <w:sz w:val="18"/>
                  <w:szCs w:val="18"/>
                  <w:color w:val="0000EE"/>
                </w:rPr>
                <w:t>Note 3</w:t>
              </w:r>
            </w:hyperlink>
          </w:p>
        </w:tc>
        <w:tc>
          <w:tcPr>
            <w:tcW w:w="3400" w:type="dxa"/>
            <w:vAlign w:val="bottom"/>
            <w:gridSpan w:val="23"/>
          </w:tcPr>
          <w:p>
            <w:pPr>
              <w:ind w:left="40"/>
              <w:spacing w:after="0" w:line="176" w:lineRule="exact"/>
              <w:rPr>
                <w:rFonts w:ascii="Arial" w:cs="Arial" w:eastAsia="Arial" w:hAnsi="Arial"/>
                <w:sz w:val="18"/>
                <w:szCs w:val="18"/>
                <w:color w:val="0000EE"/>
              </w:rPr>
            </w:pPr>
            <w:hyperlink w:anchor="page171">
              <w:r>
                <w:rPr>
                  <w:rFonts w:ascii="Arial" w:cs="Arial" w:eastAsia="Arial" w:hAnsi="Arial"/>
                  <w:sz w:val="18"/>
                  <w:szCs w:val="18"/>
                  <w:color w:val="0000EE"/>
                </w:rPr>
                <w:t>– Inventories</w:t>
              </w:r>
            </w:hyperlink>
          </w:p>
        </w:tc>
        <w:tc>
          <w:tcPr>
            <w:tcW w:w="5500" w:type="dxa"/>
            <w:vAlign w:val="bottom"/>
            <w:gridSpan w:val="5"/>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gridSpan w:val="4"/>
          </w:tcPr>
          <w:p>
            <w:pPr>
              <w:jc w:val="center"/>
              <w:ind w:right="540"/>
              <w:spacing w:after="0" w:line="176" w:lineRule="exact"/>
              <w:rPr>
                <w:rFonts w:ascii="Arial" w:cs="Arial" w:eastAsia="Arial" w:hAnsi="Arial"/>
                <w:sz w:val="18"/>
                <w:szCs w:val="18"/>
                <w:color w:val="0000EE"/>
                <w:w w:val="91"/>
              </w:rPr>
            </w:pPr>
            <w:hyperlink w:anchor="page171">
              <w:r>
                <w:rPr>
                  <w:rFonts w:ascii="Arial" w:cs="Arial" w:eastAsia="Arial" w:hAnsi="Arial"/>
                  <w:sz w:val="18"/>
                  <w:szCs w:val="18"/>
                  <w:color w:val="0000EE"/>
                  <w:w w:val="91"/>
                </w:rPr>
                <w:t>F-18</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line="176" w:lineRule="exact"/>
              <w:rPr>
                <w:rFonts w:ascii="Arial" w:cs="Arial" w:eastAsia="Arial" w:hAnsi="Arial"/>
                <w:sz w:val="18"/>
                <w:szCs w:val="18"/>
                <w:color w:val="0000EE"/>
              </w:rPr>
            </w:pPr>
            <w:hyperlink w:anchor="page172">
              <w:r>
                <w:rPr>
                  <w:rFonts w:ascii="Arial" w:cs="Arial" w:eastAsia="Arial" w:hAnsi="Arial"/>
                  <w:sz w:val="18"/>
                  <w:szCs w:val="18"/>
                  <w:color w:val="0000EE"/>
                </w:rPr>
                <w:t>Note 4</w:t>
              </w:r>
            </w:hyperlink>
          </w:p>
        </w:tc>
        <w:tc>
          <w:tcPr>
            <w:tcW w:w="2380" w:type="dxa"/>
            <w:vAlign w:val="bottom"/>
            <w:gridSpan w:val="14"/>
            <w:shd w:val="clear" w:color="auto" w:fill="CCEEFF"/>
          </w:tcPr>
          <w:p>
            <w:pPr>
              <w:ind w:left="40"/>
              <w:spacing w:after="0" w:line="176" w:lineRule="exact"/>
              <w:rPr>
                <w:rFonts w:ascii="Arial" w:cs="Arial" w:eastAsia="Arial" w:hAnsi="Arial"/>
                <w:sz w:val="18"/>
                <w:szCs w:val="18"/>
                <w:color w:val="0000EE"/>
                <w:w w:val="89"/>
              </w:rPr>
            </w:pPr>
            <w:hyperlink w:anchor="page172">
              <w:r>
                <w:rPr>
                  <w:rFonts w:ascii="Arial" w:cs="Arial" w:eastAsia="Arial" w:hAnsi="Arial"/>
                  <w:sz w:val="18"/>
                  <w:szCs w:val="18"/>
                  <w:color w:val="0000EE"/>
                  <w:w w:val="89"/>
                </w:rPr>
                <w:t>– Property, Plant and Equipment</w:t>
              </w:r>
            </w:hyperlink>
          </w:p>
        </w:tc>
        <w:tc>
          <w:tcPr>
            <w:tcW w:w="6520" w:type="dxa"/>
            <w:vAlign w:val="bottom"/>
            <w:gridSpan w:val="14"/>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gridSpan w:val="4"/>
            <w:shd w:val="clear" w:color="auto" w:fill="CCEEFF"/>
          </w:tcPr>
          <w:p>
            <w:pPr>
              <w:jc w:val="center"/>
              <w:ind w:right="540"/>
              <w:spacing w:after="0" w:line="176" w:lineRule="exact"/>
              <w:rPr>
                <w:rFonts w:ascii="Arial" w:cs="Arial" w:eastAsia="Arial" w:hAnsi="Arial"/>
                <w:sz w:val="18"/>
                <w:szCs w:val="18"/>
                <w:color w:val="0000EE"/>
                <w:w w:val="91"/>
              </w:rPr>
            </w:pPr>
            <w:hyperlink w:anchor="page172">
              <w:r>
                <w:rPr>
                  <w:rFonts w:ascii="Arial" w:cs="Arial" w:eastAsia="Arial" w:hAnsi="Arial"/>
                  <w:sz w:val="18"/>
                  <w:szCs w:val="18"/>
                  <w:color w:val="0000EE"/>
                  <w:w w:val="91"/>
                </w:rPr>
                <w:t>F-19</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line="176" w:lineRule="exact"/>
              <w:rPr>
                <w:rFonts w:ascii="Arial" w:cs="Arial" w:eastAsia="Arial" w:hAnsi="Arial"/>
                <w:sz w:val="18"/>
                <w:szCs w:val="18"/>
                <w:color w:val="0000EE"/>
              </w:rPr>
            </w:pPr>
            <w:hyperlink w:anchor="page174">
              <w:r>
                <w:rPr>
                  <w:rFonts w:ascii="Arial" w:cs="Arial" w:eastAsia="Arial" w:hAnsi="Arial"/>
                  <w:sz w:val="18"/>
                  <w:szCs w:val="18"/>
                  <w:color w:val="0000EE"/>
                </w:rPr>
                <w:t>Note 5</w:t>
              </w:r>
            </w:hyperlink>
          </w:p>
        </w:tc>
        <w:tc>
          <w:tcPr>
            <w:tcW w:w="8900" w:type="dxa"/>
            <w:vAlign w:val="bottom"/>
            <w:gridSpan w:val="28"/>
          </w:tcPr>
          <w:p>
            <w:pPr>
              <w:ind w:left="40"/>
              <w:spacing w:after="0" w:line="176" w:lineRule="exact"/>
              <w:rPr>
                <w:rFonts w:ascii="Arial" w:cs="Arial" w:eastAsia="Arial" w:hAnsi="Arial"/>
                <w:sz w:val="18"/>
                <w:szCs w:val="18"/>
                <w:color w:val="0000EE"/>
              </w:rPr>
            </w:pPr>
            <w:hyperlink w:anchor="page174">
              <w:r>
                <w:rPr>
                  <w:rFonts w:ascii="Arial" w:cs="Arial" w:eastAsia="Arial" w:hAnsi="Arial"/>
                  <w:sz w:val="18"/>
                  <w:szCs w:val="18"/>
                  <w:color w:val="0000EE"/>
                </w:rPr>
                <w:t>– Investments in Unconsolidated Affiliates</w:t>
              </w:r>
            </w:hyperlink>
          </w:p>
        </w:tc>
        <w:tc>
          <w:tcPr>
            <w:tcW w:w="1420" w:type="dxa"/>
            <w:vAlign w:val="bottom"/>
            <w:gridSpan w:val="5"/>
          </w:tcPr>
          <w:p>
            <w:pPr>
              <w:jc w:val="center"/>
              <w:spacing w:after="0" w:line="176" w:lineRule="exact"/>
              <w:rPr>
                <w:rFonts w:ascii="Arial" w:cs="Arial" w:eastAsia="Arial" w:hAnsi="Arial"/>
                <w:sz w:val="18"/>
                <w:szCs w:val="18"/>
                <w:color w:val="0000EE"/>
                <w:w w:val="91"/>
              </w:rPr>
            </w:pPr>
            <w:hyperlink w:anchor="page174">
              <w:r>
                <w:rPr>
                  <w:rFonts w:ascii="Arial" w:cs="Arial" w:eastAsia="Arial" w:hAnsi="Arial"/>
                  <w:sz w:val="18"/>
                  <w:szCs w:val="18"/>
                  <w:color w:val="0000EE"/>
                  <w:w w:val="91"/>
                </w:rPr>
                <w:t>F-21</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line="176" w:lineRule="exact"/>
              <w:rPr>
                <w:rFonts w:ascii="Arial" w:cs="Arial" w:eastAsia="Arial" w:hAnsi="Arial"/>
                <w:sz w:val="18"/>
                <w:szCs w:val="18"/>
                <w:color w:val="0000EE"/>
              </w:rPr>
            </w:pPr>
            <w:hyperlink w:anchor="page177">
              <w:r>
                <w:rPr>
                  <w:rFonts w:ascii="Arial" w:cs="Arial" w:eastAsia="Arial" w:hAnsi="Arial"/>
                  <w:sz w:val="18"/>
                  <w:szCs w:val="18"/>
                  <w:color w:val="0000EE"/>
                </w:rPr>
                <w:t>Note 6</w:t>
              </w:r>
            </w:hyperlink>
          </w:p>
        </w:tc>
        <w:tc>
          <w:tcPr>
            <w:tcW w:w="8900" w:type="dxa"/>
            <w:vAlign w:val="bottom"/>
            <w:gridSpan w:val="28"/>
            <w:shd w:val="clear" w:color="auto" w:fill="CCEEFF"/>
          </w:tcPr>
          <w:p>
            <w:pPr>
              <w:ind w:left="40"/>
              <w:spacing w:after="0" w:line="176" w:lineRule="exact"/>
              <w:rPr>
                <w:rFonts w:ascii="Arial" w:cs="Arial" w:eastAsia="Arial" w:hAnsi="Arial"/>
                <w:sz w:val="18"/>
                <w:szCs w:val="18"/>
                <w:color w:val="0000EE"/>
              </w:rPr>
            </w:pPr>
            <w:hyperlink w:anchor="page177">
              <w:r>
                <w:rPr>
                  <w:rFonts w:ascii="Arial" w:cs="Arial" w:eastAsia="Arial" w:hAnsi="Arial"/>
                  <w:sz w:val="18"/>
                  <w:szCs w:val="18"/>
                  <w:color w:val="0000EE"/>
                </w:rPr>
                <w:t>– Intangible Assets and Goodwill</w:t>
              </w:r>
            </w:hyperlink>
          </w:p>
        </w:tc>
        <w:tc>
          <w:tcPr>
            <w:tcW w:w="1420" w:type="dxa"/>
            <w:vAlign w:val="bottom"/>
            <w:gridSpan w:val="5"/>
            <w:shd w:val="clear" w:color="auto" w:fill="CCEEFF"/>
          </w:tcPr>
          <w:p>
            <w:pPr>
              <w:jc w:val="center"/>
              <w:spacing w:after="0" w:line="176" w:lineRule="exact"/>
              <w:rPr>
                <w:rFonts w:ascii="Arial" w:cs="Arial" w:eastAsia="Arial" w:hAnsi="Arial"/>
                <w:sz w:val="18"/>
                <w:szCs w:val="18"/>
                <w:color w:val="0000EE"/>
                <w:w w:val="91"/>
              </w:rPr>
            </w:pPr>
            <w:hyperlink w:anchor="page177">
              <w:r>
                <w:rPr>
                  <w:rFonts w:ascii="Arial" w:cs="Arial" w:eastAsia="Arial" w:hAnsi="Arial"/>
                  <w:sz w:val="18"/>
                  <w:szCs w:val="18"/>
                  <w:color w:val="0000EE"/>
                  <w:w w:val="91"/>
                </w:rPr>
                <w:t>F-24</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line="176" w:lineRule="exact"/>
              <w:rPr>
                <w:rFonts w:ascii="Arial" w:cs="Arial" w:eastAsia="Arial" w:hAnsi="Arial"/>
                <w:sz w:val="18"/>
                <w:szCs w:val="18"/>
                <w:color w:val="0000EE"/>
              </w:rPr>
            </w:pPr>
            <w:hyperlink w:anchor="page181">
              <w:r>
                <w:rPr>
                  <w:rFonts w:ascii="Arial" w:cs="Arial" w:eastAsia="Arial" w:hAnsi="Arial"/>
                  <w:sz w:val="18"/>
                  <w:szCs w:val="18"/>
                  <w:color w:val="0000EE"/>
                </w:rPr>
                <w:t>Note 7</w:t>
              </w:r>
            </w:hyperlink>
          </w:p>
        </w:tc>
        <w:tc>
          <w:tcPr>
            <w:tcW w:w="2440" w:type="dxa"/>
            <w:vAlign w:val="bottom"/>
            <w:gridSpan w:val="15"/>
          </w:tcPr>
          <w:p>
            <w:pPr>
              <w:ind w:left="40"/>
              <w:spacing w:after="0" w:line="176" w:lineRule="exact"/>
              <w:rPr>
                <w:rFonts w:ascii="Arial" w:cs="Arial" w:eastAsia="Arial" w:hAnsi="Arial"/>
                <w:sz w:val="18"/>
                <w:szCs w:val="18"/>
                <w:color w:val="0000EE"/>
              </w:rPr>
            </w:pPr>
            <w:hyperlink w:anchor="page181">
              <w:r>
                <w:rPr>
                  <w:rFonts w:ascii="Arial" w:cs="Arial" w:eastAsia="Arial" w:hAnsi="Arial"/>
                  <w:sz w:val="18"/>
                  <w:szCs w:val="18"/>
                  <w:color w:val="0000EE"/>
                </w:rPr>
                <w:t>– Debt Obligations</w:t>
              </w:r>
            </w:hyperlink>
          </w:p>
        </w:tc>
        <w:tc>
          <w:tcPr>
            <w:tcW w:w="6460" w:type="dxa"/>
            <w:vAlign w:val="bottom"/>
            <w:gridSpan w:val="13"/>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gridSpan w:val="4"/>
          </w:tcPr>
          <w:p>
            <w:pPr>
              <w:jc w:val="center"/>
              <w:ind w:right="540"/>
              <w:spacing w:after="0" w:line="176" w:lineRule="exact"/>
              <w:rPr>
                <w:rFonts w:ascii="Arial" w:cs="Arial" w:eastAsia="Arial" w:hAnsi="Arial"/>
                <w:sz w:val="18"/>
                <w:szCs w:val="18"/>
                <w:color w:val="0000EE"/>
                <w:w w:val="91"/>
              </w:rPr>
            </w:pPr>
            <w:hyperlink w:anchor="page181">
              <w:r>
                <w:rPr>
                  <w:rFonts w:ascii="Arial" w:cs="Arial" w:eastAsia="Arial" w:hAnsi="Arial"/>
                  <w:sz w:val="18"/>
                  <w:szCs w:val="18"/>
                  <w:color w:val="0000EE"/>
                  <w:w w:val="91"/>
                </w:rPr>
                <w:t>F-28</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line="176" w:lineRule="exact"/>
              <w:rPr>
                <w:rFonts w:ascii="Arial" w:cs="Arial" w:eastAsia="Arial" w:hAnsi="Arial"/>
                <w:sz w:val="18"/>
                <w:szCs w:val="18"/>
                <w:color w:val="0000EE"/>
              </w:rPr>
            </w:pPr>
            <w:hyperlink w:anchor="page184">
              <w:r>
                <w:rPr>
                  <w:rFonts w:ascii="Arial" w:cs="Arial" w:eastAsia="Arial" w:hAnsi="Arial"/>
                  <w:sz w:val="18"/>
                  <w:szCs w:val="18"/>
                  <w:color w:val="0000EE"/>
                </w:rPr>
                <w:t>Note 8</w:t>
              </w:r>
            </w:hyperlink>
          </w:p>
        </w:tc>
        <w:tc>
          <w:tcPr>
            <w:tcW w:w="1940" w:type="dxa"/>
            <w:vAlign w:val="bottom"/>
            <w:gridSpan w:val="10"/>
            <w:shd w:val="clear" w:color="auto" w:fill="CCEEFF"/>
          </w:tcPr>
          <w:p>
            <w:pPr>
              <w:ind w:left="40"/>
              <w:spacing w:after="0" w:line="176" w:lineRule="exact"/>
              <w:rPr>
                <w:rFonts w:ascii="Arial" w:cs="Arial" w:eastAsia="Arial" w:hAnsi="Arial"/>
                <w:sz w:val="18"/>
                <w:szCs w:val="18"/>
                <w:color w:val="0000EE"/>
                <w:w w:val="92"/>
              </w:rPr>
            </w:pPr>
            <w:hyperlink w:anchor="page184">
              <w:r>
                <w:rPr>
                  <w:rFonts w:ascii="Arial" w:cs="Arial" w:eastAsia="Arial" w:hAnsi="Arial"/>
                  <w:sz w:val="18"/>
                  <w:szCs w:val="18"/>
                  <w:color w:val="0000EE"/>
                  <w:w w:val="92"/>
                </w:rPr>
                <w:t>– Equity and Distributions</w:t>
              </w:r>
            </w:hyperlink>
          </w:p>
        </w:tc>
        <w:tc>
          <w:tcPr>
            <w:tcW w:w="6960" w:type="dxa"/>
            <w:vAlign w:val="bottom"/>
            <w:gridSpan w:val="18"/>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gridSpan w:val="4"/>
            <w:shd w:val="clear" w:color="auto" w:fill="CCEEFF"/>
          </w:tcPr>
          <w:p>
            <w:pPr>
              <w:jc w:val="center"/>
              <w:ind w:right="540"/>
              <w:spacing w:after="0" w:line="176" w:lineRule="exact"/>
              <w:rPr>
                <w:rFonts w:ascii="Arial" w:cs="Arial" w:eastAsia="Arial" w:hAnsi="Arial"/>
                <w:sz w:val="18"/>
                <w:szCs w:val="18"/>
                <w:color w:val="0000EE"/>
                <w:w w:val="91"/>
              </w:rPr>
            </w:pPr>
            <w:hyperlink w:anchor="page184">
              <w:r>
                <w:rPr>
                  <w:rFonts w:ascii="Arial" w:cs="Arial" w:eastAsia="Arial" w:hAnsi="Arial"/>
                  <w:sz w:val="18"/>
                  <w:szCs w:val="18"/>
                  <w:color w:val="0000EE"/>
                  <w:w w:val="91"/>
                </w:rPr>
                <w:t>F-31</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line="176" w:lineRule="exact"/>
              <w:rPr>
                <w:rFonts w:ascii="Arial" w:cs="Arial" w:eastAsia="Arial" w:hAnsi="Arial"/>
                <w:sz w:val="18"/>
                <w:szCs w:val="18"/>
                <w:color w:val="0000EE"/>
              </w:rPr>
            </w:pPr>
            <w:hyperlink w:anchor="page190">
              <w:r>
                <w:rPr>
                  <w:rFonts w:ascii="Arial" w:cs="Arial" w:eastAsia="Arial" w:hAnsi="Arial"/>
                  <w:sz w:val="18"/>
                  <w:szCs w:val="18"/>
                  <w:color w:val="0000EE"/>
                </w:rPr>
                <w:t>Note 9</w:t>
              </w:r>
            </w:hyperlink>
          </w:p>
        </w:tc>
        <w:tc>
          <w:tcPr>
            <w:tcW w:w="1940" w:type="dxa"/>
            <w:vAlign w:val="bottom"/>
            <w:gridSpan w:val="10"/>
          </w:tcPr>
          <w:p>
            <w:pPr>
              <w:ind w:left="40"/>
              <w:spacing w:after="0" w:line="176" w:lineRule="exact"/>
              <w:rPr>
                <w:rFonts w:ascii="Arial" w:cs="Arial" w:eastAsia="Arial" w:hAnsi="Arial"/>
                <w:sz w:val="18"/>
                <w:szCs w:val="18"/>
                <w:color w:val="0000EE"/>
              </w:rPr>
            </w:pPr>
            <w:hyperlink w:anchor="page190">
              <w:r>
                <w:rPr>
                  <w:rFonts w:ascii="Arial" w:cs="Arial" w:eastAsia="Arial" w:hAnsi="Arial"/>
                  <w:sz w:val="18"/>
                  <w:szCs w:val="18"/>
                  <w:color w:val="0000EE"/>
                </w:rPr>
                <w:t>– Revenues</w:t>
              </w:r>
            </w:hyperlink>
          </w:p>
        </w:tc>
        <w:tc>
          <w:tcPr>
            <w:tcW w:w="6960" w:type="dxa"/>
            <w:vAlign w:val="bottom"/>
            <w:gridSpan w:val="18"/>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gridSpan w:val="4"/>
          </w:tcPr>
          <w:p>
            <w:pPr>
              <w:jc w:val="center"/>
              <w:ind w:right="540"/>
              <w:spacing w:after="0" w:line="176" w:lineRule="exact"/>
              <w:rPr>
                <w:rFonts w:ascii="Arial" w:cs="Arial" w:eastAsia="Arial" w:hAnsi="Arial"/>
                <w:sz w:val="18"/>
                <w:szCs w:val="18"/>
                <w:color w:val="0000EE"/>
                <w:w w:val="91"/>
              </w:rPr>
            </w:pPr>
            <w:hyperlink w:anchor="page190">
              <w:r>
                <w:rPr>
                  <w:rFonts w:ascii="Arial" w:cs="Arial" w:eastAsia="Arial" w:hAnsi="Arial"/>
                  <w:sz w:val="18"/>
                  <w:szCs w:val="18"/>
                  <w:color w:val="0000EE"/>
                  <w:w w:val="91"/>
                </w:rPr>
                <w:t>F-37</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line="176" w:lineRule="exact"/>
              <w:rPr>
                <w:rFonts w:ascii="Arial" w:cs="Arial" w:eastAsia="Arial" w:hAnsi="Arial"/>
                <w:sz w:val="18"/>
                <w:szCs w:val="18"/>
                <w:color w:val="0000EE"/>
                <w:w w:val="88"/>
              </w:rPr>
            </w:pPr>
            <w:hyperlink w:anchor="page194">
              <w:r>
                <w:rPr>
                  <w:rFonts w:ascii="Arial" w:cs="Arial" w:eastAsia="Arial" w:hAnsi="Arial"/>
                  <w:sz w:val="18"/>
                  <w:szCs w:val="18"/>
                  <w:color w:val="0000EE"/>
                  <w:w w:val="88"/>
                </w:rPr>
                <w:t>Note 10</w:t>
              </w:r>
            </w:hyperlink>
          </w:p>
        </w:tc>
        <w:tc>
          <w:tcPr>
            <w:tcW w:w="3360" w:type="dxa"/>
            <w:vAlign w:val="bottom"/>
            <w:gridSpan w:val="22"/>
            <w:shd w:val="clear" w:color="auto" w:fill="CCEEFF"/>
          </w:tcPr>
          <w:p>
            <w:pPr>
              <w:ind w:left="40"/>
              <w:spacing w:after="0" w:line="176" w:lineRule="exact"/>
              <w:rPr>
                <w:rFonts w:ascii="Arial" w:cs="Arial" w:eastAsia="Arial" w:hAnsi="Arial"/>
                <w:sz w:val="18"/>
                <w:szCs w:val="18"/>
                <w:color w:val="0000EE"/>
                <w:w w:val="88"/>
              </w:rPr>
            </w:pPr>
            <w:hyperlink w:anchor="page194">
              <w:r>
                <w:rPr>
                  <w:rFonts w:ascii="Arial" w:cs="Arial" w:eastAsia="Arial" w:hAnsi="Arial"/>
                  <w:sz w:val="18"/>
                  <w:szCs w:val="18"/>
                  <w:color w:val="0000EE"/>
                  <w:w w:val="88"/>
                </w:rPr>
                <w:t>– Business Segments and Related Information</w:t>
              </w:r>
            </w:hyperlink>
          </w:p>
        </w:tc>
        <w:tc>
          <w:tcPr>
            <w:tcW w:w="5540" w:type="dxa"/>
            <w:vAlign w:val="bottom"/>
            <w:gridSpan w:val="6"/>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gridSpan w:val="4"/>
            <w:shd w:val="clear" w:color="auto" w:fill="CCEEFF"/>
          </w:tcPr>
          <w:p>
            <w:pPr>
              <w:jc w:val="center"/>
              <w:ind w:right="540"/>
              <w:spacing w:after="0" w:line="176" w:lineRule="exact"/>
              <w:rPr>
                <w:rFonts w:ascii="Arial" w:cs="Arial" w:eastAsia="Arial" w:hAnsi="Arial"/>
                <w:sz w:val="18"/>
                <w:szCs w:val="18"/>
                <w:color w:val="0000EE"/>
                <w:w w:val="91"/>
              </w:rPr>
            </w:pPr>
            <w:hyperlink w:anchor="page194">
              <w:r>
                <w:rPr>
                  <w:rFonts w:ascii="Arial" w:cs="Arial" w:eastAsia="Arial" w:hAnsi="Arial"/>
                  <w:sz w:val="18"/>
                  <w:szCs w:val="18"/>
                  <w:color w:val="0000EE"/>
                  <w:w w:val="91"/>
                </w:rPr>
                <w:t>F-41</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940" w:type="dxa"/>
            <w:vAlign w:val="bottom"/>
            <w:gridSpan w:val="23"/>
          </w:tcPr>
          <w:p>
            <w:pPr>
              <w:spacing w:after="0" w:line="176" w:lineRule="exact"/>
              <w:rPr>
                <w:rFonts w:ascii="Arial" w:cs="Arial" w:eastAsia="Arial" w:hAnsi="Arial"/>
                <w:sz w:val="18"/>
                <w:szCs w:val="18"/>
                <w:color w:val="0000EE"/>
              </w:rPr>
            </w:pPr>
            <w:hyperlink w:anchor="page199">
              <w:r>
                <w:rPr>
                  <w:rFonts w:ascii="Arial" w:cs="Arial" w:eastAsia="Arial" w:hAnsi="Arial"/>
                  <w:sz w:val="18"/>
                  <w:szCs w:val="18"/>
                  <w:color w:val="0000EE"/>
                </w:rPr>
                <w:t>Note 11 – Earnings Per Unit</w:t>
              </w:r>
            </w:hyperlink>
          </w:p>
        </w:tc>
        <w:tc>
          <w:tcPr>
            <w:tcW w:w="5540" w:type="dxa"/>
            <w:vAlign w:val="bottom"/>
            <w:gridSpan w:val="6"/>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gridSpan w:val="4"/>
          </w:tcPr>
          <w:p>
            <w:pPr>
              <w:jc w:val="center"/>
              <w:ind w:right="540"/>
              <w:spacing w:after="0" w:line="176" w:lineRule="exact"/>
              <w:rPr>
                <w:rFonts w:ascii="Arial" w:cs="Arial" w:eastAsia="Arial" w:hAnsi="Arial"/>
                <w:sz w:val="18"/>
                <w:szCs w:val="18"/>
                <w:color w:val="0000EE"/>
                <w:w w:val="91"/>
              </w:rPr>
            </w:pPr>
            <w:hyperlink w:anchor="page199">
              <w:r>
                <w:rPr>
                  <w:rFonts w:ascii="Arial" w:cs="Arial" w:eastAsia="Arial" w:hAnsi="Arial"/>
                  <w:sz w:val="18"/>
                  <w:szCs w:val="18"/>
                  <w:color w:val="0000EE"/>
                  <w:w w:val="91"/>
                </w:rPr>
                <w:t>F-46</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line="176" w:lineRule="exact"/>
              <w:rPr>
                <w:rFonts w:ascii="Arial" w:cs="Arial" w:eastAsia="Arial" w:hAnsi="Arial"/>
                <w:sz w:val="18"/>
                <w:szCs w:val="18"/>
                <w:color w:val="0000EE"/>
                <w:w w:val="88"/>
              </w:rPr>
            </w:pPr>
            <w:hyperlink w:anchor="page199">
              <w:r>
                <w:rPr>
                  <w:rFonts w:ascii="Arial" w:cs="Arial" w:eastAsia="Arial" w:hAnsi="Arial"/>
                  <w:sz w:val="18"/>
                  <w:szCs w:val="18"/>
                  <w:color w:val="0000EE"/>
                  <w:w w:val="88"/>
                </w:rPr>
                <w:t>Note 12</w:t>
              </w:r>
            </w:hyperlink>
          </w:p>
        </w:tc>
        <w:tc>
          <w:tcPr>
            <w:tcW w:w="8900" w:type="dxa"/>
            <w:vAlign w:val="bottom"/>
            <w:gridSpan w:val="28"/>
            <w:shd w:val="clear" w:color="auto" w:fill="CCEEFF"/>
          </w:tcPr>
          <w:p>
            <w:pPr>
              <w:ind w:left="40"/>
              <w:spacing w:after="0" w:line="176" w:lineRule="exact"/>
              <w:rPr>
                <w:rFonts w:ascii="Arial" w:cs="Arial" w:eastAsia="Arial" w:hAnsi="Arial"/>
                <w:sz w:val="18"/>
                <w:szCs w:val="18"/>
                <w:color w:val="0000EE"/>
              </w:rPr>
            </w:pPr>
            <w:hyperlink w:anchor="page199">
              <w:r>
                <w:rPr>
                  <w:rFonts w:ascii="Arial" w:cs="Arial" w:eastAsia="Arial" w:hAnsi="Arial"/>
                  <w:sz w:val="18"/>
                  <w:szCs w:val="18"/>
                  <w:color w:val="0000EE"/>
                </w:rPr>
                <w:t>– Business Combinations</w:t>
              </w:r>
            </w:hyperlink>
          </w:p>
        </w:tc>
        <w:tc>
          <w:tcPr>
            <w:tcW w:w="1420" w:type="dxa"/>
            <w:vAlign w:val="bottom"/>
            <w:gridSpan w:val="5"/>
            <w:shd w:val="clear" w:color="auto" w:fill="CCEEFF"/>
          </w:tcPr>
          <w:p>
            <w:pPr>
              <w:jc w:val="center"/>
              <w:spacing w:after="0" w:line="176" w:lineRule="exact"/>
              <w:rPr>
                <w:rFonts w:ascii="Arial" w:cs="Arial" w:eastAsia="Arial" w:hAnsi="Arial"/>
                <w:sz w:val="18"/>
                <w:szCs w:val="18"/>
                <w:color w:val="0000EE"/>
                <w:w w:val="91"/>
              </w:rPr>
            </w:pPr>
            <w:hyperlink w:anchor="page199">
              <w:r>
                <w:rPr>
                  <w:rFonts w:ascii="Arial" w:cs="Arial" w:eastAsia="Arial" w:hAnsi="Arial"/>
                  <w:sz w:val="18"/>
                  <w:szCs w:val="18"/>
                  <w:color w:val="0000EE"/>
                  <w:w w:val="91"/>
                </w:rPr>
                <w:t>F-46</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line="176" w:lineRule="exact"/>
              <w:rPr>
                <w:rFonts w:ascii="Arial" w:cs="Arial" w:eastAsia="Arial" w:hAnsi="Arial"/>
                <w:sz w:val="18"/>
                <w:szCs w:val="18"/>
                <w:color w:val="0000EE"/>
                <w:w w:val="88"/>
              </w:rPr>
            </w:pPr>
            <w:hyperlink w:anchor="page200">
              <w:r>
                <w:rPr>
                  <w:rFonts w:ascii="Arial" w:cs="Arial" w:eastAsia="Arial" w:hAnsi="Arial"/>
                  <w:sz w:val="18"/>
                  <w:szCs w:val="18"/>
                  <w:color w:val="0000EE"/>
                  <w:w w:val="88"/>
                </w:rPr>
                <w:t>Note 13</w:t>
              </w:r>
            </w:hyperlink>
          </w:p>
        </w:tc>
        <w:tc>
          <w:tcPr>
            <w:tcW w:w="1860" w:type="dxa"/>
            <w:vAlign w:val="bottom"/>
            <w:gridSpan w:val="8"/>
          </w:tcPr>
          <w:p>
            <w:pPr>
              <w:ind w:left="40"/>
              <w:spacing w:after="0" w:line="176" w:lineRule="exact"/>
              <w:rPr>
                <w:rFonts w:ascii="Arial" w:cs="Arial" w:eastAsia="Arial" w:hAnsi="Arial"/>
                <w:sz w:val="18"/>
                <w:szCs w:val="18"/>
                <w:color w:val="0000EE"/>
                <w:w w:val="96"/>
              </w:rPr>
            </w:pPr>
            <w:hyperlink w:anchor="page200">
              <w:r>
                <w:rPr>
                  <w:rFonts w:ascii="Arial" w:cs="Arial" w:eastAsia="Arial" w:hAnsi="Arial"/>
                  <w:sz w:val="18"/>
                  <w:szCs w:val="18"/>
                  <w:color w:val="0000EE"/>
                  <w:w w:val="96"/>
                </w:rPr>
                <w:t>– Equity-Based Awards</w:t>
              </w:r>
            </w:hyperlink>
          </w:p>
        </w:tc>
        <w:tc>
          <w:tcPr>
            <w:tcW w:w="7040" w:type="dxa"/>
            <w:vAlign w:val="bottom"/>
            <w:gridSpan w:val="20"/>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gridSpan w:val="4"/>
          </w:tcPr>
          <w:p>
            <w:pPr>
              <w:jc w:val="center"/>
              <w:ind w:right="540"/>
              <w:spacing w:after="0" w:line="176" w:lineRule="exact"/>
              <w:rPr>
                <w:rFonts w:ascii="Arial" w:cs="Arial" w:eastAsia="Arial" w:hAnsi="Arial"/>
                <w:sz w:val="18"/>
                <w:szCs w:val="18"/>
                <w:color w:val="0000EE"/>
                <w:w w:val="91"/>
              </w:rPr>
            </w:pPr>
            <w:hyperlink w:anchor="page200">
              <w:r>
                <w:rPr>
                  <w:rFonts w:ascii="Arial" w:cs="Arial" w:eastAsia="Arial" w:hAnsi="Arial"/>
                  <w:sz w:val="18"/>
                  <w:szCs w:val="18"/>
                  <w:color w:val="0000EE"/>
                  <w:w w:val="91"/>
                </w:rPr>
                <w:t>F-47</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line="176" w:lineRule="exact"/>
              <w:rPr>
                <w:rFonts w:ascii="Arial" w:cs="Arial" w:eastAsia="Arial" w:hAnsi="Arial"/>
                <w:sz w:val="18"/>
                <w:szCs w:val="18"/>
                <w:color w:val="0000EE"/>
                <w:w w:val="88"/>
              </w:rPr>
            </w:pPr>
            <w:hyperlink w:anchor="page204">
              <w:r>
                <w:rPr>
                  <w:rFonts w:ascii="Arial" w:cs="Arial" w:eastAsia="Arial" w:hAnsi="Arial"/>
                  <w:sz w:val="18"/>
                  <w:szCs w:val="18"/>
                  <w:color w:val="0000EE"/>
                  <w:w w:val="88"/>
                </w:rPr>
                <w:t>Note 14</w:t>
              </w:r>
            </w:hyperlink>
          </w:p>
        </w:tc>
        <w:tc>
          <w:tcPr>
            <w:tcW w:w="8900" w:type="dxa"/>
            <w:vAlign w:val="bottom"/>
            <w:gridSpan w:val="28"/>
            <w:shd w:val="clear" w:color="auto" w:fill="CCEEFF"/>
          </w:tcPr>
          <w:p>
            <w:pPr>
              <w:ind w:left="40"/>
              <w:spacing w:after="0" w:line="176" w:lineRule="exact"/>
              <w:rPr>
                <w:rFonts w:ascii="Arial" w:cs="Arial" w:eastAsia="Arial" w:hAnsi="Arial"/>
                <w:sz w:val="18"/>
                <w:szCs w:val="18"/>
                <w:color w:val="0000EE"/>
              </w:rPr>
            </w:pPr>
            <w:hyperlink w:anchor="page204">
              <w:r>
                <w:rPr>
                  <w:rFonts w:ascii="Arial" w:cs="Arial" w:eastAsia="Arial" w:hAnsi="Arial"/>
                  <w:sz w:val="18"/>
                  <w:szCs w:val="18"/>
                  <w:color w:val="0000EE"/>
                </w:rPr>
                <w:t>– Derivative Instruments, Hedging Activities and Fair Value Measurements</w:t>
              </w:r>
            </w:hyperlink>
          </w:p>
        </w:tc>
        <w:tc>
          <w:tcPr>
            <w:tcW w:w="1420" w:type="dxa"/>
            <w:vAlign w:val="bottom"/>
            <w:gridSpan w:val="5"/>
            <w:shd w:val="clear" w:color="auto" w:fill="CCEEFF"/>
          </w:tcPr>
          <w:p>
            <w:pPr>
              <w:jc w:val="center"/>
              <w:spacing w:after="0" w:line="176" w:lineRule="exact"/>
              <w:rPr>
                <w:rFonts w:ascii="Arial" w:cs="Arial" w:eastAsia="Arial" w:hAnsi="Arial"/>
                <w:sz w:val="18"/>
                <w:szCs w:val="18"/>
                <w:color w:val="0000EE"/>
                <w:w w:val="91"/>
              </w:rPr>
            </w:pPr>
            <w:hyperlink w:anchor="page204">
              <w:r>
                <w:rPr>
                  <w:rFonts w:ascii="Arial" w:cs="Arial" w:eastAsia="Arial" w:hAnsi="Arial"/>
                  <w:sz w:val="18"/>
                  <w:szCs w:val="18"/>
                  <w:color w:val="0000EE"/>
                  <w:w w:val="91"/>
                </w:rPr>
                <w:t>F-51</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line="176" w:lineRule="exact"/>
              <w:rPr>
                <w:rFonts w:ascii="Arial" w:cs="Arial" w:eastAsia="Arial" w:hAnsi="Arial"/>
                <w:sz w:val="18"/>
                <w:szCs w:val="18"/>
                <w:color w:val="0000EE"/>
                <w:w w:val="88"/>
              </w:rPr>
            </w:pPr>
            <w:hyperlink w:anchor="page214">
              <w:r>
                <w:rPr>
                  <w:rFonts w:ascii="Arial" w:cs="Arial" w:eastAsia="Arial" w:hAnsi="Arial"/>
                  <w:sz w:val="18"/>
                  <w:szCs w:val="18"/>
                  <w:color w:val="0000EE"/>
                  <w:w w:val="88"/>
                </w:rPr>
                <w:t>Note 15</w:t>
              </w:r>
            </w:hyperlink>
          </w:p>
        </w:tc>
        <w:tc>
          <w:tcPr>
            <w:tcW w:w="5460" w:type="dxa"/>
            <w:vAlign w:val="bottom"/>
            <w:gridSpan w:val="27"/>
          </w:tcPr>
          <w:p>
            <w:pPr>
              <w:ind w:left="40"/>
              <w:spacing w:after="0" w:line="176" w:lineRule="exact"/>
              <w:rPr>
                <w:rFonts w:ascii="Arial" w:cs="Arial" w:eastAsia="Arial" w:hAnsi="Arial"/>
                <w:sz w:val="18"/>
                <w:szCs w:val="18"/>
                <w:color w:val="0000EE"/>
              </w:rPr>
            </w:pPr>
            <w:hyperlink w:anchor="page214">
              <w:r>
                <w:rPr>
                  <w:rFonts w:ascii="Arial" w:cs="Arial" w:eastAsia="Arial" w:hAnsi="Arial"/>
                  <w:sz w:val="18"/>
                  <w:szCs w:val="18"/>
                  <w:color w:val="0000EE"/>
                </w:rPr>
                <w:t>– Related Party Transactions</w:t>
              </w:r>
            </w:hyperlink>
          </w:p>
        </w:tc>
        <w:tc>
          <w:tcPr>
            <w:tcW w:w="3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gridSpan w:val="4"/>
          </w:tcPr>
          <w:p>
            <w:pPr>
              <w:jc w:val="center"/>
              <w:ind w:right="540"/>
              <w:spacing w:after="0" w:line="176" w:lineRule="exact"/>
              <w:rPr>
                <w:rFonts w:ascii="Arial" w:cs="Arial" w:eastAsia="Arial" w:hAnsi="Arial"/>
                <w:sz w:val="18"/>
                <w:szCs w:val="18"/>
                <w:color w:val="0000EE"/>
                <w:w w:val="91"/>
              </w:rPr>
            </w:pPr>
            <w:hyperlink w:anchor="page214">
              <w:r>
                <w:rPr>
                  <w:rFonts w:ascii="Arial" w:cs="Arial" w:eastAsia="Arial" w:hAnsi="Arial"/>
                  <w:sz w:val="18"/>
                  <w:szCs w:val="18"/>
                  <w:color w:val="0000EE"/>
                  <w:w w:val="91"/>
                </w:rPr>
                <w:t>F-61</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line="176" w:lineRule="exact"/>
              <w:rPr>
                <w:rFonts w:ascii="Arial" w:cs="Arial" w:eastAsia="Arial" w:hAnsi="Arial"/>
                <w:sz w:val="18"/>
                <w:szCs w:val="18"/>
                <w:color w:val="0000EE"/>
                <w:w w:val="88"/>
              </w:rPr>
            </w:pPr>
            <w:hyperlink w:anchor="page216">
              <w:r>
                <w:rPr>
                  <w:rFonts w:ascii="Arial" w:cs="Arial" w:eastAsia="Arial" w:hAnsi="Arial"/>
                  <w:sz w:val="18"/>
                  <w:szCs w:val="18"/>
                  <w:color w:val="0000EE"/>
                  <w:w w:val="88"/>
                </w:rPr>
                <w:t>Note 16</w:t>
              </w:r>
            </w:hyperlink>
          </w:p>
        </w:tc>
        <w:tc>
          <w:tcPr>
            <w:tcW w:w="2160" w:type="dxa"/>
            <w:vAlign w:val="bottom"/>
            <w:gridSpan w:val="12"/>
            <w:shd w:val="clear" w:color="auto" w:fill="CCEEFF"/>
          </w:tcPr>
          <w:p>
            <w:pPr>
              <w:ind w:left="40"/>
              <w:spacing w:after="0" w:line="176" w:lineRule="exact"/>
              <w:rPr>
                <w:rFonts w:ascii="Arial" w:cs="Arial" w:eastAsia="Arial" w:hAnsi="Arial"/>
                <w:sz w:val="18"/>
                <w:szCs w:val="18"/>
                <w:color w:val="0000EE"/>
                <w:w w:val="90"/>
              </w:rPr>
            </w:pPr>
            <w:hyperlink w:anchor="page216">
              <w:r>
                <w:rPr>
                  <w:rFonts w:ascii="Arial" w:cs="Arial" w:eastAsia="Arial" w:hAnsi="Arial"/>
                  <w:sz w:val="18"/>
                  <w:szCs w:val="18"/>
                  <w:color w:val="0000EE"/>
                  <w:w w:val="90"/>
                </w:rPr>
                <w:t>– Provision for Income Taxes</w:t>
              </w:r>
            </w:hyperlink>
          </w:p>
        </w:tc>
        <w:tc>
          <w:tcPr>
            <w:tcW w:w="6740" w:type="dxa"/>
            <w:vAlign w:val="bottom"/>
            <w:gridSpan w:val="16"/>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gridSpan w:val="4"/>
            <w:shd w:val="clear" w:color="auto" w:fill="CCEEFF"/>
          </w:tcPr>
          <w:p>
            <w:pPr>
              <w:jc w:val="center"/>
              <w:ind w:right="540"/>
              <w:spacing w:after="0" w:line="176" w:lineRule="exact"/>
              <w:rPr>
                <w:rFonts w:ascii="Arial" w:cs="Arial" w:eastAsia="Arial" w:hAnsi="Arial"/>
                <w:sz w:val="18"/>
                <w:szCs w:val="18"/>
                <w:color w:val="0000EE"/>
                <w:w w:val="91"/>
              </w:rPr>
            </w:pPr>
            <w:hyperlink w:anchor="page216">
              <w:r>
                <w:rPr>
                  <w:rFonts w:ascii="Arial" w:cs="Arial" w:eastAsia="Arial" w:hAnsi="Arial"/>
                  <w:sz w:val="18"/>
                  <w:szCs w:val="18"/>
                  <w:color w:val="0000EE"/>
                  <w:w w:val="91"/>
                </w:rPr>
                <w:t>F-63</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line="176" w:lineRule="exact"/>
              <w:rPr>
                <w:rFonts w:ascii="Arial" w:cs="Arial" w:eastAsia="Arial" w:hAnsi="Arial"/>
                <w:sz w:val="18"/>
                <w:szCs w:val="18"/>
                <w:color w:val="0000EE"/>
                <w:w w:val="88"/>
              </w:rPr>
            </w:pPr>
            <w:hyperlink w:anchor="page218">
              <w:r>
                <w:rPr>
                  <w:rFonts w:ascii="Arial" w:cs="Arial" w:eastAsia="Arial" w:hAnsi="Arial"/>
                  <w:sz w:val="18"/>
                  <w:szCs w:val="18"/>
                  <w:color w:val="0000EE"/>
                  <w:w w:val="88"/>
                </w:rPr>
                <w:t>Note 17</w:t>
              </w:r>
            </w:hyperlink>
          </w:p>
        </w:tc>
        <w:tc>
          <w:tcPr>
            <w:tcW w:w="8900" w:type="dxa"/>
            <w:vAlign w:val="bottom"/>
            <w:gridSpan w:val="28"/>
          </w:tcPr>
          <w:p>
            <w:pPr>
              <w:ind w:left="40"/>
              <w:spacing w:after="0" w:line="176" w:lineRule="exact"/>
              <w:rPr>
                <w:rFonts w:ascii="Arial" w:cs="Arial" w:eastAsia="Arial" w:hAnsi="Arial"/>
                <w:sz w:val="18"/>
                <w:szCs w:val="18"/>
                <w:color w:val="0000EE"/>
              </w:rPr>
            </w:pPr>
            <w:hyperlink w:anchor="page218">
              <w:r>
                <w:rPr>
                  <w:rFonts w:ascii="Arial" w:cs="Arial" w:eastAsia="Arial" w:hAnsi="Arial"/>
                  <w:sz w:val="18"/>
                  <w:szCs w:val="18"/>
                  <w:color w:val="0000EE"/>
                </w:rPr>
                <w:t>– Commitments and Contingencies</w:t>
              </w:r>
            </w:hyperlink>
          </w:p>
        </w:tc>
        <w:tc>
          <w:tcPr>
            <w:tcW w:w="1420" w:type="dxa"/>
            <w:vAlign w:val="bottom"/>
            <w:gridSpan w:val="5"/>
          </w:tcPr>
          <w:p>
            <w:pPr>
              <w:jc w:val="center"/>
              <w:spacing w:after="0" w:line="176" w:lineRule="exact"/>
              <w:rPr>
                <w:rFonts w:ascii="Arial" w:cs="Arial" w:eastAsia="Arial" w:hAnsi="Arial"/>
                <w:sz w:val="18"/>
                <w:szCs w:val="18"/>
                <w:color w:val="0000EE"/>
                <w:w w:val="91"/>
              </w:rPr>
            </w:pPr>
            <w:hyperlink w:anchor="page218">
              <w:r>
                <w:rPr>
                  <w:rFonts w:ascii="Arial" w:cs="Arial" w:eastAsia="Arial" w:hAnsi="Arial"/>
                  <w:sz w:val="18"/>
                  <w:szCs w:val="18"/>
                  <w:color w:val="0000EE"/>
                  <w:w w:val="91"/>
                </w:rPr>
                <w:t>F-65</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line="176" w:lineRule="exact"/>
              <w:rPr>
                <w:rFonts w:ascii="Arial" w:cs="Arial" w:eastAsia="Arial" w:hAnsi="Arial"/>
                <w:sz w:val="18"/>
                <w:szCs w:val="18"/>
                <w:color w:val="0000EE"/>
                <w:w w:val="88"/>
              </w:rPr>
            </w:pPr>
            <w:hyperlink w:anchor="page224">
              <w:r>
                <w:rPr>
                  <w:rFonts w:ascii="Arial" w:cs="Arial" w:eastAsia="Arial" w:hAnsi="Arial"/>
                  <w:sz w:val="18"/>
                  <w:szCs w:val="18"/>
                  <w:color w:val="0000EE"/>
                  <w:w w:val="88"/>
                </w:rPr>
                <w:t>Note 18</w:t>
              </w:r>
            </w:hyperlink>
          </w:p>
        </w:tc>
        <w:tc>
          <w:tcPr>
            <w:tcW w:w="2720" w:type="dxa"/>
            <w:vAlign w:val="bottom"/>
            <w:gridSpan w:val="17"/>
            <w:shd w:val="clear" w:color="auto" w:fill="CCEEFF"/>
          </w:tcPr>
          <w:p>
            <w:pPr>
              <w:ind w:left="40"/>
              <w:spacing w:after="0" w:line="176" w:lineRule="exact"/>
              <w:rPr>
                <w:rFonts w:ascii="Arial" w:cs="Arial" w:eastAsia="Arial" w:hAnsi="Arial"/>
                <w:sz w:val="18"/>
                <w:szCs w:val="18"/>
                <w:color w:val="0000EE"/>
                <w:w w:val="91"/>
              </w:rPr>
            </w:pPr>
            <w:hyperlink w:anchor="page224">
              <w:r>
                <w:rPr>
                  <w:rFonts w:ascii="Arial" w:cs="Arial" w:eastAsia="Arial" w:hAnsi="Arial"/>
                  <w:sz w:val="18"/>
                  <w:szCs w:val="18"/>
                  <w:color w:val="0000EE"/>
                  <w:w w:val="91"/>
                </w:rPr>
                <w:t>– Significant Risks and Uncertainties</w:t>
              </w:r>
            </w:hyperlink>
          </w:p>
        </w:tc>
        <w:tc>
          <w:tcPr>
            <w:tcW w:w="6180" w:type="dxa"/>
            <w:vAlign w:val="bottom"/>
            <w:gridSpan w:val="11"/>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gridSpan w:val="4"/>
            <w:shd w:val="clear" w:color="auto" w:fill="CCEEFF"/>
          </w:tcPr>
          <w:p>
            <w:pPr>
              <w:jc w:val="center"/>
              <w:ind w:right="540"/>
              <w:spacing w:after="0" w:line="176" w:lineRule="exact"/>
              <w:rPr>
                <w:rFonts w:ascii="Arial" w:cs="Arial" w:eastAsia="Arial" w:hAnsi="Arial"/>
                <w:sz w:val="18"/>
                <w:szCs w:val="18"/>
                <w:color w:val="0000EE"/>
                <w:w w:val="91"/>
              </w:rPr>
            </w:pPr>
            <w:hyperlink w:anchor="page224">
              <w:r>
                <w:rPr>
                  <w:rFonts w:ascii="Arial" w:cs="Arial" w:eastAsia="Arial" w:hAnsi="Arial"/>
                  <w:sz w:val="18"/>
                  <w:szCs w:val="18"/>
                  <w:color w:val="0000EE"/>
                  <w:w w:val="91"/>
                </w:rPr>
                <w:t>F-71</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line="176" w:lineRule="exact"/>
              <w:rPr>
                <w:rFonts w:ascii="Arial" w:cs="Arial" w:eastAsia="Arial" w:hAnsi="Arial"/>
                <w:sz w:val="18"/>
                <w:szCs w:val="18"/>
                <w:color w:val="0000EE"/>
                <w:w w:val="88"/>
              </w:rPr>
            </w:pPr>
            <w:hyperlink w:anchor="page226">
              <w:r>
                <w:rPr>
                  <w:rFonts w:ascii="Arial" w:cs="Arial" w:eastAsia="Arial" w:hAnsi="Arial"/>
                  <w:sz w:val="18"/>
                  <w:szCs w:val="18"/>
                  <w:color w:val="0000EE"/>
                  <w:w w:val="88"/>
                </w:rPr>
                <w:t>Note 19</w:t>
              </w:r>
            </w:hyperlink>
          </w:p>
        </w:tc>
        <w:tc>
          <w:tcPr>
            <w:tcW w:w="8900" w:type="dxa"/>
            <w:vAlign w:val="bottom"/>
            <w:gridSpan w:val="28"/>
          </w:tcPr>
          <w:p>
            <w:pPr>
              <w:ind w:left="40"/>
              <w:spacing w:after="0" w:line="176" w:lineRule="exact"/>
              <w:rPr>
                <w:rFonts w:ascii="Arial" w:cs="Arial" w:eastAsia="Arial" w:hAnsi="Arial"/>
                <w:sz w:val="18"/>
                <w:szCs w:val="18"/>
                <w:color w:val="0000EE"/>
              </w:rPr>
            </w:pPr>
            <w:hyperlink w:anchor="page226">
              <w:r>
                <w:rPr>
                  <w:rFonts w:ascii="Arial" w:cs="Arial" w:eastAsia="Arial" w:hAnsi="Arial"/>
                  <w:sz w:val="18"/>
                  <w:szCs w:val="18"/>
                  <w:color w:val="0000EE"/>
                </w:rPr>
                <w:t>– Supplemental Cash Flow Information</w:t>
              </w:r>
            </w:hyperlink>
          </w:p>
        </w:tc>
        <w:tc>
          <w:tcPr>
            <w:tcW w:w="1420" w:type="dxa"/>
            <w:vAlign w:val="bottom"/>
            <w:gridSpan w:val="5"/>
          </w:tcPr>
          <w:p>
            <w:pPr>
              <w:jc w:val="center"/>
              <w:spacing w:after="0" w:line="176" w:lineRule="exact"/>
              <w:rPr>
                <w:rFonts w:ascii="Arial" w:cs="Arial" w:eastAsia="Arial" w:hAnsi="Arial"/>
                <w:sz w:val="18"/>
                <w:szCs w:val="18"/>
                <w:color w:val="0000EE"/>
                <w:w w:val="91"/>
              </w:rPr>
            </w:pPr>
            <w:hyperlink w:anchor="page226">
              <w:r>
                <w:rPr>
                  <w:rFonts w:ascii="Arial" w:cs="Arial" w:eastAsia="Arial" w:hAnsi="Arial"/>
                  <w:sz w:val="18"/>
                  <w:szCs w:val="18"/>
                  <w:color w:val="0000EE"/>
                  <w:w w:val="91"/>
                </w:rPr>
                <w:t>F-73</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line="176" w:lineRule="exact"/>
              <w:rPr>
                <w:rFonts w:ascii="Arial" w:cs="Arial" w:eastAsia="Arial" w:hAnsi="Arial"/>
                <w:sz w:val="18"/>
                <w:szCs w:val="18"/>
                <w:color w:val="0000EE"/>
                <w:w w:val="88"/>
              </w:rPr>
            </w:pPr>
            <w:hyperlink w:anchor="page227">
              <w:r>
                <w:rPr>
                  <w:rFonts w:ascii="Arial" w:cs="Arial" w:eastAsia="Arial" w:hAnsi="Arial"/>
                  <w:sz w:val="18"/>
                  <w:szCs w:val="18"/>
                  <w:color w:val="0000EE"/>
                  <w:w w:val="88"/>
                </w:rPr>
                <w:t>Note 20</w:t>
              </w:r>
            </w:hyperlink>
          </w:p>
        </w:tc>
        <w:tc>
          <w:tcPr>
            <w:tcW w:w="3400" w:type="dxa"/>
            <w:vAlign w:val="bottom"/>
            <w:gridSpan w:val="23"/>
            <w:shd w:val="clear" w:color="auto" w:fill="CCEEFF"/>
          </w:tcPr>
          <w:p>
            <w:pPr>
              <w:ind w:left="40"/>
              <w:spacing w:after="0" w:line="176" w:lineRule="exact"/>
              <w:rPr>
                <w:rFonts w:ascii="Arial" w:cs="Arial" w:eastAsia="Arial" w:hAnsi="Arial"/>
                <w:sz w:val="18"/>
                <w:szCs w:val="18"/>
                <w:color w:val="0000EE"/>
                <w:w w:val="92"/>
              </w:rPr>
            </w:pPr>
            <w:hyperlink w:anchor="page227">
              <w:r>
                <w:rPr>
                  <w:rFonts w:ascii="Arial" w:cs="Arial" w:eastAsia="Arial" w:hAnsi="Arial"/>
                  <w:sz w:val="18"/>
                  <w:szCs w:val="18"/>
                  <w:color w:val="0000EE"/>
                  <w:w w:val="92"/>
                </w:rPr>
                <w:t>– Quarterly Financial Information (Unaudited)</w:t>
              </w:r>
            </w:hyperlink>
          </w:p>
        </w:tc>
        <w:tc>
          <w:tcPr>
            <w:tcW w:w="5500" w:type="dxa"/>
            <w:vAlign w:val="bottom"/>
            <w:gridSpan w:val="5"/>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gridSpan w:val="4"/>
            <w:shd w:val="clear" w:color="auto" w:fill="CCEEFF"/>
          </w:tcPr>
          <w:p>
            <w:pPr>
              <w:jc w:val="center"/>
              <w:ind w:right="540"/>
              <w:spacing w:after="0" w:line="176" w:lineRule="exact"/>
              <w:rPr>
                <w:rFonts w:ascii="Arial" w:cs="Arial" w:eastAsia="Arial" w:hAnsi="Arial"/>
                <w:sz w:val="18"/>
                <w:szCs w:val="18"/>
                <w:color w:val="0000EE"/>
                <w:w w:val="91"/>
              </w:rPr>
            </w:pPr>
            <w:hyperlink w:anchor="page227">
              <w:r>
                <w:rPr>
                  <w:rFonts w:ascii="Arial" w:cs="Arial" w:eastAsia="Arial" w:hAnsi="Arial"/>
                  <w:sz w:val="18"/>
                  <w:szCs w:val="18"/>
                  <w:color w:val="0000EE"/>
                  <w:w w:val="91"/>
                </w:rPr>
                <w:t>F-74</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line="176" w:lineRule="exact"/>
              <w:rPr>
                <w:rFonts w:ascii="Arial" w:cs="Arial" w:eastAsia="Arial" w:hAnsi="Arial"/>
                <w:sz w:val="18"/>
                <w:szCs w:val="18"/>
                <w:color w:val="0000EE"/>
                <w:w w:val="88"/>
              </w:rPr>
            </w:pPr>
            <w:hyperlink w:anchor="page228">
              <w:r>
                <w:rPr>
                  <w:rFonts w:ascii="Arial" w:cs="Arial" w:eastAsia="Arial" w:hAnsi="Arial"/>
                  <w:sz w:val="18"/>
                  <w:szCs w:val="18"/>
                  <w:color w:val="0000EE"/>
                  <w:w w:val="88"/>
                </w:rPr>
                <w:t>Note 21</w:t>
              </w:r>
            </w:hyperlink>
          </w:p>
        </w:tc>
        <w:tc>
          <w:tcPr>
            <w:tcW w:w="8900" w:type="dxa"/>
            <w:vAlign w:val="bottom"/>
            <w:gridSpan w:val="28"/>
          </w:tcPr>
          <w:p>
            <w:pPr>
              <w:ind w:left="40"/>
              <w:spacing w:after="0" w:line="176" w:lineRule="exact"/>
              <w:rPr>
                <w:rFonts w:ascii="Arial" w:cs="Arial" w:eastAsia="Arial" w:hAnsi="Arial"/>
                <w:sz w:val="18"/>
                <w:szCs w:val="18"/>
                <w:color w:val="0000EE"/>
              </w:rPr>
            </w:pPr>
            <w:hyperlink w:anchor="page228">
              <w:r>
                <w:rPr>
                  <w:rFonts w:ascii="Arial" w:cs="Arial" w:eastAsia="Arial" w:hAnsi="Arial"/>
                  <w:sz w:val="18"/>
                  <w:szCs w:val="18"/>
                  <w:color w:val="0000EE"/>
                </w:rPr>
                <w:t>– Condensed Consolidating Financial Information</w:t>
              </w:r>
            </w:hyperlink>
          </w:p>
        </w:tc>
        <w:tc>
          <w:tcPr>
            <w:tcW w:w="1420" w:type="dxa"/>
            <w:vAlign w:val="bottom"/>
            <w:gridSpan w:val="5"/>
          </w:tcPr>
          <w:p>
            <w:pPr>
              <w:jc w:val="center"/>
              <w:spacing w:after="0" w:line="176" w:lineRule="exact"/>
              <w:rPr>
                <w:rFonts w:ascii="Arial" w:cs="Arial" w:eastAsia="Arial" w:hAnsi="Arial"/>
                <w:sz w:val="18"/>
                <w:szCs w:val="18"/>
                <w:color w:val="0000EE"/>
                <w:w w:val="91"/>
              </w:rPr>
            </w:pPr>
            <w:hyperlink w:anchor="page228">
              <w:r>
                <w:rPr>
                  <w:rFonts w:ascii="Arial" w:cs="Arial" w:eastAsia="Arial" w:hAnsi="Arial"/>
                  <w:sz w:val="18"/>
                  <w:szCs w:val="18"/>
                  <w:color w:val="0000EE"/>
                  <w:w w:val="91"/>
                </w:rPr>
                <w:t>F-75</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line="176" w:lineRule="exact"/>
              <w:rPr>
                <w:rFonts w:ascii="Arial" w:cs="Arial" w:eastAsia="Arial" w:hAnsi="Arial"/>
                <w:sz w:val="18"/>
                <w:szCs w:val="18"/>
                <w:color w:val="0000EE"/>
                <w:w w:val="88"/>
              </w:rPr>
            </w:pPr>
            <w:hyperlink w:anchor="page236">
              <w:r>
                <w:rPr>
                  <w:rFonts w:ascii="Arial" w:cs="Arial" w:eastAsia="Arial" w:hAnsi="Arial"/>
                  <w:sz w:val="18"/>
                  <w:szCs w:val="18"/>
                  <w:color w:val="0000EE"/>
                  <w:w w:val="88"/>
                </w:rPr>
                <w:t>Note 22</w:t>
              </w:r>
            </w:hyperlink>
          </w:p>
        </w:tc>
        <w:tc>
          <w:tcPr>
            <w:tcW w:w="8900" w:type="dxa"/>
            <w:vAlign w:val="bottom"/>
            <w:gridSpan w:val="28"/>
            <w:shd w:val="clear" w:color="auto" w:fill="CCEEFF"/>
          </w:tcPr>
          <w:p>
            <w:pPr>
              <w:ind w:left="40"/>
              <w:spacing w:after="0" w:line="176" w:lineRule="exact"/>
              <w:rPr>
                <w:rFonts w:ascii="Arial" w:cs="Arial" w:eastAsia="Arial" w:hAnsi="Arial"/>
                <w:sz w:val="18"/>
                <w:szCs w:val="18"/>
                <w:color w:val="0000EE"/>
              </w:rPr>
            </w:pPr>
            <w:hyperlink w:anchor="page236">
              <w:r>
                <w:rPr>
                  <w:rFonts w:ascii="Arial" w:cs="Arial" w:eastAsia="Arial" w:hAnsi="Arial"/>
                  <w:sz w:val="18"/>
                  <w:szCs w:val="18"/>
                  <w:color w:val="0000EE"/>
                </w:rPr>
                <w:t>– Subsequent Events</w:t>
              </w:r>
            </w:hyperlink>
          </w:p>
        </w:tc>
        <w:tc>
          <w:tcPr>
            <w:tcW w:w="1420" w:type="dxa"/>
            <w:vAlign w:val="bottom"/>
            <w:gridSpan w:val="5"/>
            <w:shd w:val="clear" w:color="auto" w:fill="CCEEFF"/>
          </w:tcPr>
          <w:p>
            <w:pPr>
              <w:jc w:val="center"/>
              <w:spacing w:after="0" w:line="176" w:lineRule="exact"/>
              <w:rPr>
                <w:rFonts w:ascii="Arial" w:cs="Arial" w:eastAsia="Arial" w:hAnsi="Arial"/>
                <w:sz w:val="18"/>
                <w:szCs w:val="18"/>
                <w:color w:val="0000EE"/>
                <w:w w:val="91"/>
              </w:rPr>
            </w:pPr>
            <w:hyperlink w:anchor="page236">
              <w:r>
                <w:rPr>
                  <w:rFonts w:ascii="Arial" w:cs="Arial" w:eastAsia="Arial" w:hAnsi="Arial"/>
                  <w:sz w:val="18"/>
                  <w:szCs w:val="18"/>
                  <w:color w:val="0000EE"/>
                  <w:w w:val="91"/>
                </w:rPr>
                <w:t>F-83</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4" w:name="page155"/>
    <w:bookmarkEnd w:id="1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Enterprise Products Holdings LLC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Unitholders of Enterprise Products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Enterprise Products Partners L.P. and subsidiaries (the “Company”) as of December 31, 2019 and 2018, the related statements of consolidated operations, comprehensive income, cash flows, and equity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28, 2020,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Goodwill—Natural Gas Pipelines &amp; Services Reportable Business Segment—Refer to Note 6 to the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Goodwill amounts are assessed for impairment on an annual basis or when impairment indicators are present. In performing the goodwill assessment, the estimated fair value of the reporting unit to which the goodwill is assigned is determined and compared to its carrying value. If the fair value of the reporting unit is less than its carrying value (including associated goodwill), a non-cash impairment charge to earnings is recorded to reduce the carrying value 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5" w:name="page156"/>
    <w:bookmarkEnd w:id="1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goodwill to its estimated fair value. The Company’s goodwill balance was $5,745.2 million as of December 31, 2019, of which $296.3 million was allocated to a reporting unit within the Natural Gas Pipelines &amp; Services reportable business segment. Reporting unit estimated fair values are based on assumptions regarding the future economic prospects of the businesses that comprise each reporting unit, including (i) forecasted operating margin for the associated assets, including any planned capital projects and related contract fees; (ii) long-term growth rates for cash flows beyond the discrete forecast period; and (iii) appropriate discount rates. No goodwill impairment was recognized during the year ended December 31, 2019.</w:t>
      </w:r>
    </w:p>
    <w:p>
      <w:pPr>
        <w:spacing w:after="0" w:line="20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identified goodwill for a reporting unit within the Natural Gas Pipelines &amp; Services reportable business segment as a critical audit matter due to significant judgments and assumptions made by management related to planned capital projects and related contract fees underlying the forecasted operating margin, the long-term growth rate for cash flows beyond the discrete forecast period, and the discount rate on the Company’s estimated fair value of goodwill. Auditing management’s judgments required especially subjective judgment and an increased extent of effort, including the need to involve our fair value specialists, when performing audit procedures to evaluate the reasonableness of management’s estimates and assumptions for this reporting unit.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audit procedures related to management’s judgments regarding forecasted operating margin and the selection of the long-term growth rate and discount rate for this reporting unit included the following, among others:</w:t>
      </w:r>
    </w:p>
    <w:p>
      <w:pPr>
        <w:spacing w:after="0" w:line="197" w:lineRule="exact"/>
        <w:rPr>
          <w:sz w:val="20"/>
          <w:szCs w:val="20"/>
          <w:color w:val="auto"/>
        </w:rPr>
      </w:pPr>
    </w:p>
    <w:p>
      <w:pPr>
        <w:ind w:left="260" w:hanging="252"/>
        <w:spacing w:after="0" w:line="308" w:lineRule="auto"/>
        <w:tabs>
          <w:tab w:leader="none" w:pos="2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We tested the effectiveness of controls over goodwill, including those over the assumptions related to planned capital projects and related contract fees underlying the forecasted operating margin, the long-term growth rate for cash flows beyond the discrete forecast period, and the discount rate.</w:t>
      </w:r>
    </w:p>
    <w:p>
      <w:pPr>
        <w:spacing w:after="0" w:line="389" w:lineRule="exact"/>
        <w:rPr>
          <w:rFonts w:ascii="Arial" w:cs="Arial" w:eastAsia="Arial" w:hAnsi="Arial"/>
          <w:sz w:val="17"/>
          <w:szCs w:val="17"/>
          <w:color w:val="auto"/>
        </w:rPr>
      </w:pPr>
    </w:p>
    <w:p>
      <w:pPr>
        <w:ind w:left="260" w:hanging="252"/>
        <w:spacing w:after="0" w:line="277" w:lineRule="auto"/>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evaluated management’s ability to reasonably forecast operating margin by performing a look-back test comparing actual results to management’s historical forecasts.</w:t>
      </w:r>
    </w:p>
    <w:p>
      <w:pPr>
        <w:spacing w:after="0" w:line="197" w:lineRule="exact"/>
        <w:rPr>
          <w:rFonts w:ascii="Arial" w:cs="Arial" w:eastAsia="Arial" w:hAnsi="Arial"/>
          <w:sz w:val="18"/>
          <w:szCs w:val="18"/>
          <w:color w:val="auto"/>
        </w:rPr>
      </w:pPr>
    </w:p>
    <w:p>
      <w:pPr>
        <w:ind w:left="260" w:right="20" w:hanging="252"/>
        <w:spacing w:after="0" w:line="277" w:lineRule="auto"/>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evaluated the reasonableness of management’s operating margin forecast for planned capital projects and related contract fees by comparing the forecast to:</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Internal communications to management and the Board of Directors regarding the projects.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90"/>
        </w:numPr>
        <w:rPr>
          <w:rFonts w:ascii="Arial" w:cs="Arial" w:eastAsia="Arial" w:hAnsi="Arial"/>
          <w:sz w:val="17"/>
          <w:szCs w:val="17"/>
          <w:color w:val="auto"/>
        </w:rPr>
      </w:pPr>
      <w:r>
        <w:rPr>
          <w:rFonts w:ascii="Arial" w:cs="Arial" w:eastAsia="Arial" w:hAnsi="Arial"/>
          <w:sz w:val="17"/>
          <w:szCs w:val="17"/>
          <w:color w:val="auto"/>
        </w:rPr>
        <w:t>Forecasted information regarding the projects included in analyst and industry reports for the Company and certain of its peer companies.</w:t>
      </w:r>
    </w:p>
    <w:p>
      <w:pPr>
        <w:spacing w:after="0" w:line="263" w:lineRule="exact"/>
        <w:rPr>
          <w:rFonts w:ascii="Arial" w:cs="Arial" w:eastAsia="Arial" w:hAnsi="Arial"/>
          <w:sz w:val="17"/>
          <w:szCs w:val="17"/>
          <w:color w:val="auto"/>
        </w:rPr>
      </w:pPr>
    </w:p>
    <w:p>
      <w:pPr>
        <w:ind w:left="260" w:right="20" w:hanging="252"/>
        <w:spacing w:after="0" w:line="277" w:lineRule="auto"/>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long-term growth rate for cash flows beyond the discrete forecast period and the discount rate by:</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Testing the source information underlying the determination of the long-term growth rate and discount rate, and the mathematical accuracy of the calculations.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1"/>
          <w:numId w:val="90"/>
        </w:numPr>
        <w:rPr>
          <w:rFonts w:ascii="Arial" w:cs="Arial" w:eastAsia="Arial" w:hAnsi="Arial"/>
          <w:sz w:val="19"/>
          <w:szCs w:val="19"/>
          <w:color w:val="auto"/>
        </w:rPr>
      </w:pPr>
      <w:r>
        <w:rPr>
          <w:rFonts w:ascii="Arial" w:cs="Arial" w:eastAsia="Arial" w:hAnsi="Arial"/>
          <w:sz w:val="17"/>
          <w:szCs w:val="17"/>
          <w:color w:val="auto"/>
        </w:rPr>
        <w:t>Developing a range of independent estimates and comparing those to the long-term growth rate and discount rate selected by management.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6" w:name="page157"/>
    <w:bookmarkEnd w:id="1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9"/>
                <w:szCs w:val="19"/>
                <w:color w:val="auto"/>
              </w:rPr>
            </w:pPr>
          </w:p>
        </w:tc>
      </w:tr>
      <w:tr>
        <w:trPr>
          <w:trHeight w:val="210"/>
        </w:trPr>
        <w:tc>
          <w:tcPr>
            <w:tcW w:w="8820" w:type="dxa"/>
            <w:vAlign w:val="bottom"/>
          </w:tcPr>
          <w:p>
            <w:pPr>
              <w:ind w:left="404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8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334.7</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344.8</w:t>
            </w:r>
          </w:p>
        </w:tc>
      </w:tr>
      <w:tr>
        <w:trPr>
          <w:trHeight w:val="213"/>
        </w:trPr>
        <w:tc>
          <w:tcPr>
            <w:tcW w:w="8820" w:type="dxa"/>
            <w:vAlign w:val="bottom"/>
          </w:tcPr>
          <w:p>
            <w:pPr>
              <w:ind w:left="26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65.3</w:t>
            </w:r>
          </w:p>
        </w:tc>
      </w:tr>
      <w:tr>
        <w:trPr>
          <w:trHeight w:val="196"/>
        </w:trPr>
        <w:tc>
          <w:tcPr>
            <w:tcW w:w="8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receivable – trade, net of allowance for doubtful accounts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88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of $12.4 at December 31, 2019 and $11.5 at December 31, 2018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4,873.6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3,659.1</w:t>
            </w:r>
          </w:p>
        </w:tc>
      </w:tr>
      <w:tr>
        <w:trPr>
          <w:trHeight w:val="213"/>
        </w:trPr>
        <w:tc>
          <w:tcPr>
            <w:tcW w:w="8820" w:type="dxa"/>
            <w:vAlign w:val="bottom"/>
          </w:tcPr>
          <w:p>
            <w:pPr>
              <w:ind w:left="260"/>
              <w:spacing w:after="0"/>
              <w:rPr>
                <w:sz w:val="20"/>
                <w:szCs w:val="20"/>
                <w:color w:val="auto"/>
              </w:rPr>
            </w:pPr>
            <w:r>
              <w:rPr>
                <w:rFonts w:ascii="Arial" w:cs="Arial" w:eastAsia="Arial" w:hAnsi="Arial"/>
                <w:sz w:val="16"/>
                <w:szCs w:val="16"/>
                <w:color w:val="auto"/>
              </w:rPr>
              <w:t>Accounts receivable – related parties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3.5</w:t>
            </w:r>
          </w:p>
        </w:tc>
      </w:tr>
      <w:tr>
        <w:trPr>
          <w:trHeight w:val="219"/>
        </w:trPr>
        <w:tc>
          <w:tcPr>
            <w:tcW w:w="8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2,091.4</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1,522.1</w:t>
            </w:r>
          </w:p>
        </w:tc>
      </w:tr>
      <w:tr>
        <w:trPr>
          <w:trHeight w:val="213"/>
        </w:trPr>
        <w:tc>
          <w:tcPr>
            <w:tcW w:w="8820" w:type="dxa"/>
            <w:vAlign w:val="bottom"/>
          </w:tcPr>
          <w:p>
            <w:pPr>
              <w:ind w:left="260"/>
              <w:spacing w:after="0"/>
              <w:rPr>
                <w:sz w:val="20"/>
                <w:szCs w:val="20"/>
                <w:color w:val="auto"/>
              </w:rPr>
            </w:pPr>
            <w:r>
              <w:rPr>
                <w:rFonts w:ascii="Arial" w:cs="Arial" w:eastAsia="Arial" w:hAnsi="Arial"/>
                <w:sz w:val="16"/>
                <w:szCs w:val="16"/>
                <w:color w:val="auto"/>
              </w:rPr>
              <w:t>Derivative assets (see Note 14)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127.2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154.4</w:t>
            </w:r>
          </w:p>
        </w:tc>
      </w:tr>
      <w:tr>
        <w:trPr>
          <w:trHeight w:val="226"/>
        </w:trPr>
        <w:tc>
          <w:tcPr>
            <w:tcW w:w="8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Prepaid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358.2</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0"/>
        </w:trPr>
        <w:tc>
          <w:tcPr>
            <w:tcW w:w="882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7,862.9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6,060.7</w:t>
            </w:r>
          </w:p>
        </w:tc>
      </w:tr>
      <w:tr>
        <w:trPr>
          <w:trHeight w:val="222"/>
        </w:trPr>
        <w:tc>
          <w:tcPr>
            <w:tcW w:w="8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41,603.4</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38,737.6</w:t>
            </w:r>
          </w:p>
        </w:tc>
      </w:tr>
      <w:tr>
        <w:trPr>
          <w:trHeight w:val="210"/>
        </w:trPr>
        <w:tc>
          <w:tcPr>
            <w:tcW w:w="8820" w:type="dxa"/>
            <w:vAlign w:val="bottom"/>
          </w:tcPr>
          <w:p>
            <w:pPr>
              <w:spacing w:after="0"/>
              <w:rPr>
                <w:sz w:val="20"/>
                <w:szCs w:val="20"/>
                <w:color w:val="auto"/>
              </w:rPr>
            </w:pPr>
            <w:r>
              <w:rPr>
                <w:rFonts w:ascii="Arial" w:cs="Arial" w:eastAsia="Arial" w:hAnsi="Arial"/>
                <w:sz w:val="16"/>
                <w:szCs w:val="16"/>
                <w:b w:val="1"/>
                <w:bCs w:val="1"/>
                <w:color w:val="auto"/>
              </w:rPr>
              <w:t>Investments in unconsolidated affiliates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2,600.2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2,615.1</w:t>
            </w:r>
          </w:p>
        </w:tc>
      </w:tr>
      <w:tr>
        <w:trPr>
          <w:trHeight w:val="194"/>
        </w:trPr>
        <w:tc>
          <w:tcPr>
            <w:tcW w:w="8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Intangible assets, net of accumulated amortization of $1,687.5 at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8820" w:type="dxa"/>
            <w:vAlign w:val="bottom"/>
            <w:shd w:val="clear" w:color="auto" w:fill="CCEEFF"/>
          </w:tcPr>
          <w:p>
            <w:pPr>
              <w:ind w:left="260"/>
              <w:spacing w:after="0"/>
              <w:rPr>
                <w:sz w:val="20"/>
                <w:szCs w:val="20"/>
                <w:color w:val="auto"/>
              </w:rPr>
            </w:pPr>
            <w:r>
              <w:rPr>
                <w:rFonts w:ascii="Arial" w:cs="Arial" w:eastAsia="Arial" w:hAnsi="Arial"/>
                <w:sz w:val="16"/>
                <w:szCs w:val="16"/>
                <w:b w:val="1"/>
                <w:bCs w:val="1"/>
                <w:color w:val="auto"/>
              </w:rPr>
              <w:t xml:space="preserve">December 31, 2019 and $1,735.1 at December 31, 2018 </w:t>
            </w:r>
            <w:r>
              <w:rPr>
                <w:rFonts w:ascii="Arial" w:cs="Arial" w:eastAsia="Arial" w:hAnsi="Arial"/>
                <w:sz w:val="16"/>
                <w:szCs w:val="16"/>
                <w:color w:val="auto"/>
              </w:rPr>
              <w:t>(see Note 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3,449.0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3,608.4</w:t>
            </w:r>
          </w:p>
        </w:tc>
      </w:tr>
      <w:tr>
        <w:trPr>
          <w:trHeight w:val="210"/>
        </w:trPr>
        <w:tc>
          <w:tcPr>
            <w:tcW w:w="8820" w:type="dxa"/>
            <w:vAlign w:val="bottom"/>
          </w:tcPr>
          <w:p>
            <w:pPr>
              <w:spacing w:after="0"/>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(see Note 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5,745.2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5,745.2</w:t>
            </w:r>
          </w:p>
        </w:tc>
      </w:tr>
      <w:tr>
        <w:trPr>
          <w:trHeight w:val="229"/>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472.5</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3"/>
        </w:trPr>
        <w:tc>
          <w:tcPr>
            <w:tcW w:w="8820" w:type="dxa"/>
            <w:vAlign w:val="bottom"/>
          </w:tcPr>
          <w:p>
            <w:pPr>
              <w:ind w:left="660"/>
              <w:spacing w:after="0"/>
              <w:rPr>
                <w:sz w:val="20"/>
                <w:szCs w:val="20"/>
                <w:color w:val="auto"/>
              </w:rPr>
            </w:pPr>
            <w:r>
              <w:rPr>
                <w:rFonts w:ascii="Arial" w:cs="Arial" w:eastAsia="Arial" w:hAnsi="Arial"/>
                <w:sz w:val="16"/>
                <w:szCs w:val="16"/>
                <w:color w:val="auto"/>
              </w:rPr>
              <w:t>Total assets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61,733.2</w:t>
            </w:r>
          </w:p>
        </w:tc>
        <w:tc>
          <w:tcPr>
            <w:tcW w:w="6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56,969.8</w:t>
            </w:r>
          </w:p>
        </w:tc>
      </w:tr>
      <w:tr>
        <w:trPr>
          <w:trHeight w:val="24"/>
        </w:trPr>
        <w:tc>
          <w:tcPr>
            <w:tcW w:w="88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8820" w:type="dxa"/>
            <w:vAlign w:val="bottom"/>
          </w:tcPr>
          <w:p>
            <w:pPr>
              <w:ind w:left="33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8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3"/>
        </w:trPr>
        <w:tc>
          <w:tcPr>
            <w:tcW w:w="8820" w:type="dxa"/>
            <w:vAlign w:val="bottom"/>
          </w:tcPr>
          <w:p>
            <w:pPr>
              <w:ind w:left="260"/>
              <w:spacing w:after="0"/>
              <w:rPr>
                <w:sz w:val="20"/>
                <w:szCs w:val="20"/>
                <w:color w:val="auto"/>
              </w:rPr>
            </w:pPr>
            <w:r>
              <w:rPr>
                <w:rFonts w:ascii="Arial" w:cs="Arial" w:eastAsia="Arial" w:hAnsi="Arial"/>
                <w:sz w:val="16"/>
                <w:szCs w:val="16"/>
                <w:color w:val="auto"/>
              </w:rPr>
              <w:t>Current maturities of debt (see Note 7)</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1,981.9</w:t>
            </w:r>
          </w:p>
        </w:tc>
        <w:tc>
          <w:tcPr>
            <w:tcW w:w="6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1,500.1</w:t>
            </w:r>
          </w:p>
        </w:tc>
      </w:tr>
      <w:tr>
        <w:trPr>
          <w:trHeight w:val="219"/>
        </w:trPr>
        <w:tc>
          <w:tcPr>
            <w:tcW w:w="8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payable – trade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1,004.5</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1,102.8</w:t>
            </w:r>
          </w:p>
        </w:tc>
      </w:tr>
      <w:tr>
        <w:trPr>
          <w:trHeight w:val="213"/>
        </w:trPr>
        <w:tc>
          <w:tcPr>
            <w:tcW w:w="8820" w:type="dxa"/>
            <w:vAlign w:val="bottom"/>
          </w:tcPr>
          <w:p>
            <w:pPr>
              <w:ind w:left="260"/>
              <w:spacing w:after="0"/>
              <w:rPr>
                <w:sz w:val="20"/>
                <w:szCs w:val="20"/>
                <w:color w:val="auto"/>
              </w:rPr>
            </w:pPr>
            <w:r>
              <w:rPr>
                <w:rFonts w:ascii="Arial" w:cs="Arial" w:eastAsia="Arial" w:hAnsi="Arial"/>
                <w:sz w:val="16"/>
                <w:szCs w:val="16"/>
                <w:color w:val="auto"/>
              </w:rPr>
              <w:t>Accounts payable – related parties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162.3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140.2</w:t>
            </w:r>
          </w:p>
        </w:tc>
      </w:tr>
      <w:tr>
        <w:trPr>
          <w:trHeight w:val="219"/>
        </w:trPr>
        <w:tc>
          <w:tcPr>
            <w:tcW w:w="8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Accrued product payables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4,915.7</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3,475.8</w:t>
            </w:r>
          </w:p>
        </w:tc>
      </w:tr>
      <w:tr>
        <w:trPr>
          <w:trHeight w:val="213"/>
        </w:trPr>
        <w:tc>
          <w:tcPr>
            <w:tcW w:w="8820" w:type="dxa"/>
            <w:vAlign w:val="bottom"/>
          </w:tcPr>
          <w:p>
            <w:pPr>
              <w:ind w:left="260"/>
              <w:spacing w:after="0"/>
              <w:rPr>
                <w:sz w:val="20"/>
                <w:szCs w:val="20"/>
                <w:color w:val="auto"/>
              </w:rPr>
            </w:pPr>
            <w:r>
              <w:rPr>
                <w:rFonts w:ascii="Arial" w:cs="Arial" w:eastAsia="Arial" w:hAnsi="Arial"/>
                <w:sz w:val="16"/>
                <w:szCs w:val="16"/>
                <w:color w:val="auto"/>
              </w:rPr>
              <w:t>Accrued interest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431.7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395.6</w:t>
            </w:r>
          </w:p>
        </w:tc>
      </w:tr>
      <w:tr>
        <w:trPr>
          <w:trHeight w:val="219"/>
        </w:trPr>
        <w:tc>
          <w:tcPr>
            <w:tcW w:w="8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Derivative liabilities (see Note 14)</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148.2</w:t>
            </w:r>
          </w:p>
        </w:tc>
      </w:tr>
      <w:tr>
        <w:trPr>
          <w:trHeight w:val="223"/>
        </w:trPr>
        <w:tc>
          <w:tcPr>
            <w:tcW w:w="8820" w:type="dxa"/>
            <w:vAlign w:val="bottom"/>
          </w:tcPr>
          <w:p>
            <w:pPr>
              <w:ind w:left="26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511.2</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404.8</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9,129.7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7,167.5</w:t>
            </w:r>
          </w:p>
        </w:tc>
      </w:tr>
      <w:tr>
        <w:trPr>
          <w:trHeight w:val="210"/>
        </w:trPr>
        <w:tc>
          <w:tcPr>
            <w:tcW w:w="8820" w:type="dxa"/>
            <w:vAlign w:val="bottom"/>
          </w:tcPr>
          <w:p>
            <w:pPr>
              <w:spacing w:after="0"/>
              <w:rPr>
                <w:sz w:val="20"/>
                <w:szCs w:val="20"/>
                <w:color w:val="auto"/>
              </w:rPr>
            </w:pPr>
            <w:r>
              <w:rPr>
                <w:rFonts w:ascii="Arial" w:cs="Arial" w:eastAsia="Arial" w:hAnsi="Arial"/>
                <w:sz w:val="16"/>
                <w:szCs w:val="16"/>
                <w:b w:val="1"/>
                <w:bCs w:val="1"/>
                <w:color w:val="auto"/>
              </w:rPr>
              <w:t xml:space="preserve">Long-term debt </w:t>
            </w:r>
            <w:r>
              <w:rPr>
                <w:rFonts w:ascii="Arial" w:cs="Arial" w:eastAsia="Arial" w:hAnsi="Arial"/>
                <w:sz w:val="16"/>
                <w:szCs w:val="16"/>
                <w:color w:val="auto"/>
              </w:rPr>
              <w:t>(see Note 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25,643.2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24,678.1</w:t>
            </w:r>
          </w:p>
        </w:tc>
      </w:tr>
      <w:tr>
        <w:trPr>
          <w:trHeight w:val="222"/>
        </w:trPr>
        <w:tc>
          <w:tcPr>
            <w:tcW w:w="8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Deferred tax liabilities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80.4</w:t>
            </w:r>
          </w:p>
        </w:tc>
      </w:tr>
      <w:tr>
        <w:trPr>
          <w:trHeight w:val="210"/>
        </w:trPr>
        <w:tc>
          <w:tcPr>
            <w:tcW w:w="8820" w:type="dxa"/>
            <w:vAlign w:val="bottom"/>
          </w:tcPr>
          <w:p>
            <w:pPr>
              <w:spacing w:after="0"/>
              <w:rPr>
                <w:sz w:val="20"/>
                <w:szCs w:val="20"/>
                <w:color w:val="auto"/>
              </w:rPr>
            </w:pPr>
            <w:r>
              <w:rPr>
                <w:rFonts w:ascii="Arial" w:cs="Arial" w:eastAsia="Arial" w:hAnsi="Arial"/>
                <w:sz w:val="16"/>
                <w:szCs w:val="16"/>
                <w:b w:val="1"/>
                <w:bCs w:val="1"/>
                <w:color w:val="auto"/>
              </w:rPr>
              <w:t>Other long-term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1,032.4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751.6</w:t>
            </w:r>
          </w:p>
        </w:tc>
      </w:tr>
      <w:tr>
        <w:trPr>
          <w:trHeight w:val="222"/>
        </w:trPr>
        <w:tc>
          <w:tcPr>
            <w:tcW w:w="8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color w:val="auto"/>
              </w:rPr>
              <w:t>(see Note 17)</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3"/>
        </w:trPr>
        <w:tc>
          <w:tcPr>
            <w:tcW w:w="8820" w:type="dxa"/>
            <w:vAlign w:val="bottom"/>
          </w:tcPr>
          <w:p>
            <w:pPr>
              <w:spacing w:after="0"/>
              <w:rPr>
                <w:sz w:val="20"/>
                <w:szCs w:val="20"/>
                <w:color w:val="auto"/>
              </w:rPr>
            </w:pPr>
            <w:r>
              <w:rPr>
                <w:rFonts w:ascii="Arial" w:cs="Arial" w:eastAsia="Arial" w:hAnsi="Arial"/>
                <w:sz w:val="16"/>
                <w:szCs w:val="16"/>
                <w:b w:val="1"/>
                <w:bCs w:val="1"/>
                <w:color w:val="auto"/>
              </w:rPr>
              <w:t xml:space="preserve">Equity: </w:t>
            </w:r>
            <w:r>
              <w:rPr>
                <w:rFonts w:ascii="Arial" w:cs="Arial" w:eastAsia="Arial" w:hAnsi="Arial"/>
                <w:sz w:val="16"/>
                <w:szCs w:val="16"/>
                <w:color w:val="auto"/>
              </w:rPr>
              <w:t>(see Note 8)</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8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Partners’ equity: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3"/>
        </w:trPr>
        <w:tc>
          <w:tcPr>
            <w:tcW w:w="8820" w:type="dxa"/>
            <w:vAlign w:val="bottom"/>
          </w:tcPr>
          <w:p>
            <w:pPr>
              <w:ind w:left="340"/>
              <w:spacing w:after="0"/>
              <w:rPr>
                <w:sz w:val="20"/>
                <w:szCs w:val="20"/>
                <w:color w:val="auto"/>
              </w:rPr>
            </w:pPr>
            <w:r>
              <w:rPr>
                <w:rFonts w:ascii="Arial" w:cs="Arial" w:eastAsia="Arial" w:hAnsi="Arial"/>
                <w:sz w:val="16"/>
                <w:szCs w:val="16"/>
                <w:color w:val="auto"/>
              </w:rPr>
              <w:t>Limited partners: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8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Common units (2,189,226,130 units issued and outstanding at December 31, 2019</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88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and 2,184,869,029 units issued and outstanding at December 31, 2018)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24,692.6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23,802.6</w:t>
            </w:r>
          </w:p>
        </w:tc>
      </w:tr>
      <w:tr>
        <w:trPr>
          <w:trHeight w:val="223"/>
        </w:trPr>
        <w:tc>
          <w:tcPr>
            <w:tcW w:w="8820" w:type="dxa"/>
            <w:vAlign w:val="bottom"/>
          </w:tcPr>
          <w:p>
            <w:pPr>
              <w:ind w:left="34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9"/>
                <w:szCs w:val="19"/>
                <w:color w:val="auto"/>
              </w:rPr>
            </w:pPr>
          </w:p>
        </w:tc>
      </w:tr>
      <w:tr>
        <w:trPr>
          <w:trHeight w:val="223"/>
        </w:trPr>
        <w:tc>
          <w:tcPr>
            <w:tcW w:w="88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partners’ equity</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24,764.0</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23,853.5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820" w:type="dxa"/>
            <w:vAlign w:val="bottom"/>
          </w:tcPr>
          <w:p>
            <w:pPr>
              <w:ind w:left="18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1,063.5</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438.7</w:t>
            </w:r>
          </w:p>
        </w:tc>
        <w:tc>
          <w:tcPr>
            <w:tcW w:w="100" w:type="dxa"/>
            <w:vAlign w:val="bottom"/>
          </w:tcPr>
          <w:p>
            <w:pPr>
              <w:spacing w:after="0"/>
              <w:rPr>
                <w:sz w:val="19"/>
                <w:szCs w:val="19"/>
                <w:color w:val="auto"/>
              </w:rPr>
            </w:pPr>
          </w:p>
        </w:tc>
      </w:tr>
      <w:tr>
        <w:trPr>
          <w:trHeight w:val="223"/>
        </w:trPr>
        <w:tc>
          <w:tcPr>
            <w:tcW w:w="88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25,827.5</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24,292.2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3"/>
        </w:trPr>
        <w:tc>
          <w:tcPr>
            <w:tcW w:w="8820" w:type="dxa"/>
            <w:vAlign w:val="bottom"/>
          </w:tcPr>
          <w:p>
            <w:pPr>
              <w:ind w:left="660"/>
              <w:spacing w:after="0"/>
              <w:rPr>
                <w:sz w:val="20"/>
                <w:szCs w:val="20"/>
                <w:color w:val="auto"/>
              </w:rPr>
            </w:pPr>
            <w:r>
              <w:rPr>
                <w:rFonts w:ascii="Arial" w:cs="Arial" w:eastAsia="Arial" w:hAnsi="Arial"/>
                <w:sz w:val="16"/>
                <w:szCs w:val="16"/>
                <w:color w:val="auto"/>
              </w:rPr>
              <w:t>Total liabilities and equity</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61,733.2</w:t>
            </w:r>
          </w:p>
        </w:tc>
        <w:tc>
          <w:tcPr>
            <w:tcW w:w="6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56,969.8</w:t>
            </w:r>
          </w:p>
        </w:tc>
      </w:tr>
      <w:tr>
        <w:trPr>
          <w:trHeight w:val="24"/>
        </w:trPr>
        <w:tc>
          <w:tcPr>
            <w:tcW w:w="88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r>
        <w:rPr>
          <w:rFonts w:ascii="Arial" w:cs="Arial" w:eastAsia="Arial" w:hAnsi="Arial"/>
          <w:sz w:val="16"/>
          <w:szCs w:val="16"/>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7" w:name="page158"/>
    <w:bookmarkEnd w:id="1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unit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6"/>
                <w:szCs w:val="16"/>
                <w:b w:val="1"/>
                <w:bCs w:val="1"/>
                <w:color w:val="auto"/>
              </w:rPr>
              <w:t>For the Year Ended December 31,</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gridSpan w:val="2"/>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Third parties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32,721.9</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36,426.5</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29,196.5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Related parties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107.7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revenues (see Note 9)</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32,789.2</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36,534.2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29,241.5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Costs and expenses: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costs and expenses: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6"/>
                <w:szCs w:val="16"/>
                <w:color w:val="auto"/>
              </w:rPr>
              <w:t>Third parties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25,649.8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29,991.2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24,444.7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Related parties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1,406.1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1,112.8</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80"/>
              <w:spacing w:after="0"/>
              <w:rPr>
                <w:sz w:val="20"/>
                <w:szCs w:val="20"/>
                <w:color w:val="auto"/>
              </w:rPr>
            </w:pPr>
            <w:r>
              <w:rPr>
                <w:rFonts w:ascii="Arial" w:cs="Arial" w:eastAsia="Arial" w:hAnsi="Arial"/>
                <w:sz w:val="16"/>
                <w:szCs w:val="16"/>
                <w:color w:val="auto"/>
              </w:rPr>
              <w:t>Total operating costs and expenses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27,061.8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31,397.3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25,557.5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General and administrative costs: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6"/>
                <w:szCs w:val="16"/>
                <w:color w:val="auto"/>
              </w:rPr>
              <w:t>Third parties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77.4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Related parties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130.9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6"/>
                <w:szCs w:val="16"/>
                <w:color w:val="auto"/>
              </w:rPr>
              <w:t>Total general and administrative costs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211.7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208.3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181.1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costs and expenses (see Note 10)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27,273.5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31,605.6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25,738.6</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6"/>
                <w:szCs w:val="16"/>
                <w:b w:val="1"/>
                <w:bCs w:val="1"/>
                <w:color w:val="auto"/>
              </w:rPr>
              <w:t>Equity in income of unconsolidated affiliates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480.0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426.0</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6,078.7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5,408.6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3,928.9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Other income (expense):</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(1,243.0)</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(1,096.7)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Change in fair market value of Liquidity Option (see Note 17)</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(119.6)</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(56.1)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Gain on step acquisition of unconsolidated affiliate (see Note 12)</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6"/>
                <w:szCs w:val="16"/>
                <w:color w:val="auto"/>
              </w:rPr>
              <w:t>Total other expense, net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(1,346.0)</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(1,109.8)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(1,047.6)</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4,732.7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4,298.8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2,881.3</w:t>
            </w:r>
          </w:p>
        </w:tc>
        <w:tc>
          <w:tcPr>
            <w:tcW w:w="0" w:type="dxa"/>
            <w:vAlign w:val="bottom"/>
          </w:tcPr>
          <w:p>
            <w:pPr>
              <w:spacing w:after="0"/>
              <w:rPr>
                <w:sz w:val="1"/>
                <w:szCs w:val="1"/>
                <w:color w:val="auto"/>
              </w:rPr>
            </w:pPr>
          </w:p>
        </w:tc>
      </w:tr>
      <w:tr>
        <w:trPr>
          <w:trHeight w:val="213"/>
        </w:trPr>
        <w:tc>
          <w:tcPr>
            <w:tcW w:w="7440" w:type="dxa"/>
            <w:vAlign w:val="bottom"/>
            <w:gridSpan w:val="2"/>
          </w:tcPr>
          <w:p>
            <w:pPr>
              <w:spacing w:after="0"/>
              <w:rPr>
                <w:sz w:val="20"/>
                <w:szCs w:val="20"/>
                <w:color w:val="auto"/>
              </w:rPr>
            </w:pPr>
            <w:r>
              <w:rPr>
                <w:rFonts w:ascii="Arial" w:cs="Arial" w:eastAsia="Arial" w:hAnsi="Arial"/>
                <w:sz w:val="16"/>
                <w:szCs w:val="16"/>
                <w:color w:val="auto"/>
              </w:rPr>
              <w:t>Provision for income taxes (see Note 16)</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(45.6)</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(60.3)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4,687.1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4,238.5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2,855.6</w:t>
            </w:r>
          </w:p>
        </w:tc>
        <w:tc>
          <w:tcPr>
            <w:tcW w:w="0" w:type="dxa"/>
            <w:vAlign w:val="bottom"/>
          </w:tcPr>
          <w:p>
            <w:pPr>
              <w:spacing w:after="0"/>
              <w:rPr>
                <w:sz w:val="1"/>
                <w:szCs w:val="1"/>
                <w:color w:val="auto"/>
              </w:rPr>
            </w:pPr>
          </w:p>
        </w:tc>
      </w:tr>
      <w:tr>
        <w:trPr>
          <w:trHeight w:val="213"/>
        </w:trPr>
        <w:tc>
          <w:tcPr>
            <w:tcW w:w="7440" w:type="dxa"/>
            <w:vAlign w:val="bottom"/>
            <w:gridSpan w:val="2"/>
          </w:tcPr>
          <w:p>
            <w:pPr>
              <w:spacing w:after="0"/>
              <w:rPr>
                <w:sz w:val="20"/>
                <w:szCs w:val="20"/>
                <w:color w:val="auto"/>
              </w:rPr>
            </w:pPr>
            <w:r>
              <w:rPr>
                <w:rFonts w:ascii="Arial" w:cs="Arial" w:eastAsia="Arial" w:hAnsi="Arial"/>
                <w:sz w:val="16"/>
                <w:szCs w:val="16"/>
                <w:color w:val="auto"/>
              </w:rPr>
              <w:t>Net income attributable to noncontrolling interests (see Note 8)</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(95.8)</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(66.1)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attributable to limited partners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4,591.3</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4,172.4</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2,799.3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xml:space="preserve">Earnings per unit: </w:t>
            </w:r>
            <w:r>
              <w:rPr>
                <w:rFonts w:ascii="Arial" w:cs="Arial" w:eastAsia="Arial" w:hAnsi="Arial"/>
                <w:sz w:val="16"/>
                <w:szCs w:val="16"/>
                <w:color w:val="auto"/>
              </w:rPr>
              <w:t>(see Note 11)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Basic earnings per unit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2.09</w:t>
            </w:r>
          </w:p>
        </w:tc>
        <w:tc>
          <w:tcPr>
            <w:tcW w:w="2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1.91</w:t>
            </w:r>
          </w:p>
        </w:tc>
        <w:tc>
          <w:tcPr>
            <w:tcW w:w="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 earnings per unit</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1.91</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8" w:name="page159"/>
    <w:bookmarkEnd w:id="1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7"/>
          </w:tcPr>
          <w:p>
            <w:pPr>
              <w:jc w:val="center"/>
              <w:ind w:left="419"/>
              <w:spacing w:after="0"/>
              <w:rPr>
                <w:sz w:val="20"/>
                <w:szCs w:val="20"/>
                <w:color w:val="auto"/>
              </w:rPr>
            </w:pPr>
            <w:r>
              <w:rPr>
                <w:rFonts w:ascii="Arial" w:cs="Arial" w:eastAsia="Arial" w:hAnsi="Arial"/>
                <w:sz w:val="16"/>
                <w:szCs w:val="16"/>
                <w:b w:val="1"/>
                <w:bCs w:val="1"/>
                <w:color w:val="auto"/>
                <w:w w:val="91"/>
              </w:rPr>
              <w:t>For the Year Ended December 31,</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4,687.1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4,238.5</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2,855.6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6"/>
                <w:szCs w:val="16"/>
                <w:b w:val="1"/>
                <w:bCs w:val="1"/>
                <w:color w:val="auto"/>
              </w:rPr>
              <w:t>Other comprehensive income (loss):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flow hedges: (see Note 14)</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jc w:val="center"/>
              <w:ind w:right="3839"/>
              <w:spacing w:after="0"/>
              <w:rPr>
                <w:sz w:val="20"/>
                <w:szCs w:val="20"/>
                <w:color w:val="auto"/>
              </w:rPr>
            </w:pPr>
            <w:r>
              <w:rPr>
                <w:rFonts w:ascii="Arial" w:cs="Arial" w:eastAsia="Arial" w:hAnsi="Arial"/>
                <w:sz w:val="16"/>
                <w:szCs w:val="16"/>
                <w:color w:val="auto"/>
                <w:w w:val="93"/>
              </w:rPr>
              <w:t>Commodity hedging derivative instruments: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Change in fair value of cash flow hedges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6"/>
                <w:szCs w:val="16"/>
                <w:color w:val="auto"/>
              </w:rPr>
              <w:t>Reclassification of losses (gains) to net income</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(141.7)</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(130.4)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112.2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jc w:val="center"/>
              <w:ind w:right="3839"/>
              <w:spacing w:after="0"/>
              <w:rPr>
                <w:sz w:val="20"/>
                <w:szCs w:val="20"/>
                <w:color w:val="auto"/>
              </w:rPr>
            </w:pPr>
            <w:r>
              <w:rPr>
                <w:rFonts w:ascii="Arial" w:cs="Arial" w:eastAsia="Arial" w:hAnsi="Arial"/>
                <w:sz w:val="16"/>
                <w:szCs w:val="16"/>
                <w:color w:val="auto"/>
                <w:w w:val="91"/>
              </w:rPr>
              <w:t>Interest rate hedging derivative instruments: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6"/>
                <w:szCs w:val="16"/>
                <w:color w:val="auto"/>
              </w:rPr>
              <w:t>Change in fair value of cash flow hedges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22.2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Reclassification of losses to net income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6"/>
                <w:szCs w:val="16"/>
                <w:color w:val="auto"/>
              </w:rPr>
              <w:t>Total cash flow hedges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223.1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jc w:val="center"/>
              <w:ind w:right="3819"/>
              <w:spacing w:after="0"/>
              <w:rPr>
                <w:sz w:val="20"/>
                <w:szCs w:val="20"/>
                <w:color w:val="auto"/>
              </w:rPr>
            </w:pPr>
            <w:r>
              <w:rPr>
                <w:rFonts w:ascii="Arial" w:cs="Arial" w:eastAsia="Arial" w:hAnsi="Arial"/>
                <w:sz w:val="16"/>
                <w:szCs w:val="16"/>
                <w:color w:val="auto"/>
                <w:w w:val="91"/>
              </w:rPr>
              <w:t>Total other comprehensive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222.6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108.3</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Comprehensive income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4,707.6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4,461.1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2,963.9</w:t>
            </w:r>
          </w:p>
        </w:tc>
        <w:tc>
          <w:tcPr>
            <w:tcW w:w="0" w:type="dxa"/>
            <w:vAlign w:val="bottom"/>
          </w:tcPr>
          <w:p>
            <w:pPr>
              <w:spacing w:after="0"/>
              <w:rPr>
                <w:sz w:val="1"/>
                <w:szCs w:val="1"/>
                <w:color w:val="auto"/>
              </w:rPr>
            </w:pPr>
          </w:p>
        </w:tc>
      </w:tr>
      <w:tr>
        <w:trPr>
          <w:trHeight w:val="213"/>
        </w:trPr>
        <w:tc>
          <w:tcPr>
            <w:tcW w:w="7440" w:type="dxa"/>
            <w:vAlign w:val="bottom"/>
            <w:gridSpan w:val="2"/>
          </w:tcPr>
          <w:p>
            <w:pPr>
              <w:spacing w:after="0"/>
              <w:rPr>
                <w:sz w:val="20"/>
                <w:szCs w:val="20"/>
                <w:color w:val="auto"/>
              </w:rPr>
            </w:pPr>
            <w:r>
              <w:rPr>
                <w:rFonts w:ascii="Arial" w:cs="Arial" w:eastAsia="Arial" w:hAnsi="Arial"/>
                <w:sz w:val="16"/>
                <w:szCs w:val="16"/>
                <w:color w:val="auto"/>
              </w:rPr>
              <w:t>Comprehensive income attributable to noncontrolling interests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(95.8)</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(66.1)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Comprehensive income attributable to limited partners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4,611.8</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4,395.0</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9" w:name="page160"/>
    <w:bookmarkEnd w:id="1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6"/>
                <w:szCs w:val="16"/>
                <w:b w:val="1"/>
                <w:bCs w:val="1"/>
                <w:color w:val="auto"/>
              </w:rPr>
              <w:t>For the Year Ended December 31,</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gridSpan w:val="2"/>
          </w:tcPr>
          <w:p>
            <w:pPr>
              <w:spacing w:after="0"/>
              <w:rPr>
                <w:sz w:val="20"/>
                <w:szCs w:val="20"/>
                <w:color w:val="auto"/>
              </w:rPr>
            </w:pPr>
            <w:r>
              <w:rPr>
                <w:rFonts w:ascii="Arial" w:cs="Arial" w:eastAsia="Arial" w:hAnsi="Arial"/>
                <w:sz w:val="16"/>
                <w:szCs w:val="16"/>
                <w:b w:val="1"/>
                <w:bCs w:val="1"/>
                <w:color w:val="auto"/>
              </w:rPr>
              <w:t>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4,687.1</w:t>
            </w:r>
          </w:p>
        </w:tc>
        <w:tc>
          <w:tcPr>
            <w:tcW w:w="220" w:type="dxa"/>
            <w:vAlign w:val="bottom"/>
            <w:tcBorders>
              <w:lef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4,238.5</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2,855.6</w:t>
            </w:r>
          </w:p>
        </w:tc>
        <w:tc>
          <w:tcPr>
            <w:tcW w:w="0" w:type="dxa"/>
            <w:vAlign w:val="bottom"/>
          </w:tcPr>
          <w:p>
            <w:pPr>
              <w:spacing w:after="0"/>
              <w:rPr>
                <w:sz w:val="1"/>
                <w:szCs w:val="1"/>
                <w:color w:val="auto"/>
              </w:rPr>
            </w:pPr>
          </w:p>
        </w:tc>
      </w:tr>
      <w:tr>
        <w:trPr>
          <w:trHeight w:val="213"/>
        </w:trPr>
        <w:tc>
          <w:tcPr>
            <w:tcW w:w="7440" w:type="dxa"/>
            <w:vAlign w:val="bottom"/>
            <w:gridSpan w:val="2"/>
          </w:tcPr>
          <w:p>
            <w:pPr>
              <w:spacing w:after="0"/>
              <w:rPr>
                <w:sz w:val="20"/>
                <w:szCs w:val="20"/>
                <w:color w:val="auto"/>
              </w:rPr>
            </w:pPr>
            <w:r>
              <w:rPr>
                <w:rFonts w:ascii="Arial" w:cs="Arial" w:eastAsia="Arial" w:hAnsi="Arial"/>
                <w:sz w:val="16"/>
                <w:szCs w:val="16"/>
                <w:i w:val="1"/>
                <w:iCs w:val="1"/>
                <w:color w:val="auto"/>
              </w:rPr>
              <w:t>Reconciliation of net income to net cash flows provided by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Depreciation, amortization and accretion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1,949.3</w:t>
            </w:r>
          </w:p>
        </w:tc>
        <w:tc>
          <w:tcPr>
            <w:tcW w:w="220" w:type="dxa"/>
            <w:vAlign w:val="bottom"/>
            <w:tcBorders>
              <w:lef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1,791.6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1,644.0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Asset impairment and related charges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132.8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50.5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Equity in income of unconsolidated affiliates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(563.0)</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Distributions received from unconsolidated affiliates attributable to earnings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568.0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479.4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433.7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gains attributable to asset sales (see Note 19)</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(5.7)</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Deferred income tax expense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21.4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Change in fair market value of derivative instruments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220" w:type="dxa"/>
            <w:vAlign w:val="bottom"/>
            <w:tcBorders>
              <w:lef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Change in fair market value of Liquidity Option (see Note 17)</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56.1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Gain on step acquisition of unconsolidated affiliate (see Note 12)</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Non-cash expense related to long-term operating leases (see Note 17)</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effect of changes in operating accounts (see Note 19)</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(457.4)</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Other operating activities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(0.2)</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cash flows provided by operating activities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6,520.5</w:t>
            </w:r>
          </w:p>
        </w:tc>
        <w:tc>
          <w:tcPr>
            <w:tcW w:w="220" w:type="dxa"/>
            <w:vAlign w:val="bottom"/>
            <w:tcBorders>
              <w:lef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6,126.3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4,666.3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Capital expenditures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(4,531.7)</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(4,223.2)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(3,101.8)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Cash used for business combinations, net of cash received (see Note 12)</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(150.6)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(198.7)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Investments in unconsolidated affiliates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(111.6)</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(113.6)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Distributions received from unconsolidated affiliates attributable to return of capital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Proceeds from asset sales (see Note 19)</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220" w:type="dxa"/>
            <w:vAlign w:val="bottom"/>
            <w:tcBorders>
              <w:lef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Other investing activities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(16.1)</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used in investing activities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(4,575.5)</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(4,281.6)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(3,286.1)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Borrowings under debt agreements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58,172.6</w:t>
            </w:r>
          </w:p>
        </w:tc>
        <w:tc>
          <w:tcPr>
            <w:tcW w:w="220" w:type="dxa"/>
            <w:vAlign w:val="bottom"/>
            <w:tcBorders>
              <w:lef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79,588.7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69,315.3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Repayments of debt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(56,716.5)</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(77,957.1)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(68,459.6)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Debt issuance costs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(27.6)</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Monetization of interest rate derivative instruments (see Note 14)</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distributions paid to limited partners (see Note 8)</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(3,839.8)</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(3,726.9)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(3,569.9)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Cash payments made in connection with distribution equivalent rights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(22.1)</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(17.7)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distributions paid to noncontrolling interests (see Note 8)</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(106.2)</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Cash contributions from noncontrolling interests (see Note 8)</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632.8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238.1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cash proceeds from the issuance of common units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220" w:type="dxa"/>
            <w:vAlign w:val="bottom"/>
            <w:tcBorders>
              <w:lef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1,073.4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6"/>
                <w:szCs w:val="16"/>
                <w:color w:val="auto"/>
              </w:rPr>
              <w:t>Repurchase of common units under buyback programs (see Note 8)</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(81.1)</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(30.8)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financing activities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6"/>
                <w:szCs w:val="16"/>
                <w:color w:val="auto"/>
              </w:rPr>
              <w:t>Cash used in financing activities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(1,945.1)</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(1,504.9)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(1,727.5)</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change in cash and cash equivalents, including restricted cash</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339.8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6"/>
                <w:szCs w:val="16"/>
                <w:b w:val="1"/>
                <w:bCs w:val="1"/>
                <w:color w:val="auto"/>
              </w:rPr>
              <w:t>Cash and cash equivalents, including restricted cash, January 1</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410.1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70.3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417.6</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including restricted cash, December 31</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w:t>
            </w:r>
          </w:p>
        </w:tc>
        <w:tc>
          <w:tcPr>
            <w:tcW w:w="220" w:type="dxa"/>
            <w:vAlign w:val="bottom"/>
            <w:tcBorders>
              <w:left w:val="single" w:sz="8" w:color="CCEEFF"/>
            </w:tcBorders>
            <w:shd w:val="clear" w:color="auto" w:fill="CCEEFF"/>
          </w:tcPr>
          <w:p>
            <w:pPr>
              <w:spacing w:after="0"/>
              <w:rPr>
                <w:sz w:val="20"/>
                <w:szCs w:val="20"/>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410.1</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0" w:name="page161"/>
    <w:bookmarkEnd w:id="1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 8 for Unit History, Accumulated Other Comprehensive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(Loss) and Noncontrolling Interests)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Partners’ Equity</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5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8"/>
              <w:spacing w:after="0" w:line="126"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Limited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Partners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December 31, 2016</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22,327.0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219.0</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22,266.0</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2,799.3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56.3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2,855.6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distributions paid to limited partners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(3,569.9)</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4"/>
                <w:szCs w:val="14"/>
                <w:color w:val="auto"/>
              </w:rPr>
              <w:t>Cash payments made in connection with distribution equivalent rights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distributions paid to noncontrolling interests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4"/>
                <w:szCs w:val="14"/>
                <w:color w:val="auto"/>
              </w:rPr>
              <w:t>Cash contributions from noncontrolling interests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proceeds from the issuance of common units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1,073.4</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4"/>
                <w:szCs w:val="14"/>
                <w:color w:val="auto"/>
              </w:rPr>
              <w:t>Common units issued in connection with employee compensation</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fair value of equity-based awards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4"/>
                <w:szCs w:val="14"/>
                <w:color w:val="auto"/>
              </w:rPr>
              <w:t>Cash flow hedges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108.4</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27"/>
        </w:trPr>
        <w:tc>
          <w:tcPr>
            <w:tcW w:w="5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4"/>
                <w:szCs w:val="14"/>
                <w:b w:val="1"/>
                <w:bCs w:val="1"/>
                <w:color w:val="auto"/>
              </w:rPr>
              <w:t>Balance, December 31, 2017</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22,718.9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(171.7)</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225.2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22,772.4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4,238.5</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4"/>
                <w:szCs w:val="14"/>
                <w:color w:val="auto"/>
              </w:rPr>
              <w:t>Cash distributions paid to limited partners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(3,726.9)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(3,726.9)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payments made in connection with distribution equivalent rights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4"/>
                <w:szCs w:val="14"/>
                <w:color w:val="auto"/>
              </w:rPr>
              <w:t>Cash distributions paid to noncontrolling interests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(81.6)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contributions from noncontrolling interests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238.1</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4"/>
                <w:szCs w:val="14"/>
                <w:color w:val="auto"/>
              </w:rPr>
              <w:t>Net cash proceeds from the issuance of common units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538.4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units issued in connection with employee compensation</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4"/>
                <w:szCs w:val="14"/>
                <w:color w:val="auto"/>
              </w:rPr>
              <w:t>Common units issued in connection with land acquisition</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 common units under Legacy Buyback Program</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4"/>
                <w:szCs w:val="14"/>
                <w:color w:val="auto"/>
              </w:rPr>
              <w:t>Amortization of fair value of equity-based awards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104.7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flow hedges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223.1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223.1</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4"/>
                <w:szCs w:val="14"/>
                <w:color w:val="auto"/>
              </w:rPr>
              <w:t>Other, net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December 31, 2018</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23,802.6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24,292.2</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4,591.3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95.8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4,687.1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distributions paid to limited partners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(3,839.8)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(3,839.8)</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4"/>
                <w:szCs w:val="14"/>
                <w:color w:val="auto"/>
              </w:rPr>
              <w:t>Cash payments made in connection with distribution equivalent rights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distributions paid to noncontrolling interests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(106.2)</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4"/>
                <w:szCs w:val="14"/>
                <w:color w:val="auto"/>
              </w:rPr>
              <w:t>Cash contributions from noncontrolling interests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632.8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632.8</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proceeds from the issuance of common units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4"/>
                <w:szCs w:val="14"/>
                <w:color w:val="auto"/>
              </w:rPr>
              <w:t>Common units issued in connection with employee compensation</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 common units under 2019 Buyback Program</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4"/>
                <w:szCs w:val="14"/>
                <w:color w:val="auto"/>
              </w:rPr>
              <w:t>Amortization of fair value of equity-based awards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143.3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flow hedges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4"/>
                <w:szCs w:val="14"/>
                <w:color w:val="auto"/>
              </w:rPr>
              <w:t>Other, net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December 31, 2019</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24,692.6</w:t>
            </w:r>
          </w:p>
        </w:tc>
        <w:tc>
          <w:tcPr>
            <w:tcW w:w="1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71.4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1,063.5</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25,827.5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1" w:name="page162"/>
    <w:bookmarkEnd w:id="1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With the exception of per unit amounts, or as noted within the context of each disclosure,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dollar amounts presented in the tabular data within these disclosures 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stated in millions of dollars.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REFERENCES USED IN THESE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Unless the context requires otherwise, references to “we,” “us,” “our” or “Enterprise” are intended to mean the business and operations of Enterprise Products Partners L.P. and its consolidated subsidiaries. References to “EPD” or the “Partnership” mean Enterprise Products Partners L.P. on a standalone basis. References to “EPO” mean Enterprise Products Operating LLC, which is an indirect wholly owned subsidiary of EPD, and its consolidated subsidiaries, through which EPD conducts its business. Enterprise is managed by its general partner, Enterprise Products Holdings LLC (“Enterprise GP”), which is a wholly owned subsidiary of Dan Duncan LLC, a privately held Texas limited liability company.</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membership interests of Dan Duncan LLC are owned by a voting trust, the current trustees (“DD LLC Trustees”) of which are: (i) Randa Duncan Williams, who is also a director and Chairman of the Board of Directors (the “Board”) of Enterprise GP; (ii) Richard H. Bachmann, who is also a director and Vice Chairman of the Board of Enterprise GP; and (iii) Dr. Ralph S. Cunningham, who is also an advisory director of Enterprise GP. Ms. Duncan Williams and Mr. Bachmann also currently serve as managers of Dan Duncan LLC along with W. Randall Fowler, who is also a director and the Co-Chief Executive Officer and Chief Financial Officer of Enterprise GP.</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References to “EPCO” mean Enterprise Products Company, a privately held Texas corporation, and its privately held affiliates. A majority of the outstanding voting capital stock of EPCO is owned by a voting trust, the current trustees (“EPCO Trustees”) of which are: (i) Ms. Duncan Williams, who serves as Chairman of EPCO; (ii) Dr. Cunningham, who serves as Vice Chairman of EPCO; and (iii) Mr. Bachmann, who serves as the President and Chief Executive Officer of EPCO. Ms. Duncan Williams and Mr. Bachmann also currently serve as directors of EPCO along with Mr. Fowler, who is also the Executive Vice President and Chief Financial Officer of EPCO. EPCO, together with its privately held affiliates, owned approximately 32% of EPD’s limited partner common units at December 31, 2019.</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Partnership Organization and Operations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a publicly traded Delaware limited partnership, the common units of which are listed on the New York Stock Exchange (“NYSE”) under the ticker symbol “EPD.” We were formed in April 1998 to own and operate certain natural gas liquids (“NGLs”) related businesses of EPCO and are a leading North American provider of midstream energy services to producers and consumers of natural gas, NGLs, crude oil, petrochemicals and refined products.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integrated midstream energy asset network links producers of natural gas, NGLs and crude oil from some of the largest supply basins in the United States (“U.S.”), Canada and the Gulf of Mexico with domestic consumers and international markets. Our midstream energy operations currently include: natural gas gathering, treating, processing, transportation and storage; NGL transportation, fractionation, storage, and export and import terminals (including those used to export liquefied petroleum gases, or “LPG,” and ethane); crude oil gathering, transportation, storage, and export and import terminals; petrochemical and refined products transportation, storage, export and import terminals, and related services; and a marine transportation business that operates primarily on the U.S. inland and Intracoastal Waterway systems. Our assets currently include approximately 50,000 miles of pipelines; 260 million barrels (“MMBbls”) of storage capacity for NGLs, crude oil, petrochemicals and refined products; and 14 billion cubic feet (“Bcf”) of natural gas storage capacity. All statistical data (e.g., pipeline mileage, processing capacity and similar operating metrics) in these notes to consolidated financial statements are unaudited.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2" w:name="page163"/>
    <w:bookmarkEnd w:id="1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 substantially all of our business through EPO and are owned 100% by EPD’s limited partners from an economic perspective. Enterprise GP manages our Partnership and owns a non-economic general partner interest in us. We, Enterprise GP, EPCO and Dan Duncan LLC are affiliates under the collective common control of the DD LLC Trustees and the EPCO Trustees. Like many publicly traded partnerships, we have no employees. All of our management, administrative and operating functions are performed by employees of EPCO pursuant to an administrative services agreement (the “ASA”) or by other service providers. See Note 15 for information regarding related party matters.</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operations are reported under four business segments: (i) NGL Pipelines &amp; Services, (ii) Crude Oil Pipelines &amp; Services, (iii) Natural Gas Pipelines &amp; Services and (iv) Petrochemical &amp; Refined Products Services. See Note 10 for additional information regarding our business segments.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financial statements are prepared on the accrual basis of accounting in accordance with U.S. generally accepted accounting principles (“GAAP”).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allowance for doubtful accounts is determined based on specific identification and estimates of future uncollectible accounts, including those related to natural gas imbalances. Our procedure for estimating the allowance for doubtful accounts is based on: (i) historical experience with customers, (ii) the perceived financial stability of customers based on our research and (iii) the levels of credit we grant to customers. In addition, we may increase the allowance for doubtful accounts in response to the specific identification of customers involved in bankruptcy proceedings and similar financial difficulties. On a routine basis, we review estimates associated with the allowance for doubtful accounts to ensure that we have recorded sufficient reserves to cover potential losses.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allowance for doubtful accounts activity for the years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6"/>
              </w:rPr>
              <w:t>For the Year Ended 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440" w:type="dxa"/>
            <w:vAlign w:val="bottom"/>
          </w:tcPr>
          <w:p>
            <w:pPr>
              <w:spacing w:after="0"/>
              <w:rPr>
                <w:sz w:val="19"/>
                <w:szCs w:val="19"/>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Balance at beginning of period</w:t>
            </w:r>
          </w:p>
        </w:tc>
        <w:tc>
          <w:tcPr>
            <w:tcW w:w="800" w:type="dxa"/>
            <w:vAlign w:val="bottom"/>
            <w:shd w:val="clear" w:color="auto" w:fill="CCEEFF"/>
          </w:tcPr>
          <w:p>
            <w:pPr>
              <w:jc w:val="right"/>
              <w:ind w:right="682"/>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12.1</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w:t>
            </w:r>
          </w:p>
        </w:tc>
      </w:tr>
      <w:tr>
        <w:trPr>
          <w:trHeight w:val="216"/>
        </w:trPr>
        <w:tc>
          <w:tcPr>
            <w:tcW w:w="7440" w:type="dxa"/>
            <w:vAlign w:val="bottom"/>
          </w:tcPr>
          <w:p>
            <w:pPr>
              <w:spacing w:after="0"/>
              <w:rPr>
                <w:sz w:val="20"/>
                <w:szCs w:val="20"/>
                <w:color w:val="auto"/>
              </w:rPr>
            </w:pPr>
            <w:r>
              <w:rPr>
                <w:rFonts w:ascii="Arial" w:cs="Arial" w:eastAsia="Arial" w:hAnsi="Arial"/>
                <w:sz w:val="14"/>
                <w:szCs w:val="14"/>
                <w:color w:val="auto"/>
              </w:rPr>
              <w:t>Charged to costs and expenses</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2.7</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Deductions</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w:t>
            </w:r>
          </w:p>
        </w:tc>
      </w:tr>
      <w:tr>
        <w:trPr>
          <w:trHeight w:val="27"/>
        </w:trPr>
        <w:tc>
          <w:tcPr>
            <w:tcW w:w="74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4"/>
                <w:szCs w:val="14"/>
                <w:color w:val="auto"/>
              </w:rPr>
              <w:t>Balance at end of period</w:t>
            </w:r>
          </w:p>
        </w:tc>
        <w:tc>
          <w:tcPr>
            <w:tcW w:w="800" w:type="dxa"/>
            <w:vAlign w:val="bottom"/>
          </w:tcPr>
          <w:p>
            <w:pPr>
              <w:jc w:val="right"/>
              <w:ind w:right="682"/>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12.4</w:t>
            </w:r>
          </w:p>
        </w:tc>
        <w:tc>
          <w:tcPr>
            <w:tcW w:w="22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11.5</w:t>
            </w:r>
          </w:p>
        </w:tc>
        <w:tc>
          <w:tcPr>
            <w:tcW w:w="4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12.1</w:t>
            </w:r>
          </w:p>
        </w:tc>
      </w:tr>
      <w:tr>
        <w:trPr>
          <w:trHeight w:val="21"/>
        </w:trPr>
        <w:tc>
          <w:tcPr>
            <w:tcW w:w="7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See “Credit Risk” in Note 18 for additional information.</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2016, the Financial Accounting Standards Board (“FASB”) issued Accounting Standards Update (“ASU”) 2016-13, “</w:t>
      </w:r>
      <w:r>
        <w:rPr>
          <w:rFonts w:ascii="Arial" w:cs="Arial" w:eastAsia="Arial" w:hAnsi="Arial"/>
          <w:sz w:val="17"/>
          <w:szCs w:val="17"/>
          <w:i w:val="1"/>
          <w:iCs w:val="1"/>
          <w:color w:val="auto"/>
        </w:rPr>
        <w:t>Financial Instruments – Credit</w:t>
      </w:r>
      <w:r>
        <w:rPr>
          <w:rFonts w:ascii="Arial" w:cs="Arial" w:eastAsia="Arial" w:hAnsi="Arial"/>
          <w:sz w:val="17"/>
          <w:szCs w:val="17"/>
          <w:color w:val="auto"/>
        </w:rPr>
        <w:t xml:space="preserve"> </w:t>
      </w:r>
      <w:r>
        <w:rPr>
          <w:rFonts w:ascii="Arial" w:cs="Arial" w:eastAsia="Arial" w:hAnsi="Arial"/>
          <w:sz w:val="17"/>
          <w:szCs w:val="17"/>
          <w:i w:val="1"/>
          <w:iCs w:val="1"/>
          <w:color w:val="auto"/>
        </w:rPr>
        <w:t>Losses (Topic 326): Measurement of Credit Losses on Financial Instruments</w:t>
      </w:r>
      <w:r>
        <w:rPr>
          <w:rFonts w:ascii="Arial" w:cs="Arial" w:eastAsia="Arial" w:hAnsi="Arial"/>
          <w:sz w:val="17"/>
          <w:szCs w:val="17"/>
          <w:color w:val="auto"/>
        </w:rPr>
        <w:t>.” The new guidance, referred to as the current expected credit loss (“CECL”)</w:t>
      </w:r>
      <w:r>
        <w:rPr>
          <w:rFonts w:ascii="Arial" w:cs="Arial" w:eastAsia="Arial" w:hAnsi="Arial"/>
          <w:sz w:val="17"/>
          <w:szCs w:val="17"/>
          <w:i w:val="1"/>
          <w:iCs w:val="1"/>
          <w:color w:val="auto"/>
        </w:rPr>
        <w:t xml:space="preserve"> </w:t>
      </w:r>
      <w:r>
        <w:rPr>
          <w:rFonts w:ascii="Arial" w:cs="Arial" w:eastAsia="Arial" w:hAnsi="Arial"/>
          <w:sz w:val="17"/>
          <w:szCs w:val="17"/>
          <w:color w:val="auto"/>
        </w:rPr>
        <w:t>model, requires the measurement of expected credit losses for financial assets (e.g., accounts receivable) held at the reporting date based on historical experience, current economic conditions, and reasonable and supportable forecasts. These changes are expected to result in the more timely recognition of losses. The adoption of this new guidance on January 1, 2020 did not have a material impact on our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represent unrestricted cash on hand and highly liquid investments with original maturities of less than three months from the date of purchase.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cash primarily represents amounts held in segregated bank accounts by our clearing brokers as margin in support of our commodity derivative instruments portfolio and related physical purchases and sales of natural gas, NGLs, crude oil and refined products. Additional cash may be restricted to maintain our commodity derivative instruments portfolio as prices fluctuate or margin requirements change. See Note 14 for information regarding our derivative instruments and hedging activities.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3" w:name="page164"/>
    <w:bookmarkEnd w:id="1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Consolidated Balance Sheets that sum to the total of the amounts shown in the Statements of Consolidated Cash Flows.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6"/>
              </w:rPr>
              <w:t>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3420" w:type="dxa"/>
            <w:vAlign w:val="bottom"/>
            <w:gridSpan w:val="2"/>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334.7</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344.8</w:t>
            </w:r>
          </w:p>
        </w:tc>
      </w:tr>
      <w:tr>
        <w:trPr>
          <w:trHeight w:val="223"/>
        </w:trPr>
        <w:tc>
          <w:tcPr>
            <w:tcW w:w="6160" w:type="dxa"/>
            <w:vAlign w:val="bottom"/>
            <w:gridSpan w:val="2"/>
          </w:tcPr>
          <w:p>
            <w:pPr>
              <w:spacing w:after="0"/>
              <w:rPr>
                <w:sz w:val="20"/>
                <w:szCs w:val="20"/>
                <w:color w:val="auto"/>
              </w:rPr>
            </w:pPr>
            <w:r>
              <w:rPr>
                <w:rFonts w:ascii="Arial" w:cs="Arial" w:eastAsia="Arial" w:hAnsi="Arial"/>
                <w:sz w:val="14"/>
                <w:szCs w:val="14"/>
                <w:color w:val="auto"/>
              </w:rPr>
              <w:t>Restricted cash</w:t>
            </w:r>
          </w:p>
        </w:tc>
        <w:tc>
          <w:tcPr>
            <w:tcW w:w="2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75.3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65.3</w:t>
            </w:r>
          </w:p>
        </w:tc>
      </w:tr>
      <w:tr>
        <w:trPr>
          <w:trHeight w:val="130"/>
        </w:trPr>
        <w:tc>
          <w:tcPr>
            <w:tcW w:w="20" w:type="dxa"/>
            <w:vAlign w:val="bottom"/>
          </w:tcPr>
          <w:p>
            <w:pPr>
              <w:spacing w:after="0"/>
              <w:rPr>
                <w:sz w:val="11"/>
                <w:szCs w:val="11"/>
                <w:color w:val="auto"/>
              </w:rPr>
            </w:pPr>
          </w:p>
        </w:tc>
        <w:tc>
          <w:tcPr>
            <w:tcW w:w="6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Total cash, cash equivalents and restricted cash shown in the</w:t>
            </w:r>
          </w:p>
        </w:tc>
        <w:tc>
          <w:tcPr>
            <w:tcW w:w="266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88"/>
        </w:trPr>
        <w:tc>
          <w:tcPr>
            <w:tcW w:w="20" w:type="dxa"/>
            <w:vAlign w:val="bottom"/>
          </w:tcPr>
          <w:p>
            <w:pPr>
              <w:spacing w:after="0"/>
              <w:rPr>
                <w:sz w:val="16"/>
                <w:szCs w:val="16"/>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Statements of Consolidated Cash Flows</w:t>
            </w:r>
          </w:p>
        </w:tc>
        <w:tc>
          <w:tcPr>
            <w:tcW w:w="3420" w:type="dxa"/>
            <w:vAlign w:val="bottom"/>
            <w:gridSpan w:val="2"/>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410.0</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410.1</w:t>
            </w:r>
          </w:p>
        </w:tc>
      </w:tr>
      <w:tr>
        <w:trPr>
          <w:trHeight w:val="20"/>
        </w:trPr>
        <w:tc>
          <w:tcPr>
            <w:tcW w:w="20" w:type="dxa"/>
            <w:vAlign w:val="bottom"/>
          </w:tcPr>
          <w:p>
            <w:pPr>
              <w:spacing w:after="0" w:line="20" w:lineRule="exact"/>
              <w:rPr>
                <w:sz w:val="1"/>
                <w:szCs w:val="1"/>
                <w:color w:val="auto"/>
              </w:rPr>
            </w:pPr>
          </w:p>
        </w:tc>
        <w:tc>
          <w:tcPr>
            <w:tcW w:w="614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Policy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consolidated financial statements include our accounts and those of our majority-owned subsidiaries in which we have a controlling interest, after the elimination of all intercompany accounts and transactions. We also consolidate other entities and ventures in which we possess a controlling financial interest as well as partnership interests where we are the sole general partner of the partnership. We evaluate our financial interests in business enterprises to determine if they represent variable interest entities where we are the primary beneficiary. If such criteria are met, we consolidate the financial statements of such businesses with those of our own. Third party or affiliate ownership interests in our controlled subsidiaries are presented as noncontrolling interests. See Note 8 for information regarding noncontrolling interests.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entity is organized as a limited partnership or limited liability company and maintains separate ownership accounts, we account for our investment using the equity method if our ownership interest is between 3% and 50%, unless our interest is so minor that we have virtually no influence over the investee’s operating and financial policies. For all other types of investments, we apply the equity method of accounting if our ownership interest is between 20% and 50% and we exercise significant influence over the investee’s operating and financial policies. In consolidation, we eliminate our proportionate share of profits and losses from transactions with equity method unconsolidated affiliates to the extent such amounts remain on our Consolidated Balance Sheets (or those of our equity method investments) in inventory or similar accounts.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conditions may exist as of the date our consolidated financial statements are issued, which may result in a loss to us but which will only be resolved when one or more future events occur or fail to occur. Management has regular quarterly litigation reviews, including updates from legal counsel, to assess the need for accounting recognition or disclosure of these contingencies, and such assessment inherently involves an exercise in judgment. In assessing loss contingencies related to legal proceedings that are pending against us or unasserted claims that may result in such proceedings, our management and legal counsel evaluate the perceived merits of any legal proceedings or unasserted claims as well as the perceived merits of the amount of relief sought or expected to be sought therein.</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accrue an undiscounted liability for those contingencies where the incurrence of a loss is probable and the amount can be reasonably estimated. If a range of amounts can be reasonably estimated and no amount within the range is a better estimate than any other amount, then the minimum of the range is accrued. 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contingencies considered remote are generally not disclosed unless they involve guarantees, in which case the guarantees would be disclosed. See Note 17 for additional information regarding our contingencies.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Assets and Current Liabilities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 as individual captions in our Consolidated Balance Sheets, all components of current assets and current liabilities that exceed 5% of total current assets and current liabilities,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4" w:name="page165"/>
    <w:bookmarkEnd w:id="1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use derivative instruments such as futures, swaps, forward contracts and other arrangements to manage price risks associated with inventories, firm commitments, interest rates and certain anticipated future commodity transactions. To qualify for hedge accounting, the hedged item must expose us to risk and the related derivative instrument must reduce the exposure to that risk and meet specific hedge documentation requirements related to designation dates, expectations for hedge effectiveness and the probability that hedged future transactions will occur as forecasted. We formally designate derivative instruments as hedges and document and assess their effectiveness at inception of the hedge and on a monthly basis thereafter. Forecasted transactions are evaluated for the probability of occurrence and are periodically back-tested once the forecasted period has passed to determine whether forecasted transactions are probable of occurring in the future.</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required to recognize derivative instruments at fair value as either assets or liabilities on our Consolidated Balance Sheets unless such instruments meet certain normal purchase/normal sale criteria. While all derivatives are required to be reported at fair value on the balance sheet, changes in fair value of derivative instruments are reported in different ways, depending on the nature and effectiveness of the hedging activities to which they relate. After meeting specified conditions, a qualified derivative may be designated as a total or partial hedge of:</w:t>
      </w:r>
    </w:p>
    <w:p>
      <w:pPr>
        <w:spacing w:after="0" w:line="214" w:lineRule="exact"/>
        <w:rPr>
          <w:sz w:val="20"/>
          <w:szCs w:val="20"/>
          <w:color w:val="auto"/>
        </w:rPr>
      </w:pPr>
    </w:p>
    <w:p>
      <w:pPr>
        <w:ind w:left="340" w:hanging="332"/>
        <w:spacing w:after="0" w:line="277"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Changes in the fair value of a recognized asset or liability, or an unrecognized firm commitment – In a fair value hedge, gains and losses for both the derivative instrument and the hedged item are recognized in income during the period of change.</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Variable cash flows of a forecasted transaction – In a cash flow hedge, the change in the fair value of the hedge is reported in other comprehensive income (loss) and is reclassified to earnings when the forecasted transaction affects earnings.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 effective hedge relationship is one in which the change in fair value of a derivative instrument can be expected to offset 80% to 125% of the changes in fair value of a hedged item at inception and throughout the life of the hedging relationship. The effective portion of a hedge relationship is the amount by which the derivative instrument exactly offsets the change in fair value of the hedged item during the reporting period.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 contract designated as a cash flow hedge of an anticipated transaction that is not probable of occurring is immediately recognized in earnings.</w:t>
      </w:r>
    </w:p>
    <w:p>
      <w:pPr>
        <w:spacing w:after="0" w:line="2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of our derivative instruments do not qualify for hedge accounting treatment; therefore, these instruments are accounted for using mark-to-market accounting.</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certain physical forward commodity derivative contracts, we apply the normal purchase/normal sale exception, whereby changes in the mark-to-market values of such contracts are not recognized in income. As a result, the revenues and expenses associated with such physical transactions are recognized during the period when volumes are physically delivered or received. Physical forward commodity contracts subject to this exception are evaluated for the probability of future delivery and are periodically back-tested once the forecasted period has passed to determine whether similar forward contracts are probable of physical delivery in the future. See Note 14 for additional information regarding our derivative instruments.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5" w:name="page166"/>
    <w:bookmarkEnd w:id="1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Costs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Environmental costs for remediation are accrued based on estimates of known remediation requirements. Such accruals are based on management’s best estimate of the ultimate cost to remediate a site and are adjusted as further information and circumstances develop. Those estimates may change substantially depending on information about the nature and extent of contamination, appropriate remediation technologies and regulatory approvals. Expenditures to mitigate or prevent future environmental contamination are capitalized. Ongoing environmental compliance costs are charged to expense as incurred. In accruing for environmental remediation liabilities, costs of future expenditures for environmental remediation are not discounted to their present value, unless the amount and timing of the expenditures are fixed or reliably determinable. At December 31, 2019, none of our estimated environmental remediation liabilities were discounted to present value since the ultimate amount and timing of cash payments for such liabilities were not readily determinable.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of our environmental reserves for the years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7"/>
              </w:rPr>
              <w:t>For the Year Ended 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440" w:type="dxa"/>
            <w:vAlign w:val="bottom"/>
          </w:tcPr>
          <w:p>
            <w:pPr>
              <w:spacing w:after="0"/>
              <w:rPr>
                <w:sz w:val="19"/>
                <w:szCs w:val="19"/>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Balance at beginning of period</w:t>
            </w:r>
          </w:p>
        </w:tc>
        <w:tc>
          <w:tcPr>
            <w:tcW w:w="780" w:type="dxa"/>
            <w:vAlign w:val="bottom"/>
            <w:shd w:val="clear" w:color="auto" w:fill="CCEEFF"/>
          </w:tcPr>
          <w:p>
            <w:pPr>
              <w:jc w:val="right"/>
              <w:ind w:right="66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11.6</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11.9</w:t>
            </w:r>
          </w:p>
        </w:tc>
      </w:tr>
      <w:tr>
        <w:trPr>
          <w:trHeight w:val="216"/>
        </w:trPr>
        <w:tc>
          <w:tcPr>
            <w:tcW w:w="7440" w:type="dxa"/>
            <w:vAlign w:val="bottom"/>
          </w:tcPr>
          <w:p>
            <w:pPr>
              <w:spacing w:after="0"/>
              <w:rPr>
                <w:sz w:val="20"/>
                <w:szCs w:val="20"/>
                <w:color w:val="auto"/>
              </w:rPr>
            </w:pPr>
            <w:r>
              <w:rPr>
                <w:rFonts w:ascii="Arial" w:cs="Arial" w:eastAsia="Arial" w:hAnsi="Arial"/>
                <w:sz w:val="14"/>
                <w:szCs w:val="14"/>
                <w:color w:val="auto"/>
              </w:rPr>
              <w:t>Charged to costs and expenses</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12.3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12.1</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Acquisition-related additions and other</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w:t>
            </w:r>
          </w:p>
        </w:tc>
      </w:tr>
      <w:tr>
        <w:trPr>
          <w:trHeight w:val="216"/>
        </w:trPr>
        <w:tc>
          <w:tcPr>
            <w:tcW w:w="7440" w:type="dxa"/>
            <w:vAlign w:val="bottom"/>
          </w:tcPr>
          <w:p>
            <w:pPr>
              <w:spacing w:after="0"/>
              <w:rPr>
                <w:sz w:val="20"/>
                <w:szCs w:val="20"/>
                <w:color w:val="auto"/>
              </w:rPr>
            </w:pPr>
            <w:r>
              <w:rPr>
                <w:rFonts w:ascii="Arial" w:cs="Arial" w:eastAsia="Arial" w:hAnsi="Arial"/>
                <w:sz w:val="14"/>
                <w:szCs w:val="14"/>
                <w:color w:val="auto"/>
              </w:rPr>
              <w:t>Deductions</w:t>
            </w:r>
          </w:p>
        </w:tc>
        <w:tc>
          <w:tcPr>
            <w:tcW w:w="7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(14.5)</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(14.1)</w:t>
            </w:r>
          </w:p>
        </w:tc>
      </w:tr>
      <w:tr>
        <w:trPr>
          <w:trHeight w:val="27"/>
        </w:trPr>
        <w:tc>
          <w:tcPr>
            <w:tcW w:w="7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Balance at end of period</w:t>
            </w:r>
          </w:p>
        </w:tc>
        <w:tc>
          <w:tcPr>
            <w:tcW w:w="780" w:type="dxa"/>
            <w:vAlign w:val="bottom"/>
            <w:shd w:val="clear" w:color="auto" w:fill="CCEEFF"/>
          </w:tcPr>
          <w:p>
            <w:pPr>
              <w:jc w:val="right"/>
              <w:ind w:right="66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6.9</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11.6</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and 2018, $5.8 million and $3.2 million, respectively, of our environmental reserves were classified as current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Preparing our consolidated financial statements in conformity with U.S. GAAP requires us to make estimates that affect amounts presented in the financial statements. Our most significant estimates relate to (i) the useful lives and depreciation/amortization methods used for fixed and identifiable intangible assets; (ii) measurement of fair value and projections used in impairment testing of fixed and intangible assets (including goodwill); (iii) contingencies; and (iv) revenue and expense accruals.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Actual results could differ materially from our estimates. On an ongoing basis, we review our estimates based on currently available information. Any changes in the facts and circumstances underlying our estimates may require us to update such estimates, which could have a material impact on our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fair value estimates are based on either (i) actual market data or (ii) assumptions that other market participants would use in pricing an asset or liability, including estimates of risk, in the principal market of the asset or liability at a specified measurement date. Recognized valuation techniques employ inputs such as contractual prices, quoted market prices or rates, operating costs, discount factors and business growth rates. These inputs may be either readily observable, corroborated by market data or generally unobservable. In developing our estimates of fair value, we endeavor to utilize the best information available and apply market-based data to the highest extent possible. Accordingly, we utilize valuation techniques (such as the market approach) that maximize the use of observable inputs and minimize the use of unobservable inputs.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three-tier hierarchy has been established that classifies fair value amounts recognized in the financial statements based on the observability of inputs used to estimate such fair values. The hierarchy considers fair value amounts based on observable inputs (Levels 1 and 2) to be more reliable and predictable than those based primarily on unobservable inputs (Level 3). At each balance sheet reporting date, we categorize our financial assets and liabilities using this hierarchy.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6" w:name="page167"/>
    <w:bookmarkEnd w:id="1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characteristics of fair value amounts classified within each level of the hierarchy are described as follows:</w:t>
      </w:r>
    </w:p>
    <w:p>
      <w:pPr>
        <w:spacing w:after="0" w:line="252" w:lineRule="exact"/>
        <w:rPr>
          <w:sz w:val="20"/>
          <w:szCs w:val="20"/>
          <w:color w:val="auto"/>
        </w:rPr>
      </w:pPr>
    </w:p>
    <w:p>
      <w:pPr>
        <w:jc w:val="both"/>
        <w:ind w:left="340" w:hanging="332"/>
        <w:spacing w:after="0" w:line="259"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Level 1 fair values are based on quoted prices, which are available in active markets for identical assets or liabilities as of the measurement date. Active markets are defined as those in which transactions for identical assets or liabilities occur with sufficient frequency so as to provide pricing information on an ongoing basis (e.g., the New York Mercantile Exchange (“NYMEX”)). Our Level 1 fair values consist of financial assets and liabilities such as exchange-traded commodity derivative instruments.</w:t>
      </w:r>
    </w:p>
    <w:p>
      <w:pPr>
        <w:spacing w:after="0" w:line="213" w:lineRule="exact"/>
        <w:rPr>
          <w:rFonts w:ascii="Arial" w:cs="Arial" w:eastAsia="Arial" w:hAnsi="Arial"/>
          <w:sz w:val="18"/>
          <w:szCs w:val="18"/>
          <w:color w:val="auto"/>
        </w:rPr>
      </w:pPr>
    </w:p>
    <w:p>
      <w:pPr>
        <w:jc w:val="both"/>
        <w:ind w:left="340" w:hanging="332"/>
        <w:spacing w:after="0" w:line="266" w:lineRule="auto"/>
        <w:tabs>
          <w:tab w:leader="none" w:pos="340" w:val="left"/>
        </w:tabs>
        <w:numPr>
          <w:ilvl w:val="0"/>
          <w:numId w:val="92"/>
        </w:numPr>
        <w:rPr>
          <w:rFonts w:ascii="Arial" w:cs="Arial" w:eastAsia="Arial" w:hAnsi="Arial"/>
          <w:sz w:val="19"/>
          <w:szCs w:val="19"/>
          <w:color w:val="auto"/>
        </w:rPr>
      </w:pPr>
      <w:r>
        <w:rPr>
          <w:rFonts w:ascii="Arial" w:cs="Arial" w:eastAsia="Arial" w:hAnsi="Arial"/>
          <w:sz w:val="17"/>
          <w:szCs w:val="17"/>
          <w:color w:val="auto"/>
        </w:rPr>
        <w:t>Level 2 fair values are based on pricing inputs other than quoted prices in active markets (as reflected in Level 1 fair values) and are either directly or indirectly observable as of the measurement date. Level 2 fair values include instruments that are valued using financial models or other appropriate valuation methodologies. Such financial models are primarily industry-standard models that consider various assumptions, including quoted forward prices for commodities, the time value of money, volatility factors, current market and contractual prices for the underlying instruments and other relevant economic measures. Substantially all of these assumptions (i) are observable in the marketplace throughout the full term of the instrument; (ii) can be derived from observable data; or (iii) are validated by inputs other than quoted prices (e.g., interest rate and yield curves at commonly quoted intervals). Our Level 2 fair values primarily consist of commodity derivative instruments such as forwards, swaps and other instruments transacted on an exchange or over-the-counter and interest rate derivative instruments. The fair values of these derivative instruments are based on observable price quotes for similar products and locations. The fair value of our interest rate derivatives are determined using financial models that incorporate third-party yield curves for the same period as the future interest rate swap settlements.</w:t>
      </w:r>
    </w:p>
    <w:p>
      <w:pPr>
        <w:spacing w:after="0" w:line="211" w:lineRule="exact"/>
        <w:rPr>
          <w:rFonts w:ascii="Arial" w:cs="Arial" w:eastAsia="Arial" w:hAnsi="Arial"/>
          <w:sz w:val="19"/>
          <w:szCs w:val="19"/>
          <w:color w:val="auto"/>
        </w:rPr>
      </w:pPr>
    </w:p>
    <w:p>
      <w:pPr>
        <w:jc w:val="both"/>
        <w:ind w:left="340" w:hanging="332"/>
        <w:spacing w:after="0" w:line="287"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Level 3 fair values are based on unobservable inputs. Unobservable inputs are used to measure fair value to the extent that observable inputs are not available, thereby allowing for situations in which there is little, if any, market activity for the asset or liability at the measurement date. Unobservable inputs reflect management’s ideas about the assumptions that market participants would use in pricing an asset or liability (including assumptions about risk). Unobservable inputs are based on the best information available to us in the circumstances, which might include our internally developed data. Level 3 inputs are typically used in connection with internally developed valuation methodologies where we make our best estimate of an instrument’s fair value. With regards to commodity derivatives, our Level 3 fair values primarily consist of the following commodity derivative instruments which are used to hedge our various inventories and transportation capacities: (i) NGL-based contracts with terms greater than one year; (ii) crude, natural gas and refined products-based contracts with terms greater than 36 months; (iii) over-the-counter options; and (iv) exchange traded options with terms greater than one year. In addition, we often rely on price quotes from reputable brokers who publish price quotes on certain products and compare these prices to other reputable brokers for the same products in the same markets whenever possible. These prices, when combined with data from our commodity derivative instruments, are used in our models to determine the fair value of such instruments.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Testing for Goodwill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6 for information regarding our annual goodwill impairment 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Testing for Long-Lived Assets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Long-lived assets, which consist of intangible assets with finite useful lives and property, plant and equipment, are reviewed for impairment when events or changes in circumstances indicate that the carrying amount of such assets may not be recoverable. Long-lived assets with carrying values that are not expected to be recovered through future cash flows are written-down to their estimated fair values. The carrying value of a long-lived asset is deemed not recoverable if it exceeds the sum of undiscounted estimated cash flows expected to result from the use and eventual disposition of the asset. If the asset’s carrying value exceeds the sum of its undiscounted cash flows, a non-cash asset impairment charge equal to the excess of the asset’s carrying value over its estimated fair value is recorded. Fair value is defined as the price that would be received to sell an asset or be paid to transfer a liability in an orderly transaction between market participants at a specified measurement date. We measure fair value using market price indicators or, in the absence of such data, appropriate valuation techniques. See Note 14 for information regarding non-cash impairment charges related to long-lived assets.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7" w:name="page168"/>
    <w:bookmarkEnd w:id="1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Testing for Unconsolidated Affiliates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evaluate our equity method investments for impairment when there are events or changes in circumstances that indicate there is a potential loss in value of the investment attributable to an other than temporary decline. Examples of such events or changes in circumstances include continuing operating losses of the entity and/or long-term negative changes in the entity’s industry. In the event we determine that the value of an investment is not recoverable due to an other than temporary decline, we record a non-cash impairment charge to adjust the carrying value of the investment to its estimated fair value.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impairment charges related to our equity method investments during the years ended December 31, 2018 and 2017. In 2019, we recorded a $76.4 million impairment charge to write-off our investment in Centennial Pipeline LLC. See Note 5 for information regarding our equity method investments.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Inventories primarily consist of NGLs, petrochemicals, refined products, crude oil and natural gas volumes that are valued at the lower of cost or net realizable value. We capitalize, as a cost of inventory, shipping and handling charges (e.g., pipeline transportation and storage fees) and other related costs associated with purchased volumes. As volumes are sold and delivered out of inventory, the cost of these volumes (including freight-in charges that have been capitalized as part of inventory cost) are charged to operating costs and expenses. Shipping and handling fees associated with products we sell and deliver to customers are charged to operating costs and expenses as incurred. See Note 3 for additional information regarding our inventories.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February 2016, the FASB issued Accounting Standards Codification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requires substantially all leases be recorded on the balance sheet. We adopted the new standard on January 1, 2019 and applied it to (i) all new leases entered into after January 1, 2019 and (ii) all existing lease contracts as of January 1, 2019. ASC 842 supersedes existing lease accounting guidance found under ASC 840,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new standard introduces two lessee accounting models, which results in a lease being classified as either a “finance” or “operating” lease based on whether the lessee effectively obtains control of the underlying asset during the lease term. A lease would be classified as a finance lease if it meets one of five classification criteria, four of which are generally consistent with ASC 840 lease accounting guidance. By default, a lease that does not meet the criteria to be classified as a finance lease will be deemed an operating lease. Regardless of classification, the initial measurement of both lease types will result in the balance sheet recognition of a right-of-use (“ROU”) asset (representing a company’s right to use the underlying asset for a specified period of time) and a corresponding lease liability. The lease liability will be recognized at the present value of the future lease payments, and the ROU asset will equal the lease liability adjusted for any prepaid rent, lease incentives provided by the lessor, and any indirect costs.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subsequent measurement of each type of lease varies. For finance leases, a lessee will amortize the ROU asset (generally on a straight-line basis in a manner similar to depreciation) and accrete the lease liability (as a component of interest expense) using the effective interest method. Operating leases will result in the recognition of a single lease expense amount that is recorded on a straight-line basis.</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ASC 842 resulted in changes to the way our operating leases are recorded, presented and disclosed in our consolidated financial statements. Upon adoption of ASC 842 on January 1, 2019, we recognized a ROU asset and a corresponding lease liability based on the present value of then existing long-term operating lease obligations. In addition, we elected to apply several practical expedients and made accounting policy elections upon adoption of ASC 842 including:</w:t>
      </w:r>
    </w:p>
    <w:p>
      <w:pPr>
        <w:spacing w:after="0" w:line="174" w:lineRule="exact"/>
        <w:rPr>
          <w:sz w:val="20"/>
          <w:szCs w:val="20"/>
          <w:color w:val="auto"/>
        </w:rPr>
      </w:pPr>
    </w:p>
    <w:p>
      <w:pPr>
        <w:jc w:val="both"/>
        <w:ind w:left="420" w:hanging="250"/>
        <w:spacing w:after="0" w:line="264" w:lineRule="auto"/>
        <w:tabs>
          <w:tab w:leader="none" w:pos="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do not recognize ROU assets and lease liabilities for short-term leases and instead record them in a manner similar to operating leases under legacy lease accounting guidelines. A short term lease is one with a maximum lease term of 12 months or less and does not include a purchase option the lessee is reasonably certain to exercise.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8" w:name="page169"/>
    <w:bookmarkEnd w:id="1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right="20" w:hanging="250"/>
        <w:spacing w:after="0" w:line="277" w:lineRule="auto"/>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did not reassess whether any expired or existing contracts as of January 1, 2019 contained leases or the lease classification for any such existing or expired leases.</w:t>
      </w:r>
    </w:p>
    <w:p>
      <w:pPr>
        <w:spacing w:after="0" w:line="197" w:lineRule="exact"/>
        <w:rPr>
          <w:rFonts w:ascii="Arial" w:cs="Arial" w:eastAsia="Arial" w:hAnsi="Arial"/>
          <w:sz w:val="18"/>
          <w:szCs w:val="18"/>
          <w:color w:val="auto"/>
        </w:rPr>
      </w:pPr>
    </w:p>
    <w:p>
      <w:pPr>
        <w:ind w:left="420" w:right="20" w:hanging="250"/>
        <w:spacing w:after="0" w:line="277" w:lineRule="auto"/>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impact of adopting ASC 842 was prospective beginning January 1, 2019. We did not recast prior periods presented in our consolidated financial statements to reflect the new lease accounting guidance.</w:t>
      </w:r>
    </w:p>
    <w:p>
      <w:pPr>
        <w:spacing w:after="0" w:line="197" w:lineRule="exact"/>
        <w:rPr>
          <w:rFonts w:ascii="Arial" w:cs="Arial" w:eastAsia="Arial" w:hAnsi="Arial"/>
          <w:sz w:val="18"/>
          <w:szCs w:val="18"/>
          <w:color w:val="auto"/>
        </w:rPr>
      </w:pPr>
    </w:p>
    <w:p>
      <w:pPr>
        <w:ind w:left="420" w:hanging="250"/>
        <w:spacing w:after="0"/>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combine lease and nonlease components relating to our office and warehouse leases, as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17 for our disclosures regarding operating lease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plant and equipment is recorded at cost. Expenditures for additions, improvements and other enhancements to property, plant and equipment are capitalized, and minor replacements, maintenance, and repairs that do not extend asset life or add value are charged to expense as incurred. When property, plant and equipment assets are retired or otherwise disposed of, the related cost and accumulated depreciation is removed from the accounts and any resulting gain or loss is included in results of operations for the respective period.</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capitalize interest costs incurred on funds used to construct property, plant and equipment while the asset is in its construction phase. The capitalized interest is recorded as part of the asset to which it relates and is amortized over the asset’s estimated useful life as a component of depreciation expense. When capitalized interest is recorded, it reduces interest expense from what it would be otherwise.</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general, depreciation is the systematic and rational allocation of an asset’s cost, less its residual value (if any), to the periods it benefits. The majority of our property, plant and equipment is depreciated using the straight-line method, which results in depreciation expense being incurred evenly over the life of an asset. Our estimate of depreciation expense incorporates management assumptions regarding the useful economic lives and residual values of our assets. With respect to midstream energy assets such as natural gas gathering systems that are reliant upon a specific natural resource basin for throughput volumes, the anticipated useful economic life of such assets may be limited by the estimated life of the associated natural resource basin from which the assets derive benefit. Our forecast of the remaining life for the applicable resource basins is based on several factors, including information published by the U.S. Energy Information Administration. Where appropriate, we use other depreciation methods (generally accelerated) for tax purposes.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Leasehold improvements are recorded as a component of property, plant and equipment. The cost of leasehold improvements is charged to earnings using the straight-line method over the shorter of (i) the remaining lease term or (ii) the estimated useful lives of the improvements. We consider renewal terms that are deemed reasonably assured when estimating remaining lease terms.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assumptions regarding the useful economic lives and residual values of our assets may change in response to new facts and circumstances, which would prospectively impact our depreciation expense amounts. Examples of such circumstances include, but are not limited to: (i) changes in laws and regulations that limit the estimated economic life of an asset; (ii) changes in technology that render an asset obsolete; (iii) changes in expected salvage values or (iv) significant changes in the forecast life of the applicable resource basins, if any.</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of our plant operations entail periodic planned outages for major maintenance activities. These planned shutdowns typically result in significant expenditures, which are principally comprised of amounts paid to third parties for materials, contract services and related items. We use the expense-as-incurred method for our planned major maintenance activities for plant operations; however, the cost of annual planned major maintenance projects for such plants are deferred and recognized on a straight-line basis over the remaining portion of the fiscal year in which the maintenance occurred. With regard to the planned major maintenance activities on our marine transportation assets and underground storage caverns, we use the deferral method to account for such costs. Under this method, major maintenance costs are capitalized and amortized over the period until the next major overhaul or cavern integrity project.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9" w:name="page170"/>
    <w:bookmarkEnd w:id="1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 retirement obligations (“AROs”) are legal obligations associated with the retirement of tangible long-lived assets that result from their acquisition, construction, development and/or normal operation. When an ARO is incurred, we record a liability for the ARO and capitalize an equal amount as an increase in the carrying value of the related long-lived asset. ARO amounts are measured at their estimated fair value using expected present value techniques. Over time, the ARO liability is accreted to its present value (through accretion expense) and the capitalized amount is depreciated over the remaining useful life of the related long-lived asset. We will incur a gain or loss to the extent that our ARO liabilities are not settled at their recorded amounts.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additional information regarding our property, plant and equipment and AROs.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For periods prior to January 1, 2018, we accounted for our revenue streams using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Under ASC 605, we recognized revenue when all of the following criteria were met: (i) persuasive evidence of an exchange arrangement existed between us and the counterparty (e.g., published tariffs), (ii) delivery of products or the rendering of services had occurred, (iii) the price of the products or the fee for services was fixed or determinable and (iv) collectibility of the amount owed by the counterparty was reasonably assured.</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adopted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on January 1, 2018 using a modified retrospective approach that applied the new revenue recognition standard to existing contracts at the implementation date and any future revenue contracts. As such, our consolidated revenues and related financial information for periods prior to January 1, 2018 were not adjusted and continue to be reported in accordance with ASC 605. We did not record a cumulative effect adjustment upon initially applying ASC 606 since there was no impact on partners’ equity upon adoption; however, the extent of our revenue-related disclosures has increased under the new standard. There are no material differences in the amount or timing of revenues recognized under ASC 606 when compared to ASC 605.</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core principle of ASC 606 is that a company should recognize revenue in a manner that fairly depicts the transfer of goods or services to customers in amounts that reflect the consideration the company expects to receive for those goods or services. We apply this core principle by following five key steps outlined in ASC 606: (i) identify the contract; (ii) identify the performance obligations in the contract; (iii) determine the transaction price; (iv) allocate the transaction price to the performance obligations in the contract; and (v) recognize revenue when (or as) the performance obligation is satisfied. Each of these steps involves management judgment and an analysis of the contract’s material terms and conditions.</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Substantially all of our revenues are accounted for under ASC 606; however, to a limited extent, some revenues are accounted for under other guidance such as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845, </w:t>
      </w:r>
      <w:r>
        <w:rPr>
          <w:rFonts w:ascii="Arial" w:cs="Arial" w:eastAsia="Arial" w:hAnsi="Arial"/>
          <w:sz w:val="18"/>
          <w:szCs w:val="18"/>
          <w:i w:val="1"/>
          <w:iCs w:val="1"/>
          <w:color w:val="auto"/>
        </w:rPr>
        <w:t>Nonmonetary Transactions,</w:t>
      </w:r>
      <w:r>
        <w:rPr>
          <w:rFonts w:ascii="Arial" w:cs="Arial" w:eastAsia="Arial" w:hAnsi="Arial"/>
          <w:sz w:val="18"/>
          <w:szCs w:val="18"/>
          <w:color w:val="auto"/>
        </w:rPr>
        <w:t xml:space="preserve"> or ASC 815, </w:t>
      </w:r>
      <w:r>
        <w:rPr>
          <w:rFonts w:ascii="Arial" w:cs="Arial" w:eastAsia="Arial" w:hAnsi="Arial"/>
          <w:sz w:val="18"/>
          <w:szCs w:val="18"/>
          <w:i w:val="1"/>
          <w:iCs w:val="1"/>
          <w:color w:val="auto"/>
        </w:rPr>
        <w:t>Derivatives and Hedging Activities</w:t>
      </w:r>
      <w:r>
        <w:rPr>
          <w:rFonts w:ascii="Arial" w:cs="Arial" w:eastAsia="Arial" w:hAnsi="Arial"/>
          <w:sz w:val="18"/>
          <w:szCs w:val="18"/>
          <w:color w:val="auto"/>
        </w:rPr>
        <w:t>.</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ASC 606, we recognize revenue when or as we satisfy our performance obligation to the customer. In situations where we have recognized revenue, but have a conditional right to consideration (based on something other than the passage of time) from the customer, we recognize unbilled revenue (a contract asset) on our consolidated balance sheet. Unbilled revenue is reclassified to accounts receivable when we have an unconditional right of payment from the customer. Payments received from customers in advance of the period in which we satisfy a performance obligation are recorded as deferred revenue (a contract liability) on our consolidated balance sheet.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0" w:name="page171"/>
    <w:bookmarkEnd w:id="1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revenue streams are derived from the sale of products and providing midstream services. Revenues from the sale of products are recognized at a point in time, which represents the transfer of control (and the satisfaction of our performance obligation under the contract) to the customer. From that point forward, the customer is able to direct the use of, and obtain substantially all the benefits from, its use of the products. With respect to midstream services (e.g., interruptible transportation), we satisfy our performance obligations over time and recognize revenues when the services are provided and the customer receives the benefits based on an output measure of volumes redelivered. We believe this measure is a faithful depiction of the transfer of control for midstream services since there is (i) an insignificant period of time between the receipt of customers’ volumes and their subsequent redelivery, and (ii) it is not possible to individually track and differentiate customers’ inventories as they traverse our facilities. For stand-ready performance obligations (e.g., a storage capacity reservation contract), we recognize revenues over time on a straight-line basis as time elapses over the term of the contract. We believe that these approaches accurately depict the transfer of benefits to the customer.</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Customers are invoiced for products purchased or services rendered when we have an unconditional right to consideration under the associated contract. The consideration we are entitled to invoice may be either fixed, variable or a combination of both. Examples of fixed consideration would be fixed payments from customers under take-or-pay arrangements, storage capacity reservation agreements and firm transportation contracts. Variable consideration represents payments from customers that are based on factors that fluctuate (or vary) based on volumes, prices or both. Examples of variable consideration include interruptible transportation agreements, market-indexed product sales contracts and the value of NGLs we retain under natural gas processing agreements. The terms of our billings are typical of the industry for the products we sell.</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certain midstream service agreements, customers are required to provide a minimum volume over an agreed-upon period with a provision that allows the customer to make-up any volume shortfalls over an agreed-upon period (referred to as “make-up rights”). Revenue pursuant to such agreements is initially deferred and subsequently recognized when either the make-up rights are exercised, the likelihood of the customer exercising the rights becomes remote, or we are otherwise released from the performance obligation.</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Customers may contribute funds to us to help offset the construction costs related to pipeline construction activities and production well tie-ins. Under ASC 605, these amounts were accounted for as contributions in aid of construction costs (“CIACs”) and netted against property, plant and equipment. Under ASC 606, these receipts are recognized as additional service revenues over the term of the associated midstream services provided to the customer.</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those contracts under which we have the ability to invoice the customer in an amount that corresponds directly with the value of the performance obligation completed to date, we recognize revenue as we have the right to invoice.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See Note 9 regarding our revenue disclosures.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Arial" w:cs="Arial" w:eastAsia="Arial" w:hAnsi="Arial"/>
                <w:sz w:val="18"/>
                <w:szCs w:val="18"/>
                <w:b w:val="1"/>
                <w:bCs w:val="1"/>
                <w:color w:val="auto"/>
                <w:w w:val="96"/>
              </w:rPr>
              <w:t>Note 3.</w:t>
            </w:r>
          </w:p>
        </w:tc>
        <w:tc>
          <w:tcPr>
            <w:tcW w:w="8940" w:type="dxa"/>
            <w:vAlign w:val="bottom"/>
            <w:gridSpan w:val="2"/>
          </w:tcPr>
          <w:p>
            <w:pPr>
              <w:jc w:val="right"/>
              <w:ind w:right="7968"/>
              <w:spacing w:after="0"/>
              <w:rPr>
                <w:sz w:val="20"/>
                <w:szCs w:val="20"/>
                <w:color w:val="auto"/>
              </w:rPr>
            </w:pPr>
            <w:r>
              <w:rPr>
                <w:rFonts w:ascii="Arial" w:cs="Arial" w:eastAsia="Arial" w:hAnsi="Arial"/>
                <w:sz w:val="18"/>
                <w:szCs w:val="18"/>
                <w:b w:val="1"/>
                <w:bCs w:val="1"/>
                <w:color w:val="auto"/>
                <w:w w:val="91"/>
              </w:rPr>
              <w:t>Inventories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9540" w:type="dxa"/>
            <w:vAlign w:val="bottom"/>
            <w:gridSpan w:val="3"/>
          </w:tcPr>
          <w:p>
            <w:pPr>
              <w:spacing w:after="0"/>
              <w:rPr>
                <w:sz w:val="20"/>
                <w:szCs w:val="20"/>
                <w:color w:val="auto"/>
              </w:rPr>
            </w:pPr>
            <w:r>
              <w:rPr>
                <w:rFonts w:ascii="Arial" w:cs="Arial" w:eastAsia="Arial" w:hAnsi="Arial"/>
                <w:sz w:val="18"/>
                <w:szCs w:val="18"/>
                <w:color w:val="auto"/>
              </w:rPr>
              <w:t>Our inventory amounts by product type were as follows at the dates indicated: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60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0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4"/>
                <w:szCs w:val="14"/>
                <w:color w:val="auto"/>
              </w:rPr>
              <w:t>NGLs</w:t>
            </w:r>
          </w:p>
        </w:tc>
        <w:tc>
          <w:tcPr>
            <w:tcW w:w="894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1,094.9</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647.7</w:t>
            </w:r>
          </w:p>
        </w:tc>
      </w:tr>
      <w:tr>
        <w:trPr>
          <w:trHeight w:val="216"/>
        </w:trPr>
        <w:tc>
          <w:tcPr>
            <w:tcW w:w="9540" w:type="dxa"/>
            <w:vAlign w:val="bottom"/>
            <w:gridSpan w:val="3"/>
          </w:tcPr>
          <w:p>
            <w:pPr>
              <w:spacing w:after="0"/>
              <w:rPr>
                <w:sz w:val="20"/>
                <w:szCs w:val="20"/>
                <w:color w:val="auto"/>
              </w:rPr>
            </w:pPr>
            <w:r>
              <w:rPr>
                <w:rFonts w:ascii="Arial" w:cs="Arial" w:eastAsia="Arial" w:hAnsi="Arial"/>
                <w:sz w:val="14"/>
                <w:szCs w:val="14"/>
                <w:color w:val="auto"/>
              </w:rPr>
              <w:t>Petrochemicals and refined products</w:t>
            </w:r>
          </w:p>
        </w:tc>
        <w:tc>
          <w:tcPr>
            <w:tcW w:w="420" w:type="dxa"/>
            <w:vAlign w:val="bottom"/>
          </w:tcPr>
          <w:p>
            <w:pPr>
              <w:jc w:val="right"/>
              <w:spacing w:after="0"/>
              <w:rPr>
                <w:sz w:val="20"/>
                <w:szCs w:val="20"/>
                <w:color w:val="auto"/>
              </w:rPr>
            </w:pPr>
            <w:r>
              <w:rPr>
                <w:rFonts w:ascii="Arial" w:cs="Arial" w:eastAsia="Arial" w:hAnsi="Arial"/>
                <w:sz w:val="14"/>
                <w:szCs w:val="14"/>
                <w:color w:val="auto"/>
              </w:rPr>
              <w:t>311.5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264.7</w:t>
            </w: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4"/>
                <w:szCs w:val="14"/>
                <w:color w:val="auto"/>
              </w:rPr>
              <w:t>Crude oil</w:t>
            </w:r>
          </w:p>
        </w:tc>
        <w:tc>
          <w:tcPr>
            <w:tcW w:w="8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674.2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593.4</w:t>
            </w:r>
          </w:p>
        </w:tc>
      </w:tr>
      <w:tr>
        <w:trPr>
          <w:trHeight w:val="216"/>
        </w:trPr>
        <w:tc>
          <w:tcPr>
            <w:tcW w:w="8820" w:type="dxa"/>
            <w:vAlign w:val="bottom"/>
            <w:gridSpan w:val="2"/>
          </w:tcPr>
          <w:p>
            <w:pPr>
              <w:spacing w:after="0"/>
              <w:rPr>
                <w:sz w:val="20"/>
                <w:szCs w:val="20"/>
                <w:color w:val="auto"/>
              </w:rPr>
            </w:pPr>
            <w:r>
              <w:rPr>
                <w:rFonts w:ascii="Arial" w:cs="Arial" w:eastAsia="Arial" w:hAnsi="Arial"/>
                <w:sz w:val="14"/>
                <w:szCs w:val="14"/>
                <w:color w:val="auto"/>
              </w:rPr>
              <w:t>Natural gas</w:t>
            </w:r>
          </w:p>
        </w:tc>
        <w:tc>
          <w:tcPr>
            <w:tcW w:w="7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16.3</w:t>
            </w:r>
          </w:p>
        </w:tc>
      </w:tr>
      <w:tr>
        <w:trPr>
          <w:trHeight w:val="27"/>
        </w:trPr>
        <w:tc>
          <w:tcPr>
            <w:tcW w:w="6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894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2,091.4</w:t>
            </w:r>
          </w:p>
        </w:tc>
        <w:tc>
          <w:tcPr>
            <w:tcW w:w="1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1,522.1</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8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those instances where we take ownership of inventory volumes through percent-of-liquids contracts and similar arrangements (as opposed to outright purchases from third parties for cash), these volumes are valued at market-based prices during the month in which they are acquired.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1" w:name="page172"/>
    <w:bookmarkEnd w:id="1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total cost of sales amounts and lower of cost or net realizable value adjustments for the years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For the Year Ended December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4"/>
                <w:szCs w:val="14"/>
                <w:color w:val="auto"/>
              </w:rPr>
              <w:t>Cost of sales (1)</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22,065.8</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26,789.8</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21,487.0</w:t>
            </w:r>
          </w:p>
        </w:tc>
      </w:tr>
      <w:tr>
        <w:trPr>
          <w:trHeight w:val="231"/>
        </w:trPr>
        <w:tc>
          <w:tcPr>
            <w:tcW w:w="7320" w:type="dxa"/>
            <w:vAlign w:val="bottom"/>
          </w:tcPr>
          <w:p>
            <w:pPr>
              <w:spacing w:after="0"/>
              <w:rPr>
                <w:sz w:val="20"/>
                <w:szCs w:val="20"/>
                <w:color w:val="auto"/>
              </w:rPr>
            </w:pPr>
            <w:r>
              <w:rPr>
                <w:rFonts w:ascii="Arial" w:cs="Arial" w:eastAsia="Arial" w:hAnsi="Arial"/>
                <w:sz w:val="14"/>
                <w:szCs w:val="14"/>
                <w:color w:val="auto"/>
              </w:rPr>
              <w:t>Lower of cost or net realizable value adjustments recognized in cost of sales</w:t>
            </w:r>
          </w:p>
        </w:tc>
        <w:tc>
          <w:tcPr>
            <w:tcW w:w="3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22.7</w:t>
            </w:r>
          </w:p>
        </w:tc>
        <w:tc>
          <w:tcPr>
            <w:tcW w:w="3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11.5</w:t>
            </w:r>
          </w:p>
        </w:tc>
        <w:tc>
          <w:tcPr>
            <w:tcW w:w="4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ind w:left="340" w:right="20" w:hanging="332"/>
        <w:spacing w:after="0" w:line="253" w:lineRule="auto"/>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Cost of sales is a component of “Operating costs and expenses,” as presented on our Statements of Consolidated Operations. Fluctuations in these amounts are primarily due to changes in energy commodity prices and sales volumes associated with our marketing activities.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fluctuating commodity prices, we recognize lower of cost or net realizable value adjustments when the carrying value of our available-for-sale inventories exceeds their net realizable value. These non-cash charges are a component of cost of sales in the period they are recognized. To the extent our commodity hedging strategies address inventory-related price risks and are successful, these inventory valuation adjustments are mitigated or offset. See Note 14 for a description of our commodity hedging activities.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Plant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historical costs of our property, plant and equipment and related accumulated depreciation balances were as follows at the dates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Estimated</w:t>
            </w:r>
          </w:p>
        </w:tc>
        <w:tc>
          <w:tcPr>
            <w:tcW w:w="260" w:type="dxa"/>
            <w:vAlign w:val="bottom"/>
          </w:tcPr>
          <w:p>
            <w:pPr>
              <w:spacing w:after="0"/>
              <w:rPr>
                <w:sz w:val="14"/>
                <w:szCs w:val="14"/>
                <w:color w:val="auto"/>
              </w:rPr>
            </w:pPr>
          </w:p>
        </w:tc>
        <w:tc>
          <w:tcPr>
            <w:tcW w:w="146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400" w:type="dxa"/>
            <w:vAlign w:val="bottom"/>
          </w:tcPr>
          <w:p>
            <w:pPr>
              <w:spacing w:after="0"/>
              <w:rPr>
                <w:sz w:val="13"/>
                <w:szCs w:val="13"/>
                <w:color w:val="auto"/>
              </w:rPr>
            </w:pPr>
          </w:p>
        </w:tc>
        <w:tc>
          <w:tcPr>
            <w:tcW w:w="142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4"/>
              </w:rPr>
              <w:t>Useful Life</w:t>
            </w: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vMerge w:val="continue"/>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4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4"/>
                <w:szCs w:val="14"/>
                <w:color w:val="auto"/>
              </w:rPr>
              <w:t>Plants, pipelines and facilities (1)</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3-45(5)</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47,201.2</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42,371.0</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4"/>
                <w:szCs w:val="14"/>
                <w:color w:val="auto"/>
              </w:rPr>
              <w:t>Underground and other storage facilities (2)</w:t>
            </w: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5-40(6)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3,965.5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3,624.2</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4"/>
                <w:szCs w:val="14"/>
                <w:color w:val="auto"/>
              </w:rPr>
              <w:t>Transportation equipment (3)</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3-10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198.9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187.1</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4"/>
                <w:szCs w:val="14"/>
                <w:color w:val="auto"/>
              </w:rPr>
              <w:t>Marine vessels (4)</w:t>
            </w:r>
          </w:p>
        </w:tc>
        <w:tc>
          <w:tcPr>
            <w:tcW w:w="1420" w:type="dxa"/>
            <w:vAlign w:val="bottom"/>
            <w:gridSpan w:val="2"/>
          </w:tcPr>
          <w:p>
            <w:pPr>
              <w:jc w:val="right"/>
              <w:ind w:right="280"/>
              <w:spacing w:after="0"/>
              <w:rPr>
                <w:sz w:val="20"/>
                <w:szCs w:val="20"/>
                <w:color w:val="auto"/>
              </w:rPr>
            </w:pPr>
            <w:r>
              <w:rPr>
                <w:rFonts w:ascii="Arial" w:cs="Arial" w:eastAsia="Arial" w:hAnsi="Arial"/>
                <w:sz w:val="14"/>
                <w:szCs w:val="14"/>
                <w:color w:val="auto"/>
              </w:rPr>
              <w:t>15-30</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905.9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828.6</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4"/>
                <w:szCs w:val="14"/>
                <w:color w:val="auto"/>
              </w:rPr>
              <w:t>Land</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372.3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359.5</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4"/>
                <w:szCs w:val="14"/>
                <w:color w:val="auto"/>
              </w:rPr>
              <w:t>Construction in progress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55,285.0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50,897.2</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4"/>
                <w:szCs w:val="14"/>
                <w:color w:val="auto"/>
              </w:rPr>
              <w:t>Less accumulated depreciation</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13,681.6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Property, plant and equipment, net</w:t>
            </w: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41,603.4</w:t>
            </w:r>
          </w:p>
        </w:tc>
        <w:tc>
          <w:tcPr>
            <w:tcW w:w="1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38,737.6</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25"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Plants, pipelines and facilities include processing plants; NGL, natural gas, crude oil and petrochemical and refined products pipelines; terminal loading and unloading facilities; buildings; office furniture and equipment; laboratory and shop equipment and related assets. We placed a number of major growth projects into service during 2019 including the Shin Oak NGL pipeline, Midland-to-ECHO 2 pipeline, an isobutane dehydrogenation facility, the Mentone and Bulldog natural gas processing plants, and LPG-related expansion projects at our Enterprise Hydrocarbons Terminal.</w:t>
      </w:r>
    </w:p>
    <w:p>
      <w:pPr>
        <w:spacing w:after="0" w:line="2"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Underground and other storage facilities include underground product storage caverns; above ground storage tanks; water wells and related assets.</w:t>
      </w:r>
    </w:p>
    <w:p>
      <w:pPr>
        <w:ind w:left="340" w:hanging="332"/>
        <w:spacing w:after="0" w:line="221"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Transportation equipment includes tractor-trailer tank trucks and other vehicles and similar assets used in our operations.</w:t>
      </w:r>
    </w:p>
    <w:p>
      <w:pPr>
        <w:ind w:left="340" w:hanging="332"/>
        <w:spacing w:after="0" w:line="221"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Marine vessels include tow boats, barges and related equipment used in our marine transportation business.</w:t>
      </w:r>
    </w:p>
    <w:p>
      <w:pPr>
        <w:ind w:left="340" w:hanging="332"/>
        <w:spacing w:after="0" w:line="221"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 general, the estimated useful lives of major assets within this category are: processing plants, 20-35 years; pipelines and related equipment, 5-45 years; terminal facilities, 10-35 years; buildings, 20-40 years; office furniture and equipment, 3-20 years; and laboratory and shop equipment, 5-35 years.</w:t>
      </w:r>
    </w:p>
    <w:p>
      <w:pPr>
        <w:ind w:left="340" w:hanging="332"/>
        <w:spacing w:after="0"/>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 general, the estimated useful lives of assets within this category are: underground storage facilities, 5-35 years; storage tanks, 10-40 years; and water wells, 5-35 years.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depreciation expense and capitalized interest amounts for the years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For the Year Ended 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4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Depreciation expense (1)</w:t>
            </w:r>
          </w:p>
        </w:tc>
        <w:tc>
          <w:tcPr>
            <w:tcW w:w="720" w:type="dxa"/>
            <w:vAlign w:val="bottom"/>
            <w:shd w:val="clear" w:color="auto" w:fill="CCEEFF"/>
          </w:tcPr>
          <w:p>
            <w:pPr>
              <w:jc w:val="right"/>
              <w:ind w:right="598"/>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9"/>
              </w:rPr>
              <w:t>1,562.6</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1,436.2</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1,296.1</w:t>
            </w:r>
          </w:p>
        </w:tc>
      </w:tr>
      <w:tr>
        <w:trPr>
          <w:trHeight w:val="231"/>
        </w:trPr>
        <w:tc>
          <w:tcPr>
            <w:tcW w:w="7440" w:type="dxa"/>
            <w:vAlign w:val="bottom"/>
          </w:tcPr>
          <w:p>
            <w:pPr>
              <w:spacing w:after="0"/>
              <w:rPr>
                <w:sz w:val="20"/>
                <w:szCs w:val="20"/>
                <w:color w:val="auto"/>
              </w:rPr>
            </w:pPr>
            <w:r>
              <w:rPr>
                <w:rFonts w:ascii="Arial" w:cs="Arial" w:eastAsia="Arial" w:hAnsi="Arial"/>
                <w:sz w:val="14"/>
                <w:szCs w:val="14"/>
                <w:color w:val="auto"/>
              </w:rPr>
              <w:t>Capitalized interest (2)</w:t>
            </w:r>
          </w:p>
        </w:tc>
        <w:tc>
          <w:tcPr>
            <w:tcW w:w="7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143.8</w:t>
            </w: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147.9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192.1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ind w:left="400" w:hanging="392"/>
        <w:spacing w:after="0"/>
        <w:tabs>
          <w:tab w:leader="none" w:pos="400" w:val="left"/>
        </w:tabs>
        <w:numPr>
          <w:ilvl w:val="0"/>
          <w:numId w:val="97"/>
        </w:numPr>
        <w:rPr>
          <w:rFonts w:ascii="Arial" w:cs="Arial" w:eastAsia="Arial" w:hAnsi="Arial"/>
          <w:sz w:val="14"/>
          <w:szCs w:val="14"/>
          <w:color w:val="auto"/>
        </w:rPr>
      </w:pPr>
      <w:r>
        <w:rPr>
          <w:rFonts w:ascii="Arial" w:cs="Arial" w:eastAsia="Arial" w:hAnsi="Arial"/>
          <w:sz w:val="14"/>
          <w:szCs w:val="14"/>
          <w:color w:val="auto"/>
        </w:rPr>
        <w:t>Depreciation expense is a component of “Costs and expenses” as presented on our Statements of Consolidated Operations.</w:t>
      </w:r>
    </w:p>
    <w:p>
      <w:pPr>
        <w:ind w:left="400" w:hanging="392"/>
        <w:spacing w:after="0"/>
        <w:tabs>
          <w:tab w:leader="none" w:pos="40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Capitalized interest is a component of “Interest expense” as presented on our Statements of Consolidated Operations.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2" w:name="page173"/>
    <w:bookmarkEnd w:id="1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record AROs in connection with legal requirements to perform specified retirement activities under contractual arrangements and/or governmental regulations. Our contractual AROs primarily result from right-of-way agreements associated with our pipeline operations and property leases associated with our plant sites. In addition, we record AROs in connection with governmental regulations associated with the abandonment or retirement of above-ground brine storage pits and certain marine vessels. We also record AROs in connection with regulatory requirements associated with the renovation or demolition of certain assets containing hazardous substances such as asbestos. We typically fund our AROs using cash flow from operations.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plant and equipment at December 31, 2019 and 2018 includes $69.6 million and $72.5 million, respectively, of asset retirement costs capitalized as an increase in the associated long-lived asset.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our AROs for the years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7"/>
              </w:rPr>
              <w:t>For the Year Ended 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19"/>
                <w:szCs w:val="19"/>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ARO liability beginning balance</w:t>
            </w:r>
          </w:p>
        </w:tc>
        <w:tc>
          <w:tcPr>
            <w:tcW w:w="780" w:type="dxa"/>
            <w:vAlign w:val="bottom"/>
            <w:shd w:val="clear" w:color="auto" w:fill="CCEEFF"/>
          </w:tcPr>
          <w:p>
            <w:pPr>
              <w:jc w:val="right"/>
              <w:ind w:right="662"/>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126.3</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86.7</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85.4</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Liabilities incurred</w:t>
            </w:r>
          </w:p>
        </w:tc>
        <w:tc>
          <w:tcPr>
            <w:tcW w:w="7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5.0</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24.4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Liabilities settled</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Revisions in estimated cash flows</w:t>
            </w:r>
          </w:p>
        </w:tc>
        <w:tc>
          <w:tcPr>
            <w:tcW w:w="7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(4.8)</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Accretion expense</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4"/>
                <w:szCs w:val="14"/>
                <w:b w:val="1"/>
                <w:bCs w:val="1"/>
                <w:color w:val="auto"/>
              </w:rPr>
              <w:t>ARO liability ending balance</w:t>
            </w:r>
          </w:p>
        </w:tc>
        <w:tc>
          <w:tcPr>
            <w:tcW w:w="780" w:type="dxa"/>
            <w:vAlign w:val="bottom"/>
          </w:tcPr>
          <w:p>
            <w:pPr>
              <w:jc w:val="right"/>
              <w:ind w:right="662"/>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132.1</w:t>
            </w:r>
          </w:p>
        </w:tc>
        <w:tc>
          <w:tcPr>
            <w:tcW w:w="22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126.3</w:t>
            </w:r>
          </w:p>
        </w:tc>
        <w:tc>
          <w:tcPr>
            <w:tcW w:w="4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21"/>
        </w:trPr>
        <w:tc>
          <w:tcPr>
            <w:tcW w:w="7440" w:type="dxa"/>
            <w:vAlign w:val="bottom"/>
            <w:vMerge w:val="restart"/>
          </w:tcPr>
          <w:p>
            <w:pPr>
              <w:spacing w:after="0"/>
              <w:rPr>
                <w:sz w:val="20"/>
                <w:szCs w:val="20"/>
                <w:color w:val="auto"/>
              </w:rPr>
            </w:pPr>
            <w:r>
              <w:rPr>
                <w:rFonts w:ascii="Arial" w:cs="Arial" w:eastAsia="Arial" w:hAnsi="Arial"/>
                <w:sz w:val="18"/>
                <w:szCs w:val="18"/>
                <w:color w:val="auto"/>
                <w:w w:val="94"/>
              </w:rPr>
              <w:t>The following table presents our forecast of ARO-related accretion expense for the years indicated:</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4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tbl>
      <w:tblPr>
        <w:tblLayout w:type="fixed"/>
        <w:tblInd w:w="2300" w:type="dxa"/>
        <w:tblCellMar>
          <w:top w:w="0" w:type="dxa"/>
          <w:left w:w="0" w:type="dxa"/>
          <w:bottom w:w="0" w:type="dxa"/>
          <w:right w:w="0" w:type="dxa"/>
        </w:tblCellMar>
      </w:tblPr>
      <w:tr>
        <w:trPr>
          <w:trHeight w:val="178"/>
        </w:trPr>
        <w:tc>
          <w:tcPr>
            <w:tcW w:w="84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r>
      <w:tr>
        <w:trPr>
          <w:trHeight w:val="216"/>
        </w:trPr>
        <w:tc>
          <w:tcPr>
            <w:tcW w:w="840" w:type="dxa"/>
            <w:vAlign w:val="bottom"/>
            <w:shd w:val="clear" w:color="auto" w:fill="CCEEFF"/>
          </w:tcPr>
          <w:p>
            <w:pPr>
              <w:jc w:val="right"/>
              <w:ind w:right="718"/>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w:t>
            </w:r>
          </w:p>
        </w:tc>
        <w:tc>
          <w:tcPr>
            <w:tcW w:w="960" w:type="dxa"/>
            <w:vAlign w:val="bottom"/>
            <w:gridSpan w:val="2"/>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w:t>
            </w:r>
          </w:p>
        </w:tc>
        <w:tc>
          <w:tcPr>
            <w:tcW w:w="840" w:type="dxa"/>
            <w:vAlign w:val="bottom"/>
            <w:shd w:val="clear" w:color="auto" w:fill="CCEEFF"/>
          </w:tcPr>
          <w:p>
            <w:pPr>
              <w:jc w:val="right"/>
              <w:ind w:right="718"/>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9.1</w:t>
            </w:r>
          </w:p>
        </w:tc>
        <w:tc>
          <w:tcPr>
            <w:tcW w:w="8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9.6</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10.3</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3" w:name="page174"/>
    <w:bookmarkEnd w:id="1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 in Unconsolidated Affiliates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our investments in unconsolidated affiliates by business segment at the dates indicated. We account for these investments using the equity method.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Ownership</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920" w:type="dxa"/>
            <w:vAlign w:val="bottom"/>
          </w:tcPr>
          <w:p>
            <w:pPr>
              <w:spacing w:after="0"/>
              <w:rPr>
                <w:sz w:val="12"/>
                <w:szCs w:val="12"/>
                <w:color w:val="auto"/>
              </w:rPr>
            </w:pPr>
          </w:p>
        </w:tc>
        <w:tc>
          <w:tcPr>
            <w:tcW w:w="15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Interest at</w:t>
            </w:r>
          </w:p>
        </w:tc>
        <w:tc>
          <w:tcPr>
            <w:tcW w:w="300" w:type="dxa"/>
            <w:vAlign w:val="bottom"/>
          </w:tcPr>
          <w:p>
            <w:pPr>
              <w:spacing w:after="0"/>
              <w:rPr>
                <w:sz w:val="12"/>
                <w:szCs w:val="12"/>
                <w:color w:val="auto"/>
              </w:rPr>
            </w:pPr>
          </w:p>
        </w:tc>
        <w:tc>
          <w:tcPr>
            <w:tcW w:w="172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920" w:type="dxa"/>
            <w:vAlign w:val="bottom"/>
          </w:tcPr>
          <w:p>
            <w:pPr>
              <w:spacing w:after="0"/>
              <w:rPr>
                <w:sz w:val="14"/>
                <w:szCs w:val="14"/>
                <w:color w:val="auto"/>
              </w:rPr>
            </w:pPr>
          </w:p>
        </w:tc>
        <w:tc>
          <w:tcPr>
            <w:tcW w:w="150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vMerge w:val="continue"/>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920" w:type="dxa"/>
            <w:vAlign w:val="bottom"/>
            <w:vMerge w:val="restart"/>
          </w:tcPr>
          <w:p>
            <w:pPr>
              <w:spacing w:after="0"/>
              <w:rPr>
                <w:sz w:val="20"/>
                <w:szCs w:val="20"/>
                <w:color w:val="auto"/>
              </w:rPr>
            </w:pPr>
            <w:r>
              <w:rPr>
                <w:rFonts w:ascii="Arial" w:cs="Arial" w:eastAsia="Arial" w:hAnsi="Arial"/>
                <w:sz w:val="14"/>
                <w:szCs w:val="14"/>
                <w:b w:val="1"/>
                <w:bCs w:val="1"/>
                <w:color w:val="auto"/>
              </w:rPr>
              <w:t>NGL Pipelines &amp; Services: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9"/>
        </w:trPr>
        <w:tc>
          <w:tcPr>
            <w:tcW w:w="692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Venice Energy Service Company, L.L.C. (“VESCO”)</w:t>
            </w:r>
          </w:p>
        </w:tc>
        <w:tc>
          <w:tcPr>
            <w:tcW w:w="13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13.1%</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23.2</w:t>
            </w:r>
          </w:p>
        </w:tc>
        <w:tc>
          <w:tcPr>
            <w:tcW w:w="60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49"/>
        </w:trPr>
        <w:tc>
          <w:tcPr>
            <w:tcW w:w="6920" w:type="dxa"/>
            <w:vAlign w:val="bottom"/>
          </w:tcPr>
          <w:p>
            <w:pPr>
              <w:ind w:left="180"/>
              <w:spacing w:after="0" w:line="149" w:lineRule="exact"/>
              <w:rPr>
                <w:sz w:val="20"/>
                <w:szCs w:val="20"/>
                <w:color w:val="auto"/>
              </w:rPr>
            </w:pPr>
            <w:r>
              <w:rPr>
                <w:rFonts w:ascii="Arial" w:cs="Arial" w:eastAsia="Arial" w:hAnsi="Arial"/>
                <w:sz w:val="14"/>
                <w:szCs w:val="14"/>
                <w:color w:val="auto"/>
              </w:rPr>
              <w:t>K/D/S Promix, L.L.C. (“Promix”)</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2"/>
              </w:rPr>
              <w:t>50%</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8"/>
              <w:spacing w:after="0" w:line="149" w:lineRule="exact"/>
              <w:rPr>
                <w:sz w:val="20"/>
                <w:szCs w:val="20"/>
                <w:color w:val="auto"/>
              </w:rPr>
            </w:pPr>
            <w:r>
              <w:rPr>
                <w:rFonts w:ascii="Arial" w:cs="Arial" w:eastAsia="Arial" w:hAnsi="Arial"/>
                <w:sz w:val="14"/>
                <w:szCs w:val="14"/>
                <w:color w:val="auto"/>
              </w:rPr>
              <w:t>25.7</w:t>
            </w:r>
          </w:p>
        </w:tc>
        <w:tc>
          <w:tcPr>
            <w:tcW w:w="6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49"/>
        </w:trPr>
        <w:tc>
          <w:tcPr>
            <w:tcW w:w="69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Baton Rouge Fractionators LLC (“BRF”)</w:t>
            </w:r>
          </w:p>
        </w:tc>
        <w:tc>
          <w:tcPr>
            <w:tcW w:w="13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32.2%</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15.6</w:t>
            </w: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9"/>
        </w:trPr>
        <w:tc>
          <w:tcPr>
            <w:tcW w:w="6920" w:type="dxa"/>
            <w:vAlign w:val="bottom"/>
          </w:tcPr>
          <w:p>
            <w:pPr>
              <w:ind w:left="180"/>
              <w:spacing w:after="0" w:line="149" w:lineRule="exact"/>
              <w:rPr>
                <w:sz w:val="20"/>
                <w:szCs w:val="20"/>
                <w:color w:val="auto"/>
              </w:rPr>
            </w:pPr>
            <w:r>
              <w:rPr>
                <w:rFonts w:ascii="Arial" w:cs="Arial" w:eastAsia="Arial" w:hAnsi="Arial"/>
                <w:sz w:val="14"/>
                <w:szCs w:val="14"/>
                <w:color w:val="auto"/>
              </w:rPr>
              <w:t>Skelly-Belvieu Pipeline Company, L.L.C. (“Skelly-Belvieu”)</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2"/>
              </w:rPr>
              <w:t>50%</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8"/>
              <w:spacing w:after="0" w:line="149" w:lineRule="exact"/>
              <w:rPr>
                <w:sz w:val="20"/>
                <w:szCs w:val="20"/>
                <w:color w:val="auto"/>
              </w:rPr>
            </w:pPr>
            <w:r>
              <w:rPr>
                <w:rFonts w:ascii="Arial" w:cs="Arial" w:eastAsia="Arial" w:hAnsi="Arial"/>
                <w:sz w:val="14"/>
                <w:szCs w:val="14"/>
                <w:color w:val="auto"/>
              </w:rPr>
              <w:t>33.1</w:t>
            </w:r>
          </w:p>
        </w:tc>
        <w:tc>
          <w:tcPr>
            <w:tcW w:w="6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49"/>
        </w:trPr>
        <w:tc>
          <w:tcPr>
            <w:tcW w:w="69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Texas Express Pipeline LLC (“Texas Express”)</w:t>
            </w:r>
          </w:p>
        </w:tc>
        <w:tc>
          <w:tcPr>
            <w:tcW w:w="13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35%</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358.1</w:t>
            </w: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337.6</w:t>
            </w:r>
          </w:p>
        </w:tc>
        <w:tc>
          <w:tcPr>
            <w:tcW w:w="0" w:type="dxa"/>
            <w:vAlign w:val="bottom"/>
          </w:tcPr>
          <w:p>
            <w:pPr>
              <w:spacing w:after="0"/>
              <w:rPr>
                <w:sz w:val="1"/>
                <w:szCs w:val="1"/>
                <w:color w:val="auto"/>
              </w:rPr>
            </w:pPr>
          </w:p>
        </w:tc>
      </w:tr>
      <w:tr>
        <w:trPr>
          <w:trHeight w:val="149"/>
        </w:trPr>
        <w:tc>
          <w:tcPr>
            <w:tcW w:w="6920" w:type="dxa"/>
            <w:vAlign w:val="bottom"/>
          </w:tcPr>
          <w:p>
            <w:pPr>
              <w:ind w:left="180"/>
              <w:spacing w:after="0" w:line="149" w:lineRule="exact"/>
              <w:rPr>
                <w:sz w:val="20"/>
                <w:szCs w:val="20"/>
                <w:color w:val="auto"/>
              </w:rPr>
            </w:pPr>
            <w:r>
              <w:rPr>
                <w:rFonts w:ascii="Arial" w:cs="Arial" w:eastAsia="Arial" w:hAnsi="Arial"/>
                <w:sz w:val="14"/>
                <w:szCs w:val="14"/>
                <w:color w:val="auto"/>
              </w:rPr>
              <w:t>Texas Express Gathering LLC (“TEG”)</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2"/>
              </w:rPr>
              <w:t>45%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8"/>
              <w:spacing w:after="0" w:line="149" w:lineRule="exact"/>
              <w:rPr>
                <w:sz w:val="20"/>
                <w:szCs w:val="20"/>
                <w:color w:val="auto"/>
              </w:rPr>
            </w:pPr>
            <w:r>
              <w:rPr>
                <w:rFonts w:ascii="Arial" w:cs="Arial" w:eastAsia="Arial" w:hAnsi="Arial"/>
                <w:sz w:val="14"/>
                <w:szCs w:val="14"/>
                <w:color w:val="auto"/>
              </w:rPr>
              <w:t>41.1</w:t>
            </w:r>
          </w:p>
        </w:tc>
        <w:tc>
          <w:tcPr>
            <w:tcW w:w="6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149"/>
        </w:trPr>
        <w:tc>
          <w:tcPr>
            <w:tcW w:w="69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Front Range Pipeline LLC (“Front Range”)</w:t>
            </w:r>
          </w:p>
        </w:tc>
        <w:tc>
          <w:tcPr>
            <w:tcW w:w="13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33.3%</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207.0</w:t>
            </w: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175.9</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4"/>
                <w:szCs w:val="14"/>
                <w:b w:val="1"/>
                <w:bCs w:val="1"/>
                <w:color w:val="auto"/>
              </w:rPr>
              <w:t>Crude Oil Pipelines &amp; Services: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9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Seaway Crude Holdings LLC (“Seaway”)</w:t>
            </w:r>
          </w:p>
        </w:tc>
        <w:tc>
          <w:tcPr>
            <w:tcW w:w="13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50%</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1,353.1</w:t>
            </w: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1,369.7</w:t>
            </w:r>
          </w:p>
        </w:tc>
        <w:tc>
          <w:tcPr>
            <w:tcW w:w="0" w:type="dxa"/>
            <w:vAlign w:val="bottom"/>
          </w:tcPr>
          <w:p>
            <w:pPr>
              <w:spacing w:after="0"/>
              <w:rPr>
                <w:sz w:val="1"/>
                <w:szCs w:val="1"/>
                <w:color w:val="auto"/>
              </w:rPr>
            </w:pPr>
          </w:p>
        </w:tc>
      </w:tr>
      <w:tr>
        <w:trPr>
          <w:trHeight w:val="149"/>
        </w:trPr>
        <w:tc>
          <w:tcPr>
            <w:tcW w:w="6920" w:type="dxa"/>
            <w:vAlign w:val="bottom"/>
          </w:tcPr>
          <w:p>
            <w:pPr>
              <w:ind w:left="180"/>
              <w:spacing w:after="0" w:line="149" w:lineRule="exact"/>
              <w:rPr>
                <w:sz w:val="20"/>
                <w:szCs w:val="20"/>
                <w:color w:val="auto"/>
              </w:rPr>
            </w:pPr>
            <w:r>
              <w:rPr>
                <w:rFonts w:ascii="Arial" w:cs="Arial" w:eastAsia="Arial" w:hAnsi="Arial"/>
                <w:sz w:val="14"/>
                <w:szCs w:val="14"/>
                <w:color w:val="auto"/>
              </w:rPr>
              <w:t>Eagle Ford Pipeline LLC (“Eagle Ford Crude Oil Pipeline”)</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2"/>
              </w:rPr>
              <w:t>50%</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8"/>
              <w:spacing w:after="0" w:line="149" w:lineRule="exact"/>
              <w:rPr>
                <w:sz w:val="20"/>
                <w:szCs w:val="20"/>
                <w:color w:val="auto"/>
              </w:rPr>
            </w:pPr>
            <w:r>
              <w:rPr>
                <w:rFonts w:ascii="Arial" w:cs="Arial" w:eastAsia="Arial" w:hAnsi="Arial"/>
                <w:sz w:val="14"/>
                <w:szCs w:val="14"/>
                <w:color w:val="auto"/>
              </w:rPr>
              <w:t>386.5</w:t>
            </w:r>
          </w:p>
        </w:tc>
        <w:tc>
          <w:tcPr>
            <w:tcW w:w="6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388.7</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Eagle Ford Terminals Corpus Christi LLC (“Eagle Ford Corpus Christi”)</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126.9</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4"/>
                <w:szCs w:val="14"/>
                <w:b w:val="1"/>
                <w:bCs w:val="1"/>
                <w:color w:val="auto"/>
              </w:rPr>
              <w:t>Natural Gas Pipelines &amp; Services: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9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White River Hub, LLC (“White River Hub”)</w:t>
            </w:r>
          </w:p>
        </w:tc>
        <w:tc>
          <w:tcPr>
            <w:tcW w:w="13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50%</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19.1</w:t>
            </w: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16"/>
        </w:trPr>
        <w:tc>
          <w:tcPr>
            <w:tcW w:w="6920" w:type="dxa"/>
            <w:vAlign w:val="bottom"/>
          </w:tcPr>
          <w:p>
            <w:pPr>
              <w:ind w:left="180"/>
              <w:spacing w:after="0"/>
              <w:rPr>
                <w:sz w:val="20"/>
                <w:szCs w:val="20"/>
                <w:color w:val="auto"/>
              </w:rPr>
            </w:pPr>
            <w:r>
              <w:rPr>
                <w:rFonts w:ascii="Arial" w:cs="Arial" w:eastAsia="Arial" w:hAnsi="Arial"/>
                <w:sz w:val="14"/>
                <w:szCs w:val="14"/>
                <w:color w:val="auto"/>
              </w:rPr>
              <w:t>Old Ocean Pipeline, LLC (“Old Ocean”)</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Petrochemical &amp; Refined Products Services: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920" w:type="dxa"/>
            <w:vAlign w:val="bottom"/>
          </w:tcPr>
          <w:p>
            <w:pPr>
              <w:ind w:left="180"/>
              <w:spacing w:after="0" w:line="149" w:lineRule="exact"/>
              <w:rPr>
                <w:sz w:val="20"/>
                <w:szCs w:val="20"/>
                <w:color w:val="auto"/>
              </w:rPr>
            </w:pPr>
            <w:r>
              <w:rPr>
                <w:rFonts w:ascii="Arial" w:cs="Arial" w:eastAsia="Arial" w:hAnsi="Arial"/>
                <w:sz w:val="14"/>
                <w:szCs w:val="14"/>
                <w:color w:val="auto"/>
              </w:rPr>
              <w:t>Centennial Pipeline LLC (“Centennial”) (1)</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2"/>
              </w:rPr>
              <w:t>50%</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Baton Rouge Propylene Concentrator LLC (“BRPC”)</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23"/>
        </w:trPr>
        <w:tc>
          <w:tcPr>
            <w:tcW w:w="69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Transport 4, LLC (“Transport 4”)</w:t>
            </w:r>
          </w:p>
        </w:tc>
        <w:tc>
          <w:tcPr>
            <w:tcW w:w="13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2"/>
              </w:rPr>
              <w:t>25%</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41"/>
        </w:trPr>
        <w:tc>
          <w:tcPr>
            <w:tcW w:w="6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2,600.2</w:t>
            </w:r>
          </w:p>
        </w:tc>
        <w:tc>
          <w:tcPr>
            <w:tcW w:w="60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2,615.1</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(1)</w:t>
        <w:tab/>
        <w:t>The investment in Centennial was written off in December 2019.</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Pipelines &amp;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principal business activity of each investee included in our NGL Pipelines &amp; Services segment is described as follows:</w:t>
      </w:r>
    </w:p>
    <w:p>
      <w:pPr>
        <w:spacing w:after="0" w:line="252"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VESCO </w:t>
      </w:r>
      <w:r>
        <w:rPr>
          <w:rFonts w:ascii="Arial" w:cs="Arial" w:eastAsia="Arial" w:hAnsi="Arial"/>
          <w:sz w:val="18"/>
          <w:szCs w:val="18"/>
          <w:color w:val="auto"/>
        </w:rPr>
        <w:t>owns the Venice natural gas processing facility and a related gathering system located in south Louisiana.</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Promix </w:t>
      </w:r>
      <w:r>
        <w:rPr>
          <w:rFonts w:ascii="Arial" w:cs="Arial" w:eastAsia="Arial" w:hAnsi="Arial"/>
          <w:sz w:val="18"/>
          <w:szCs w:val="18"/>
          <w:color w:val="auto"/>
        </w:rPr>
        <w:t>owns an NGL fractionation facility and a related gathering system located in south Louisiana.</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BRF </w:t>
      </w:r>
      <w:r>
        <w:rPr>
          <w:rFonts w:ascii="Arial" w:cs="Arial" w:eastAsia="Arial" w:hAnsi="Arial"/>
          <w:sz w:val="18"/>
          <w:szCs w:val="18"/>
          <w:color w:val="auto"/>
        </w:rPr>
        <w:t>owns an NGL fractionation facility located in south Louisiana.</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Skelly-Belvieu </w:t>
      </w:r>
      <w:r>
        <w:rPr>
          <w:rFonts w:ascii="Arial" w:cs="Arial" w:eastAsia="Arial" w:hAnsi="Arial"/>
          <w:sz w:val="18"/>
          <w:szCs w:val="18"/>
          <w:color w:val="auto"/>
        </w:rPr>
        <w:t>owns a pipeline that transports mixed NGLs from Skellytown, Texas to Mont Belvieu, Texas.</w:t>
      </w:r>
    </w:p>
    <w:p>
      <w:pPr>
        <w:spacing w:after="0" w:line="252"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98"/>
        </w:numPr>
        <w:rPr>
          <w:rFonts w:ascii="Arial" w:cs="Arial" w:eastAsia="Arial" w:hAnsi="Arial"/>
          <w:sz w:val="20"/>
          <w:szCs w:val="20"/>
          <w:color w:val="auto"/>
        </w:rPr>
      </w:pPr>
      <w:r>
        <w:rPr>
          <w:rFonts w:ascii="Arial" w:cs="Arial" w:eastAsia="Arial" w:hAnsi="Arial"/>
          <w:sz w:val="18"/>
          <w:szCs w:val="18"/>
          <w:i w:val="1"/>
          <w:iCs w:val="1"/>
          <w:color w:val="auto"/>
        </w:rPr>
        <w:t xml:space="preserve">Texas Express </w:t>
      </w:r>
      <w:r>
        <w:rPr>
          <w:rFonts w:ascii="Arial" w:cs="Arial" w:eastAsia="Arial" w:hAnsi="Arial"/>
          <w:sz w:val="18"/>
          <w:szCs w:val="18"/>
          <w:color w:val="auto"/>
        </w:rPr>
        <w:t>owns an NGL pipeline that extends from Skellytown to our Mont Belvieu NGL fractionation and storage complex. Mixed NGLs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Rocky Mountains, Permian Basin and Mid-Continent regions are delivered to the Texas Express Pipeline via an interconnect with our Mid-America Pipeline System near Skellytown. In addition, mixed NGLs from the Denver-Julesburg (“DJ”) Basin in Colorado are delivered to the Texas Express Pipeline via an interconnect with the Front Range Pipeline near Skellytown. The Texas Express Pipeline is also used to transport mixed NGLs gathered by TEG to Mont Belvieu.</w:t>
      </w:r>
    </w:p>
    <w:p>
      <w:pPr>
        <w:spacing w:after="0" w:line="221" w:lineRule="exact"/>
        <w:rPr>
          <w:rFonts w:ascii="Arial" w:cs="Arial" w:eastAsia="Arial" w:hAnsi="Arial"/>
          <w:sz w:val="20"/>
          <w:szCs w:val="20"/>
          <w:color w:val="auto"/>
        </w:rPr>
      </w:pPr>
    </w:p>
    <w:p>
      <w:pPr>
        <w:ind w:left="340" w:hanging="332"/>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TEG </w:t>
      </w:r>
      <w:r>
        <w:rPr>
          <w:rFonts w:ascii="Arial" w:cs="Arial" w:eastAsia="Arial" w:hAnsi="Arial"/>
          <w:sz w:val="18"/>
          <w:szCs w:val="18"/>
          <w:color w:val="auto"/>
        </w:rPr>
        <w:t>owns two NGL gathering systems that deliver mixed NGLs to the Texas Express Pipeline.</w:t>
      </w:r>
    </w:p>
    <w:p>
      <w:pPr>
        <w:spacing w:after="0" w:line="25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Front Range </w:t>
      </w:r>
      <w:r>
        <w:rPr>
          <w:rFonts w:ascii="Arial" w:cs="Arial" w:eastAsia="Arial" w:hAnsi="Arial"/>
          <w:sz w:val="18"/>
          <w:szCs w:val="18"/>
          <w:color w:val="auto"/>
        </w:rPr>
        <w:t>owns an NGL pipeline that transports mixed NGLs from natural gas processing facilities located in the DJ Basin to an interconnect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Texas Express Pipeline and Mid-America Pipeline System and other third party facilities near Skellytown.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4" w:name="page175"/>
    <w:bookmarkEnd w:id="1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Pipelines &amp;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principal business activity of each investee included in our Crude Oil Pipelines &amp; Services segment is described as follows:</w:t>
      </w:r>
    </w:p>
    <w:p>
      <w:pPr>
        <w:spacing w:after="0" w:line="252" w:lineRule="exact"/>
        <w:rPr>
          <w:sz w:val="20"/>
          <w:szCs w:val="20"/>
          <w:color w:val="auto"/>
        </w:rPr>
      </w:pPr>
    </w:p>
    <w:p>
      <w:pPr>
        <w:jc w:val="both"/>
        <w:ind w:left="340" w:hanging="332"/>
        <w:spacing w:after="0" w:line="264"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Seaway </w:t>
      </w:r>
      <w:r>
        <w:rPr>
          <w:rFonts w:ascii="Arial" w:cs="Arial" w:eastAsia="Arial" w:hAnsi="Arial"/>
          <w:sz w:val="18"/>
          <w:szCs w:val="18"/>
          <w:color w:val="auto"/>
        </w:rPr>
        <w:t>owns a crude oil pipeline system that connects the Cushing, Oklahoma hub, which is a major industry trading hub and price settlement point for</w:t>
      </w:r>
      <w:r>
        <w:rPr>
          <w:rFonts w:ascii="Arial" w:cs="Arial" w:eastAsia="Arial" w:hAnsi="Arial"/>
          <w:sz w:val="18"/>
          <w:szCs w:val="18"/>
          <w:i w:val="1"/>
          <w:iCs w:val="1"/>
          <w:color w:val="auto"/>
        </w:rPr>
        <w:t xml:space="preserve"> </w:t>
      </w:r>
      <w:r>
        <w:rPr>
          <w:rFonts w:ascii="Arial" w:cs="Arial" w:eastAsia="Arial" w:hAnsi="Arial"/>
          <w:sz w:val="18"/>
          <w:szCs w:val="18"/>
          <w:color w:val="auto"/>
        </w:rPr>
        <w:t>West Texas Intermediate on the NYMEX, with markets in Southeast Texas. The Seaway Pipeline is comprised of the Longhaul System, the Freeport System and the Texas City System.</w:t>
      </w:r>
    </w:p>
    <w:p>
      <w:pPr>
        <w:spacing w:after="0" w:line="208"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99"/>
        </w:numPr>
        <w:rPr>
          <w:rFonts w:ascii="Arial" w:cs="Arial" w:eastAsia="Arial" w:hAnsi="Arial"/>
          <w:sz w:val="20"/>
          <w:szCs w:val="20"/>
          <w:color w:val="auto"/>
        </w:rPr>
      </w:pPr>
      <w:r>
        <w:rPr>
          <w:rFonts w:ascii="Arial" w:cs="Arial" w:eastAsia="Arial" w:hAnsi="Arial"/>
          <w:sz w:val="18"/>
          <w:szCs w:val="18"/>
          <w:i w:val="1"/>
          <w:iCs w:val="1"/>
          <w:color w:val="auto"/>
        </w:rPr>
        <w:t xml:space="preserve">Eagle Ford Crude Oil Pipeline </w:t>
      </w:r>
      <w:r>
        <w:rPr>
          <w:rFonts w:ascii="Arial" w:cs="Arial" w:eastAsia="Arial" w:hAnsi="Arial"/>
          <w:sz w:val="18"/>
          <w:szCs w:val="18"/>
          <w:color w:val="auto"/>
        </w:rPr>
        <w:t>owns a pipeline that transports crude oil and condensate for producers in South Texas. The system originates in</w:t>
      </w:r>
      <w:r>
        <w:rPr>
          <w:rFonts w:ascii="Arial" w:cs="Arial" w:eastAsia="Arial" w:hAnsi="Arial"/>
          <w:sz w:val="18"/>
          <w:szCs w:val="18"/>
          <w:i w:val="1"/>
          <w:iCs w:val="1"/>
          <w:color w:val="auto"/>
        </w:rPr>
        <w:t xml:space="preserve"> </w:t>
      </w:r>
      <w:r>
        <w:rPr>
          <w:rFonts w:ascii="Arial" w:cs="Arial" w:eastAsia="Arial" w:hAnsi="Arial"/>
          <w:sz w:val="18"/>
          <w:szCs w:val="18"/>
          <w:color w:val="auto"/>
        </w:rPr>
        <w:t>Gardendale, Texas and extends to Three Rivers, Texas and further to Corpus Christi, Texas. The system interconnects with our South Texas Crude Oil Pipeline System and a marine terminal owned by Eagle Ford Corpus Christi.</w:t>
      </w:r>
    </w:p>
    <w:p>
      <w:pPr>
        <w:spacing w:after="0" w:line="220" w:lineRule="exact"/>
        <w:rPr>
          <w:rFonts w:ascii="Arial" w:cs="Arial" w:eastAsia="Arial" w:hAnsi="Arial"/>
          <w:sz w:val="20"/>
          <w:szCs w:val="20"/>
          <w:color w:val="auto"/>
        </w:rPr>
      </w:pPr>
    </w:p>
    <w:p>
      <w:pPr>
        <w:ind w:left="340" w:hanging="332"/>
        <w:spacing w:after="0" w:line="277"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Eagle Ford Corpus Christi </w:t>
      </w:r>
      <w:r>
        <w:rPr>
          <w:rFonts w:ascii="Arial" w:cs="Arial" w:eastAsia="Arial" w:hAnsi="Arial"/>
          <w:sz w:val="18"/>
          <w:szCs w:val="18"/>
          <w:color w:val="auto"/>
        </w:rPr>
        <w:t>owns a marine crude oil terminal located in Corpus Christi, Texas that can load ocean-going vessels with either crude oil or</w:t>
      </w:r>
      <w:r>
        <w:rPr>
          <w:rFonts w:ascii="Arial" w:cs="Arial" w:eastAsia="Arial" w:hAnsi="Arial"/>
          <w:sz w:val="18"/>
          <w:szCs w:val="18"/>
          <w:i w:val="1"/>
          <w:iCs w:val="1"/>
          <w:color w:val="auto"/>
        </w:rPr>
        <w:t xml:space="preserve"> </w:t>
      </w:r>
      <w:r>
        <w:rPr>
          <w:rFonts w:ascii="Arial" w:cs="Arial" w:eastAsia="Arial" w:hAnsi="Arial"/>
          <w:sz w:val="18"/>
          <w:szCs w:val="18"/>
          <w:color w:val="auto"/>
        </w:rPr>
        <w:t>condensate. The terminal commenced operations in the third quarter of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Pipelines &amp;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principal business activity of each investee included in our Natural Gas Pipelines &amp; Services segment is described as follows:</w:t>
      </w:r>
    </w:p>
    <w:p>
      <w:pPr>
        <w:spacing w:after="0" w:line="252"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White River Hub </w:t>
      </w:r>
      <w:r>
        <w:rPr>
          <w:rFonts w:ascii="Arial" w:cs="Arial" w:eastAsia="Arial" w:hAnsi="Arial"/>
          <w:sz w:val="18"/>
          <w:szCs w:val="18"/>
          <w:color w:val="auto"/>
        </w:rPr>
        <w:t>owns a natural gas hub facility serving producers in the Piceance Basin of northwest Colorado.</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Old Ocean </w:t>
      </w:r>
      <w:r>
        <w:rPr>
          <w:rFonts w:ascii="Arial" w:cs="Arial" w:eastAsia="Arial" w:hAnsi="Arial"/>
          <w:sz w:val="18"/>
          <w:szCs w:val="18"/>
          <w:color w:val="auto"/>
        </w:rPr>
        <w:t>owns a natural gas pipeline that extends from near Maypearl, Texas to Sweeny, Texas.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Petrochemical &amp; Refined Products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principal business activity of each investee included in our Petrochemical &amp; Refined Products Services segment is described as follows:</w:t>
      </w:r>
    </w:p>
    <w:p>
      <w:pPr>
        <w:spacing w:after="0" w:line="252"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BRPC </w:t>
      </w:r>
      <w:r>
        <w:rPr>
          <w:rFonts w:ascii="Arial" w:cs="Arial" w:eastAsia="Arial" w:hAnsi="Arial"/>
          <w:sz w:val="18"/>
          <w:szCs w:val="18"/>
          <w:color w:val="auto"/>
        </w:rPr>
        <w:t>owns a propylene fractionation facility located in south Louisiana.</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Transport 4 </w:t>
      </w:r>
      <w:r>
        <w:rPr>
          <w:rFonts w:ascii="Arial" w:cs="Arial" w:eastAsia="Arial" w:hAnsi="Arial"/>
          <w:sz w:val="18"/>
          <w:szCs w:val="18"/>
          <w:color w:val="auto"/>
        </w:rPr>
        <w:t>provides pipeline and terminal logistics services used by our refined products pipelines.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Centennial</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we recorded a $76.4 million impairment charge to fully write-off our 50% equity method investment in Centennial, which owns the Centennial Pipeline and related terminal infrastructure. The impairment charge is a component of operating costs and expenses for the year ended December 31, 2019 as presented on our Statements of Consolidated Operations.</w:t>
      </w:r>
    </w:p>
    <w:p>
      <w:pPr>
        <w:spacing w:after="0" w:line="2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Centennial assets were idled in 2013 while management investigated multiple capital project opportunities to repurpose the pipeline. As a result of losses incurred following idling of the pipeline, we tested our equity method investment in Centennial for impairment in each of the last three fiscal years. Our valuation estimates, which were based on a combination of market and income approaches, indicated that the fair value of our investment was in excess of its carrying value during the years ended December 31, 2018 and 2017 and that no impairment was indicated. However, due to recent declines in the viability of potential commercial transactions involving the pipeline, we concluded that our investment was not recoverable and had no fair value at December 31, 2019.</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continue to own a 50% equity interest in the Centennial Pipeline, which is being maintained in an idled state in accordance with governmental regulations.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5" w:name="page176"/>
    <w:bookmarkEnd w:id="1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Earnings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equity in income (loss) of unconsolidated affiliates by business segment for the years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7"/>
              </w:rPr>
              <w:t>For the Year Ended 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440" w:type="dxa"/>
            <w:vAlign w:val="bottom"/>
          </w:tcPr>
          <w:p>
            <w:pPr>
              <w:spacing w:after="0"/>
              <w:rPr>
                <w:sz w:val="19"/>
                <w:szCs w:val="19"/>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NGL Pipelines &amp; Services</w:t>
            </w:r>
          </w:p>
        </w:tc>
        <w:tc>
          <w:tcPr>
            <w:tcW w:w="780" w:type="dxa"/>
            <w:vAlign w:val="bottom"/>
            <w:shd w:val="clear" w:color="auto" w:fill="CCEEFF"/>
          </w:tcPr>
          <w:p>
            <w:pPr>
              <w:jc w:val="right"/>
              <w:ind w:right="66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117.0</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73.4</w:t>
            </w:r>
          </w:p>
        </w:tc>
      </w:tr>
      <w:tr>
        <w:trPr>
          <w:trHeight w:val="216"/>
        </w:trPr>
        <w:tc>
          <w:tcPr>
            <w:tcW w:w="7440" w:type="dxa"/>
            <w:vAlign w:val="bottom"/>
          </w:tcPr>
          <w:p>
            <w:pPr>
              <w:spacing w:after="0"/>
              <w:rPr>
                <w:sz w:val="20"/>
                <w:szCs w:val="20"/>
                <w:color w:val="auto"/>
              </w:rPr>
            </w:pPr>
            <w:r>
              <w:rPr>
                <w:rFonts w:ascii="Arial" w:cs="Arial" w:eastAsia="Arial" w:hAnsi="Arial"/>
                <w:sz w:val="14"/>
                <w:szCs w:val="14"/>
                <w:color w:val="auto"/>
              </w:rPr>
              <w:t>Crude Oil Pipelines &amp; Services</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449.2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365.4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358.4</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Natural Gas Pipelines &amp; Services</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w:t>
            </w:r>
          </w:p>
        </w:tc>
      </w:tr>
      <w:tr>
        <w:trPr>
          <w:trHeight w:val="216"/>
        </w:trPr>
        <w:tc>
          <w:tcPr>
            <w:tcW w:w="7440" w:type="dxa"/>
            <w:vAlign w:val="bottom"/>
          </w:tcPr>
          <w:p>
            <w:pPr>
              <w:spacing w:after="0"/>
              <w:rPr>
                <w:sz w:val="20"/>
                <w:szCs w:val="20"/>
                <w:color w:val="auto"/>
              </w:rPr>
            </w:pPr>
            <w:r>
              <w:rPr>
                <w:rFonts w:ascii="Arial" w:cs="Arial" w:eastAsia="Arial" w:hAnsi="Arial"/>
                <w:sz w:val="14"/>
                <w:szCs w:val="14"/>
                <w:color w:val="auto"/>
              </w:rPr>
              <w:t>Petrochemical &amp; Refined Products Services (1)</w:t>
            </w:r>
          </w:p>
        </w:tc>
        <w:tc>
          <w:tcPr>
            <w:tcW w:w="7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(7.0)</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(9.6)</w:t>
            </w:r>
          </w:p>
        </w:tc>
      </w:tr>
      <w:tr>
        <w:trPr>
          <w:trHeight w:val="27"/>
        </w:trPr>
        <w:tc>
          <w:tcPr>
            <w:tcW w:w="7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780" w:type="dxa"/>
            <w:vAlign w:val="bottom"/>
            <w:shd w:val="clear" w:color="auto" w:fill="CCEEFF"/>
          </w:tcPr>
          <w:p>
            <w:pPr>
              <w:jc w:val="right"/>
              <w:ind w:right="66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563.0</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480.0</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426.0</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380" w:hanging="372"/>
        <w:spacing w:after="0" w:line="291" w:lineRule="auto"/>
        <w:tabs>
          <w:tab w:leader="none" w:pos="3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losses recorded for this segment are primarily due to protection, maintenance and pipeline integrity costs of the idled Centennial Pipeline, which was purged and filled with nitrogen in 2013. Although we wrote off our investment in Centennial in 2019, we, as a 50% owner of Centennial, have a continuing obligation to fund the pipeline’s costs in its idled state.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Cost</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occasion, the price we pay to acquire an ownership interest in a company exceeds the underlying carrying value of the capital accounts we acquire. These excess cost amounts are attributable to the fair value of the underlying tangible assets of these entities exceeding their respective book carrying values at the time of our acquisition of ownership interests in these entities. We amortize such excess cost amounts as a reduction to equity earnings in a manner similar to depreciation. The following table presents our unamortized excess cost amounts by business segment at the dates indicated: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8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88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NGL Pipelines &amp; Services</w:t>
            </w:r>
          </w:p>
        </w:tc>
        <w:tc>
          <w:tcPr>
            <w:tcW w:w="760" w:type="dxa"/>
            <w:vAlign w:val="bottom"/>
            <w:shd w:val="clear" w:color="auto" w:fill="CCEEFF"/>
          </w:tcPr>
          <w:p>
            <w:pPr>
              <w:jc w:val="right"/>
              <w:ind w:right="64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21.7</w:t>
            </w:r>
          </w:p>
        </w:tc>
      </w:tr>
      <w:tr>
        <w:trPr>
          <w:trHeight w:val="216"/>
        </w:trPr>
        <w:tc>
          <w:tcPr>
            <w:tcW w:w="8820" w:type="dxa"/>
            <w:vAlign w:val="bottom"/>
          </w:tcPr>
          <w:p>
            <w:pPr>
              <w:spacing w:after="0"/>
              <w:rPr>
                <w:sz w:val="20"/>
                <w:szCs w:val="20"/>
                <w:color w:val="auto"/>
              </w:rPr>
            </w:pPr>
            <w:r>
              <w:rPr>
                <w:rFonts w:ascii="Arial" w:cs="Arial" w:eastAsia="Arial" w:hAnsi="Arial"/>
                <w:sz w:val="14"/>
                <w:szCs w:val="14"/>
                <w:color w:val="auto"/>
              </w:rPr>
              <w:t>Crude Oil Pipelines &amp; Services</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16.6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17.4</w:t>
            </w:r>
          </w:p>
        </w:tc>
      </w:tr>
      <w:tr>
        <w:trPr>
          <w:trHeight w:val="223"/>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Petrochemical &amp; Refined Products Services</w:t>
            </w: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4"/>
                <w:szCs w:val="14"/>
                <w:color w:val="auto"/>
              </w:rPr>
              <w:t>Total</w:t>
            </w:r>
          </w:p>
        </w:tc>
        <w:tc>
          <w:tcPr>
            <w:tcW w:w="760" w:type="dxa"/>
            <w:vAlign w:val="bottom"/>
          </w:tcPr>
          <w:p>
            <w:pPr>
              <w:jc w:val="right"/>
              <w:ind w:right="642"/>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37.1</w:t>
            </w:r>
          </w:p>
        </w:tc>
        <w:tc>
          <w:tcPr>
            <w:tcW w:w="5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40.8</w:t>
            </w:r>
          </w:p>
        </w:tc>
      </w:tr>
      <w:tr>
        <w:trPr>
          <w:trHeight w:val="21"/>
        </w:trPr>
        <w:tc>
          <w:tcPr>
            <w:tcW w:w="8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total, amortization of excess cost amounts were $2.1 million for each of the years ended December 31, 2019, 2018 and 2017. We forecast that our amortization of excess cost amount will approximate $2.0 million in each of the next five years.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6" w:name="page177"/>
    <w:bookmarkEnd w:id="1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Combined Financial Information of Unconsolidated Affiliates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Combined balance sheet information for the last two years and results of operations data for the last three years for our unconsolidated affiliates are summarized in the following table (all data presented on a 100% basis):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480"/>
        <w:spacing w:after="0"/>
        <w:rPr>
          <w:sz w:val="20"/>
          <w:szCs w:val="20"/>
          <w:color w:val="auto"/>
        </w:rPr>
      </w:pPr>
      <w:r>
        <w:rPr>
          <w:rFonts w:ascii="Arial" w:cs="Arial" w:eastAsia="Arial" w:hAnsi="Arial"/>
          <w:sz w:val="12"/>
          <w:szCs w:val="12"/>
          <w:b w:val="1"/>
          <w:bCs w:val="1"/>
          <w:color w:val="auto"/>
        </w:rPr>
        <w:t>Balance Sheet Data:</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Current assets</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Property, plant and equipment, net</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assets</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Total assets</w:t>
      </w:r>
    </w:p>
    <w:p>
      <w:pPr>
        <w:spacing w:after="0" w:line="32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Current liabilities</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liabilities</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Combined equity</w:t>
      </w:r>
    </w:p>
    <w:p>
      <w:pPr>
        <w:spacing w:after="0" w:line="82" w:lineRule="exact"/>
        <w:rPr>
          <w:sz w:val="20"/>
          <w:szCs w:val="20"/>
          <w:color w:val="auto"/>
        </w:rPr>
      </w:pPr>
    </w:p>
    <w:p>
      <w:pPr>
        <w:jc w:val="right"/>
        <w:ind w:right="4060"/>
        <w:spacing w:after="0"/>
        <w:rPr>
          <w:sz w:val="20"/>
          <w:szCs w:val="20"/>
          <w:color w:val="auto"/>
        </w:rPr>
      </w:pPr>
      <w:r>
        <w:rPr>
          <w:rFonts w:ascii="Arial" w:cs="Arial" w:eastAsia="Arial" w:hAnsi="Arial"/>
          <w:sz w:val="14"/>
          <w:szCs w:val="14"/>
          <w:color w:val="auto"/>
        </w:rPr>
        <w:t>Total liabilities and combined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Statement Data:</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Revenues</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Operating income</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66675</wp:posOffset>
            </wp:positionV>
            <wp:extent cx="158623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49">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57" w:lineRule="exact"/>
        <w:rPr>
          <w:sz w:val="20"/>
          <w:szCs w:val="20"/>
          <w:color w:val="auto"/>
        </w:rPr>
      </w:pPr>
    </w:p>
    <w:tbl>
      <w:tblPr>
        <w:tblLayout w:type="fixed"/>
        <w:tblInd w:w="1380" w:type="dxa"/>
        <w:tblCellMar>
          <w:top w:w="0" w:type="dxa"/>
          <w:left w:w="0" w:type="dxa"/>
          <w:bottom w:w="0" w:type="dxa"/>
          <w:right w:w="0" w:type="dxa"/>
        </w:tblCellMar>
      </w:tblPr>
      <w:tr>
        <w:trPr>
          <w:trHeight w:val="178"/>
        </w:trPr>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r>
      <w:tr>
        <w:trPr>
          <w:trHeight w:val="447"/>
        </w:trPr>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358.1</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350.2</w:t>
            </w:r>
          </w:p>
        </w:tc>
      </w:tr>
      <w:tr>
        <w:trPr>
          <w:trHeight w:val="216"/>
        </w:trPr>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5,379.7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5,359.1</w:t>
            </w:r>
          </w:p>
        </w:tc>
      </w:tr>
      <w:tr>
        <w:trPr>
          <w:trHeight w:val="208"/>
        </w:trPr>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w:t>
            </w:r>
          </w:p>
        </w:tc>
      </w:tr>
      <w:tr>
        <w:trPr>
          <w:trHeight w:val="216"/>
        </w:trPr>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5,806.5</w:t>
            </w:r>
          </w:p>
        </w:tc>
        <w:tc>
          <w:tcPr>
            <w:tcW w:w="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5,789.7</w:t>
            </w: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441"/>
        </w:trPr>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230.9</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220.6</w:t>
            </w:r>
          </w:p>
        </w:tc>
      </w:tr>
      <w:tr>
        <w:trPr>
          <w:trHeight w:val="216"/>
        </w:trPr>
        <w:tc>
          <w:tcPr>
            <w:tcW w:w="24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69.6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77.9</w:t>
            </w:r>
          </w:p>
        </w:tc>
      </w:tr>
      <w:tr>
        <w:trPr>
          <w:trHeight w:val="208"/>
        </w:trPr>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5,506.0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5,491.2</w:t>
            </w:r>
          </w:p>
        </w:tc>
      </w:tr>
      <w:tr>
        <w:trPr>
          <w:trHeight w:val="216"/>
        </w:trPr>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5,806.5</w:t>
            </w:r>
          </w:p>
        </w:tc>
        <w:tc>
          <w:tcPr>
            <w:tcW w:w="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5,789.7</w:t>
            </w: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-1337310</wp:posOffset>
            </wp:positionV>
            <wp:extent cx="724662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-1062990</wp:posOffset>
            </wp:positionV>
            <wp:extent cx="724662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5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-736600</wp:posOffset>
            </wp:positionV>
            <wp:extent cx="724662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-462280</wp:posOffset>
            </wp:positionV>
            <wp:extent cx="724662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-170815</wp:posOffset>
            </wp:positionV>
            <wp:extent cx="7246620" cy="1714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5"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24612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55">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r>
      <w:tr>
        <w:trPr>
          <w:trHeight w:val="447"/>
        </w:trPr>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1,950.2</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1,721.3</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1,509.0</w:t>
            </w:r>
          </w:p>
        </w:tc>
      </w:tr>
      <w:tr>
        <w:trPr>
          <w:trHeight w:val="216"/>
        </w:trPr>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1,250.4</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1,074.6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925.9</w:t>
            </w:r>
          </w:p>
        </w:tc>
      </w:tr>
      <w:tr>
        <w:trPr>
          <w:trHeight w:val="216"/>
        </w:trPr>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1,251.8</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1,069.1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-420370</wp:posOffset>
            </wp:positionV>
            <wp:extent cx="724662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-146050</wp:posOffset>
            </wp:positionV>
            <wp:extent cx="724662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20" w:space="720"/>
            <w:col w:w="3980"/>
          </w:cols>
          <w:pgMar w:left="240" w:top="121" w:right="239" w:bottom="1440"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Intangible Assets and 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Identifiable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intangible assets by business segment at the dates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9"/>
              </w:rPr>
              <w:t>December 31, 2018</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26"/>
        </w:trPr>
        <w:tc>
          <w:tcPr>
            <w:tcW w:w="3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right"/>
              <w:ind w:right="348"/>
              <w:spacing w:after="0" w:line="126"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right"/>
              <w:ind w:right="400"/>
              <w:spacing w:after="0" w:line="126" w:lineRule="exact"/>
              <w:rPr>
                <w:sz w:val="20"/>
                <w:szCs w:val="20"/>
                <w:color w:val="auto"/>
              </w:rPr>
            </w:pPr>
            <w:r>
              <w:rPr>
                <w:rFonts w:ascii="Arial" w:cs="Arial" w:eastAsia="Arial" w:hAnsi="Arial"/>
                <w:sz w:val="14"/>
                <w:szCs w:val="14"/>
                <w:b w:val="1"/>
                <w:bCs w:val="1"/>
                <w:color w:val="auto"/>
                <w:w w:val="95"/>
              </w:rPr>
              <w:t>Accumulated</w:t>
            </w:r>
          </w:p>
        </w:tc>
        <w:tc>
          <w:tcPr>
            <w:tcW w:w="180" w:type="dxa"/>
            <w:vAlign w:val="bottom"/>
          </w:tcPr>
          <w:p>
            <w:pPr>
              <w:spacing w:after="0"/>
              <w:rPr>
                <w:sz w:val="10"/>
                <w:szCs w:val="10"/>
                <w:color w:val="auto"/>
              </w:rPr>
            </w:pPr>
          </w:p>
        </w:tc>
        <w:tc>
          <w:tcPr>
            <w:tcW w:w="960" w:type="dxa"/>
            <w:vAlign w:val="bottom"/>
          </w:tcPr>
          <w:p>
            <w:pPr>
              <w:jc w:val="right"/>
              <w:ind w:right="208"/>
              <w:spacing w:after="0" w:line="126"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ind w:left="160"/>
              <w:spacing w:after="0" w:line="126"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right"/>
              <w:ind w:right="300"/>
              <w:spacing w:after="0" w:line="126" w:lineRule="exact"/>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center"/>
              <w:ind w:right="128"/>
              <w:spacing w:after="0" w:line="126"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0"/>
                <w:szCs w:val="10"/>
                <w:color w:val="auto"/>
              </w:rPr>
            </w:pPr>
          </w:p>
        </w:tc>
      </w:tr>
      <w:tr>
        <w:trPr>
          <w:trHeight w:val="178"/>
        </w:trPr>
        <w:tc>
          <w:tcPr>
            <w:tcW w:w="3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348"/>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Amortization</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NGL Pipelines &amp; Services: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Customer relationship intangibles</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(206.3)</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241.5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457.3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(201.9)</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255.4</w:t>
            </w:r>
          </w:p>
        </w:tc>
      </w:tr>
      <w:tr>
        <w:trPr>
          <w:trHeight w:val="216"/>
        </w:trPr>
        <w:tc>
          <w:tcPr>
            <w:tcW w:w="3340" w:type="dxa"/>
            <w:vAlign w:val="bottom"/>
          </w:tcPr>
          <w:p>
            <w:pPr>
              <w:ind w:left="180"/>
              <w:spacing w:after="0"/>
              <w:rPr>
                <w:sz w:val="20"/>
                <w:szCs w:val="20"/>
                <w:color w:val="auto"/>
              </w:rPr>
            </w:pPr>
            <w:r>
              <w:rPr>
                <w:rFonts w:ascii="Arial" w:cs="Arial" w:eastAsia="Arial" w:hAnsi="Arial"/>
                <w:sz w:val="14"/>
                <w:szCs w:val="14"/>
                <w:color w:val="auto"/>
              </w:rPr>
              <w:t>Contract-based intangibles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(43.9)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118.7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363.4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(238.7)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124.7</w:t>
            </w:r>
          </w:p>
        </w:tc>
      </w:tr>
      <w:tr>
        <w:trPr>
          <w:trHeight w:val="27"/>
        </w:trPr>
        <w:tc>
          <w:tcPr>
            <w:tcW w:w="3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Segment total</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(250.2)</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380.1</w:t>
            </w:r>
          </w:p>
        </w:tc>
      </w:tr>
      <w:tr>
        <w:trPr>
          <w:trHeight w:val="216"/>
        </w:trPr>
        <w:tc>
          <w:tcPr>
            <w:tcW w:w="334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Crude Oil Pipelines &amp; Services: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Customer relationship intangibles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(243.5)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1,960.0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2,029.4</w:t>
            </w:r>
          </w:p>
        </w:tc>
      </w:tr>
      <w:tr>
        <w:trPr>
          <w:trHeight w:val="216"/>
        </w:trPr>
        <w:tc>
          <w:tcPr>
            <w:tcW w:w="3340" w:type="dxa"/>
            <w:vAlign w:val="bottom"/>
          </w:tcPr>
          <w:p>
            <w:pPr>
              <w:ind w:left="180"/>
              <w:spacing w:after="0"/>
              <w:rPr>
                <w:sz w:val="20"/>
                <w:szCs w:val="20"/>
                <w:color w:val="auto"/>
              </w:rPr>
            </w:pPr>
            <w:r>
              <w:rPr>
                <w:rFonts w:ascii="Arial" w:cs="Arial" w:eastAsia="Arial" w:hAnsi="Arial"/>
                <w:sz w:val="14"/>
                <w:szCs w:val="14"/>
                <w:color w:val="auto"/>
              </w:rPr>
              <w:t>Contract-based intangibles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(235.0)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276.9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(211.7)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65.2</w:t>
            </w:r>
          </w:p>
        </w:tc>
      </w:tr>
      <w:tr>
        <w:trPr>
          <w:trHeight w:val="27"/>
        </w:trPr>
        <w:tc>
          <w:tcPr>
            <w:tcW w:w="3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Segment total</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2,480.4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(478.5)</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2,480.4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2,094.6</w:t>
            </w:r>
          </w:p>
        </w:tc>
      </w:tr>
      <w:tr>
        <w:trPr>
          <w:trHeight w:val="216"/>
        </w:trPr>
        <w:tc>
          <w:tcPr>
            <w:tcW w:w="334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Natural Gas Pipelines &amp; Services: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Customer relationship intangibles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(481.6)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868.7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902.5</w:t>
            </w:r>
          </w:p>
        </w:tc>
      </w:tr>
      <w:tr>
        <w:trPr>
          <w:trHeight w:val="216"/>
        </w:trPr>
        <w:tc>
          <w:tcPr>
            <w:tcW w:w="3340" w:type="dxa"/>
            <w:vAlign w:val="bottom"/>
          </w:tcPr>
          <w:p>
            <w:pPr>
              <w:ind w:left="180"/>
              <w:spacing w:after="0"/>
              <w:rPr>
                <w:sz w:val="20"/>
                <w:szCs w:val="20"/>
                <w:color w:val="auto"/>
              </w:rPr>
            </w:pPr>
            <w:r>
              <w:rPr>
                <w:rFonts w:ascii="Arial" w:cs="Arial" w:eastAsia="Arial" w:hAnsi="Arial"/>
                <w:sz w:val="14"/>
                <w:szCs w:val="14"/>
                <w:color w:val="auto"/>
              </w:rPr>
              <w:t>Contract-based intangibles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468.0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(395.5)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72.5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464.7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(387.9)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76.8</w:t>
            </w:r>
          </w:p>
        </w:tc>
      </w:tr>
      <w:tr>
        <w:trPr>
          <w:trHeight w:val="27"/>
        </w:trPr>
        <w:tc>
          <w:tcPr>
            <w:tcW w:w="3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Segment total</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1,818.3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(877.1)</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979.3</w:t>
            </w:r>
          </w:p>
        </w:tc>
      </w:tr>
      <w:tr>
        <w:trPr>
          <w:trHeight w:val="216"/>
        </w:trPr>
        <w:tc>
          <w:tcPr>
            <w:tcW w:w="334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Petrochemical &amp; Refined Products Services: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Customer relationship intangibles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(57.5)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129.6</w:t>
            </w:r>
          </w:p>
        </w:tc>
      </w:tr>
      <w:tr>
        <w:trPr>
          <w:trHeight w:val="216"/>
        </w:trPr>
        <w:tc>
          <w:tcPr>
            <w:tcW w:w="3340" w:type="dxa"/>
            <w:vAlign w:val="bottom"/>
          </w:tcPr>
          <w:p>
            <w:pPr>
              <w:ind w:left="180"/>
              <w:spacing w:after="0"/>
              <w:rPr>
                <w:sz w:val="20"/>
                <w:szCs w:val="20"/>
                <w:color w:val="auto"/>
              </w:rPr>
            </w:pPr>
            <w:r>
              <w:rPr>
                <w:rFonts w:ascii="Arial" w:cs="Arial" w:eastAsia="Arial" w:hAnsi="Arial"/>
                <w:sz w:val="14"/>
                <w:szCs w:val="14"/>
                <w:color w:val="auto"/>
              </w:rPr>
              <w:t>Contract-based intangibles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(24.2)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24.8</w:t>
            </w:r>
          </w:p>
        </w:tc>
      </w:tr>
      <w:tr>
        <w:trPr>
          <w:trHeight w:val="27"/>
        </w:trPr>
        <w:tc>
          <w:tcPr>
            <w:tcW w:w="3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Segment total</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(81.7)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145.7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154.4</w:t>
            </w:r>
          </w:p>
        </w:tc>
      </w:tr>
      <w:tr>
        <w:trPr>
          <w:trHeight w:val="27"/>
        </w:trPr>
        <w:tc>
          <w:tcPr>
            <w:tcW w:w="3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340" w:type="dxa"/>
            <w:vAlign w:val="bottom"/>
          </w:tcPr>
          <w:p>
            <w:pPr>
              <w:ind w:left="340"/>
              <w:spacing w:after="0"/>
              <w:rPr>
                <w:sz w:val="20"/>
                <w:szCs w:val="20"/>
                <w:color w:val="auto"/>
              </w:rPr>
            </w:pPr>
            <w:r>
              <w:rPr>
                <w:rFonts w:ascii="Arial" w:cs="Arial" w:eastAsia="Arial" w:hAnsi="Arial"/>
                <w:sz w:val="14"/>
                <w:szCs w:val="14"/>
                <w:color w:val="auto"/>
              </w:rPr>
              <w:t>Total intangible assets</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5,136.5</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(1,687.5)</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3,449.0</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5,343.5</w:t>
            </w:r>
          </w:p>
        </w:tc>
        <w:tc>
          <w:tcPr>
            <w:tcW w:w="10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(1,735.1)</w:t>
            </w: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3,608.4</w:t>
            </w:r>
          </w:p>
        </w:tc>
      </w:tr>
      <w:tr>
        <w:trPr>
          <w:trHeight w:val="21"/>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77" w:name="page178"/>
    <w:bookmarkEnd w:id="1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amortization expense of our intangible assets by business segment for the years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7"/>
              </w:rPr>
              <w:t>For the Year Ended 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440" w:type="dxa"/>
            <w:vAlign w:val="bottom"/>
          </w:tcPr>
          <w:p>
            <w:pPr>
              <w:spacing w:after="0"/>
              <w:rPr>
                <w:sz w:val="19"/>
                <w:szCs w:val="19"/>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NGL Pipelines &amp; Services</w:t>
            </w:r>
          </w:p>
        </w:tc>
        <w:tc>
          <w:tcPr>
            <w:tcW w:w="780" w:type="dxa"/>
            <w:vAlign w:val="bottom"/>
            <w:shd w:val="clear" w:color="auto" w:fill="CCEEFF"/>
          </w:tcPr>
          <w:p>
            <w:pPr>
              <w:jc w:val="right"/>
              <w:ind w:right="66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34.7</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28.9</w:t>
            </w:r>
          </w:p>
        </w:tc>
      </w:tr>
      <w:tr>
        <w:trPr>
          <w:trHeight w:val="216"/>
        </w:trPr>
        <w:tc>
          <w:tcPr>
            <w:tcW w:w="7440" w:type="dxa"/>
            <w:vAlign w:val="bottom"/>
          </w:tcPr>
          <w:p>
            <w:pPr>
              <w:spacing w:after="0"/>
              <w:rPr>
                <w:sz w:val="20"/>
                <w:szCs w:val="20"/>
                <w:color w:val="auto"/>
              </w:rPr>
            </w:pPr>
            <w:r>
              <w:rPr>
                <w:rFonts w:ascii="Arial" w:cs="Arial" w:eastAsia="Arial" w:hAnsi="Arial"/>
                <w:sz w:val="14"/>
                <w:szCs w:val="14"/>
                <w:color w:val="auto"/>
              </w:rPr>
              <w:t>Crude Oil Pipelines &amp; Services</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92.7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87.8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92.5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Natural Gas Pipelines &amp; Services</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36.2</w:t>
            </w:r>
          </w:p>
        </w:tc>
      </w:tr>
      <w:tr>
        <w:trPr>
          <w:trHeight w:val="216"/>
        </w:trPr>
        <w:tc>
          <w:tcPr>
            <w:tcW w:w="7440" w:type="dxa"/>
            <w:vAlign w:val="bottom"/>
          </w:tcPr>
          <w:p>
            <w:pPr>
              <w:spacing w:after="0"/>
              <w:rPr>
                <w:sz w:val="20"/>
                <w:szCs w:val="20"/>
                <w:color w:val="auto"/>
              </w:rPr>
            </w:pPr>
            <w:r>
              <w:rPr>
                <w:rFonts w:ascii="Arial" w:cs="Arial" w:eastAsia="Arial" w:hAnsi="Arial"/>
                <w:sz w:val="14"/>
                <w:szCs w:val="14"/>
                <w:color w:val="auto"/>
              </w:rPr>
              <w:t>Petrochemical &amp; Refined Products Services</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9.3</w:t>
            </w:r>
          </w:p>
        </w:tc>
      </w:tr>
      <w:tr>
        <w:trPr>
          <w:trHeight w:val="27"/>
        </w:trPr>
        <w:tc>
          <w:tcPr>
            <w:tcW w:w="7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780" w:type="dxa"/>
            <w:vAlign w:val="bottom"/>
            <w:shd w:val="clear" w:color="auto" w:fill="CCEEFF"/>
          </w:tcPr>
          <w:p>
            <w:pPr>
              <w:jc w:val="right"/>
              <w:ind w:right="66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170.3</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166.9</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forecast of amortization expense associated with existing intangible assets for the years indicated:</w:t>
      </w:r>
    </w:p>
    <w:p>
      <w:pPr>
        <w:spacing w:after="0" w:line="311" w:lineRule="exact"/>
        <w:rPr>
          <w:sz w:val="20"/>
          <w:szCs w:val="20"/>
          <w:color w:val="auto"/>
        </w:rPr>
      </w:pPr>
    </w:p>
    <w:tbl>
      <w:tblPr>
        <w:tblLayout w:type="fixed"/>
        <w:tblInd w:w="2300" w:type="dxa"/>
        <w:tblCellMar>
          <w:top w:w="0" w:type="dxa"/>
          <w:left w:w="0" w:type="dxa"/>
          <w:bottom w:w="0" w:type="dxa"/>
          <w:right w:w="0" w:type="dxa"/>
        </w:tblCellMar>
      </w:tblPr>
      <w:tr>
        <w:trPr>
          <w:trHeight w:val="178"/>
        </w:trPr>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r>
      <w:tr>
        <w:trPr>
          <w:trHeight w:val="216"/>
        </w:trPr>
        <w:tc>
          <w:tcPr>
            <w:tcW w:w="760" w:type="dxa"/>
            <w:vAlign w:val="bottom"/>
            <w:shd w:val="clear" w:color="auto" w:fill="CCEEFF"/>
          </w:tcPr>
          <w:p>
            <w:pPr>
              <w:jc w:val="right"/>
              <w:ind w:right="638"/>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164.8</w:t>
            </w:r>
          </w:p>
        </w:tc>
        <w:tc>
          <w:tcPr>
            <w:tcW w:w="900" w:type="dxa"/>
            <w:vAlign w:val="bottom"/>
            <w:gridSpan w:val="2"/>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167.0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164.0</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162.4</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158.9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 relationship intangible assets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Customer relationship intangible assets represent the estimated economic value assigned to commercial relationships acquired in connection with business combinations. Our customer relationship intangible assets are classified as either (i) basin-specific or (ii) general. Basin-specific customer relationships represent access to customers associated with a defined resource basin (e.g., customers using a natural gas gathering system serving a specific production field) and is analogous to having a franchise in a particular area. General customer relationships are associated with customers whose hydrocarbon volumes are not attributable to specific resource basins (e.g. customers at a marine terminal that handles volumes originating from multiple sources).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estimated fair value of each customer relationship intangible asset was determined at the time of acquisition using a discounted cash flow analysis, which incorporates various assumptions regarding the acquired business. The assumptions may include Level 3 fair value inputs, including long-range cash flow forecasts that extend for the estimated economic life of the hydrocarbon resource base served by the asset network, anticipated service contract renewals, resource base depletion rates and expected customer attrition rates.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recognition of customer relationships are supported by a variety of factors. In general, midstream infrastructure requires a significant investment, both in terms of initial construction costs and ongoing maintenance, and is generally supported by long-term contracts that establish a customer base. The level of expenditures and regulatory requirements involved in constructing new midstream asset networks can create significant economic barriers to entry that may limit potential competition. Furthermore, efficient, continuous operation of the acquired fixed assets not only supports the commercial relationships existing at the time of the acquisition, but it provides us with opportunities to establish new ones. These factors support the long-term value attributed to our customer relationship intangible assets.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amortization periods, the duration of a basin-specific customer relationship is limited to the estimated economic life of the associated resource basin. The duration of our other customer relationships is typically limited to the term of the underlying service contracts, including assumed renewals. Amortization expense attributable to customer relationships is recorded in a manner that closely resembles the pattern in which we expect to benefit from such relationships.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8" w:name="page179"/>
    <w:bookmarkEnd w:id="1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2019, the carrying value of our portfolio of customer relationship intangible assets was $3.2 billion, the principal components of which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5"/>
              </w:rPr>
              <w:t>December 31, 2019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200" w:type="dxa"/>
            <w:vAlign w:val="bottom"/>
          </w:tcPr>
          <w:p>
            <w:pPr>
              <w:spacing w:after="0"/>
              <w:rPr>
                <w:sz w:val="13"/>
                <w:szCs w:val="13"/>
                <w:color w:val="auto"/>
              </w:rPr>
            </w:pPr>
          </w:p>
        </w:tc>
        <w:tc>
          <w:tcPr>
            <w:tcW w:w="1440" w:type="dxa"/>
            <w:vAlign w:val="bottom"/>
            <w:gridSpan w:val="2"/>
          </w:tcPr>
          <w:p>
            <w:pPr>
              <w:jc w:val="center"/>
              <w:ind w:right="200"/>
              <w:spacing w:after="0" w:line="125"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5200" w:type="dxa"/>
            <w:vAlign w:val="bottom"/>
          </w:tcPr>
          <w:p>
            <w:pPr>
              <w:spacing w:after="0"/>
              <w:rPr>
                <w:sz w:val="10"/>
                <w:szCs w:val="10"/>
                <w:color w:val="auto"/>
              </w:rPr>
            </w:pPr>
          </w:p>
        </w:tc>
        <w:tc>
          <w:tcPr>
            <w:tcW w:w="1440" w:type="dxa"/>
            <w:vAlign w:val="bottom"/>
            <w:gridSpan w:val="2"/>
          </w:tcPr>
          <w:p>
            <w:pPr>
              <w:jc w:val="center"/>
              <w:ind w:right="180"/>
              <w:spacing w:after="0" w:line="126" w:lineRule="exact"/>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0"/>
                <w:szCs w:val="10"/>
                <w:color w:val="auto"/>
              </w:rPr>
            </w:pPr>
          </w:p>
        </w:tc>
        <w:tc>
          <w:tcPr>
            <w:tcW w:w="1240" w:type="dxa"/>
            <w:vAlign w:val="bottom"/>
            <w:gridSpan w:val="2"/>
          </w:tcPr>
          <w:p>
            <w:pPr>
              <w:jc w:val="right"/>
              <w:ind w:right="640"/>
              <w:spacing w:after="0" w:line="126"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jc w:val="right"/>
              <w:ind w:right="400"/>
              <w:spacing w:after="0" w:line="126"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right"/>
              <w:ind w:right="408"/>
              <w:spacing w:after="0" w:line="126" w:lineRule="exact"/>
              <w:rPr>
                <w:sz w:val="20"/>
                <w:szCs w:val="20"/>
                <w:color w:val="auto"/>
              </w:rPr>
            </w:pPr>
            <w:r>
              <w:rPr>
                <w:rFonts w:ascii="Arial" w:cs="Arial" w:eastAsia="Arial" w:hAnsi="Arial"/>
                <w:sz w:val="14"/>
                <w:szCs w:val="14"/>
                <w:b w:val="1"/>
                <w:bCs w:val="1"/>
                <w:color w:val="auto"/>
              </w:rPr>
              <w:t>Carrying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200" w:type="dxa"/>
            <w:vAlign w:val="bottom"/>
          </w:tcPr>
          <w:p>
            <w:pPr>
              <w:ind w:left="40"/>
              <w:spacing w:after="0"/>
              <w:rPr>
                <w:sz w:val="20"/>
                <w:szCs w:val="20"/>
                <w:color w:val="auto"/>
              </w:rPr>
            </w:pPr>
            <w:r>
              <w:rPr>
                <w:rFonts w:ascii="Arial" w:cs="Arial" w:eastAsia="Arial" w:hAnsi="Arial"/>
                <w:sz w:val="14"/>
                <w:szCs w:val="14"/>
                <w:color w:val="FFFFFF"/>
              </w:rPr>
              <w:t>a</w:t>
            </w: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Period</w:t>
            </w:r>
          </w:p>
        </w:tc>
        <w:tc>
          <w:tcPr>
            <w:tcW w:w="300" w:type="dxa"/>
            <w:vAlign w:val="bottom"/>
          </w:tcPr>
          <w:p>
            <w:pPr>
              <w:spacing w:after="0"/>
              <w:rPr>
                <w:sz w:val="15"/>
                <w:szCs w:val="15"/>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4"/>
                <w:szCs w:val="14"/>
                <w:b w:val="1"/>
                <w:bCs w:val="1"/>
                <w:color w:val="auto"/>
              </w:rPr>
              <w:t>Basin-specific customer relationships:</w:t>
            </w: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EFS Midstream (acquired 2015)</w:t>
            </w:r>
          </w:p>
        </w:tc>
        <w:tc>
          <w:tcPr>
            <w:tcW w:w="14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1"/>
              </w:rPr>
              <w:t>22.4 years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1,409.8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(160.1)</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Arial" w:cs="Arial" w:eastAsia="Arial" w:hAnsi="Arial"/>
                <w:sz w:val="14"/>
                <w:szCs w:val="14"/>
                <w:color w:val="auto"/>
              </w:rPr>
              <w:t>State Line and Fairplay (acquired 2010)</w:t>
            </w: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27.2 years</w:t>
            </w: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895.0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(205.1)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689.9</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San Juan Gathering (acquired 2004)</w:t>
            </w:r>
          </w:p>
        </w:tc>
        <w:tc>
          <w:tcPr>
            <w:tcW w:w="14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1"/>
              </w:rPr>
              <w:t>19.8 years</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4"/>
                <w:szCs w:val="14"/>
                <w:b w:val="1"/>
                <w:bCs w:val="1"/>
                <w:color w:val="auto"/>
              </w:rPr>
              <w:t>General customer relationships: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Oiltanking (acquired 2014)</w:t>
            </w:r>
          </w:p>
        </w:tc>
        <w:tc>
          <w:tcPr>
            <w:tcW w:w="14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1"/>
              </w:rPr>
              <w:t>24.0 years</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1,192.5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332"/>
        <w:spacing w:after="0" w:line="250" w:lineRule="auto"/>
        <w:tabs>
          <w:tab w:leader="none" w:pos="340" w:val="left"/>
        </w:tabs>
        <w:numPr>
          <w:ilvl w:val="0"/>
          <w:numId w:val="103"/>
        </w:numPr>
        <w:rPr>
          <w:rFonts w:ascii="Arial" w:cs="Arial" w:eastAsia="Arial" w:hAnsi="Arial"/>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EFS Midstream</w:t>
      </w:r>
      <w:r>
        <w:rPr>
          <w:rFonts w:ascii="Arial" w:cs="Arial" w:eastAsia="Arial" w:hAnsi="Arial"/>
          <w:sz w:val="18"/>
          <w:szCs w:val="18"/>
          <w:color w:val="auto"/>
        </w:rPr>
        <w:t xml:space="preserve"> customer relationships provide us with long-term access to condensate and natural gas producers in the Eagle Ford Shale served by our EFS Midstream System. The EFS Midstream System provides condensate gathering and processing services along with gathering, treating and compression services for associated natural gas.</w:t>
      </w:r>
    </w:p>
    <w:p>
      <w:pPr>
        <w:spacing w:after="0" w:line="220" w:lineRule="exact"/>
        <w:rPr>
          <w:rFonts w:ascii="Arial" w:cs="Arial" w:eastAsia="Arial" w:hAnsi="Arial"/>
          <w:sz w:val="20"/>
          <w:szCs w:val="20"/>
          <w:color w:val="auto"/>
        </w:rPr>
      </w:pPr>
    </w:p>
    <w:p>
      <w:pPr>
        <w:jc w:val="both"/>
        <w:ind w:left="340" w:hanging="332"/>
        <w:spacing w:after="0" w:line="259" w:lineRule="auto"/>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State Line and Fairplay</w:t>
      </w:r>
      <w:r>
        <w:rPr>
          <w:rFonts w:ascii="Arial" w:cs="Arial" w:eastAsia="Arial" w:hAnsi="Arial"/>
          <w:sz w:val="18"/>
          <w:szCs w:val="18"/>
          <w:color w:val="auto"/>
        </w:rPr>
        <w:t xml:space="preserve"> customer relationships provide us with long-term access to natural gas producers served by our Haynesville and Fairplay Gathering Systems. The Haynesville Gathering System gathers and treats natural gas produced from the Haynesville and Bossier Shale supply basins and the Cotton Valley and Taylor Sand formations in Louisiana and East Texas. The Fairplay Gathering System gathers natural gas produced from the Cotton Valley formation in East Texas.</w:t>
      </w:r>
    </w:p>
    <w:p>
      <w:pPr>
        <w:spacing w:after="0" w:line="21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San Juan Gathering</w:t>
      </w:r>
      <w:r>
        <w:rPr>
          <w:rFonts w:ascii="Arial" w:cs="Arial" w:eastAsia="Arial" w:hAnsi="Arial"/>
          <w:sz w:val="18"/>
          <w:szCs w:val="18"/>
          <w:color w:val="auto"/>
        </w:rPr>
        <w:t xml:space="preserve"> customer relationships provide us with long-term access to natural gas producers in the San Juan Basin served by our San Juan Gathering System.</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Oiltanking</w:t>
      </w:r>
      <w:r>
        <w:rPr>
          <w:rFonts w:ascii="Arial" w:cs="Arial" w:eastAsia="Arial" w:hAnsi="Arial"/>
          <w:sz w:val="18"/>
          <w:szCs w:val="18"/>
          <w:color w:val="auto"/>
        </w:rPr>
        <w:t xml:space="preserve"> customer relationships provide us with long-term access to crude oil and refined products storage and terminal customers served at our Houston Ship Channel and Beaumont, Texas terminals.</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Contract-based intangible assets</w:t>
      </w:r>
    </w:p>
    <w:p>
      <w:pPr>
        <w:spacing w:after="0" w:line="23"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Contract-based intangible assets represent specific commercial rights we acquired in connection with business combinations. These intangible assets are typically valued using an income approach that incorporate the terms of the agreements. At December 31, 2019, the carrying value of our portfolio of contract-based intangible assets was $254.9 million, the principal components of which were as follows: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December 31, 2019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300" w:type="dxa"/>
            <w:vAlign w:val="bottom"/>
          </w:tcPr>
          <w:p>
            <w:pPr>
              <w:spacing w:after="0"/>
              <w:rPr>
                <w:sz w:val="13"/>
                <w:szCs w:val="13"/>
                <w:color w:val="auto"/>
              </w:rPr>
            </w:pPr>
          </w:p>
        </w:tc>
        <w:tc>
          <w:tcPr>
            <w:tcW w:w="1440" w:type="dxa"/>
            <w:vAlign w:val="bottom"/>
            <w:gridSpan w:val="2"/>
          </w:tcPr>
          <w:p>
            <w:pPr>
              <w:jc w:val="center"/>
              <w:ind w:right="180"/>
              <w:spacing w:after="0" w:line="125" w:lineRule="exact"/>
              <w:rPr>
                <w:sz w:val="20"/>
                <w:szCs w:val="20"/>
                <w:color w:val="auto"/>
              </w:rPr>
            </w:pPr>
            <w:r>
              <w:rPr>
                <w:rFonts w:ascii="Arial" w:cs="Arial" w:eastAsia="Arial" w:hAnsi="Arial"/>
                <w:sz w:val="14"/>
                <w:szCs w:val="14"/>
                <w:b w:val="1"/>
                <w:bCs w:val="1"/>
                <w:color w:val="auto"/>
                <w:w w:val="92"/>
              </w:rPr>
              <w:t>Remaining</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5300" w:type="dxa"/>
            <w:vAlign w:val="bottom"/>
          </w:tcPr>
          <w:p>
            <w:pPr>
              <w:spacing w:after="0"/>
              <w:rPr>
                <w:sz w:val="10"/>
                <w:szCs w:val="10"/>
                <w:color w:val="auto"/>
              </w:rPr>
            </w:pPr>
          </w:p>
        </w:tc>
        <w:tc>
          <w:tcPr>
            <w:tcW w:w="1440" w:type="dxa"/>
            <w:vAlign w:val="bottom"/>
            <w:gridSpan w:val="2"/>
          </w:tcPr>
          <w:p>
            <w:pPr>
              <w:jc w:val="center"/>
              <w:ind w:right="180"/>
              <w:spacing w:after="0" w:line="126" w:lineRule="exact"/>
              <w:rPr>
                <w:sz w:val="20"/>
                <w:szCs w:val="20"/>
                <w:color w:val="auto"/>
              </w:rPr>
            </w:pPr>
            <w:r>
              <w:rPr>
                <w:rFonts w:ascii="Arial" w:cs="Arial" w:eastAsia="Arial" w:hAnsi="Arial"/>
                <w:sz w:val="14"/>
                <w:szCs w:val="14"/>
                <w:b w:val="1"/>
                <w:bCs w:val="1"/>
                <w:color w:val="auto"/>
                <w:w w:val="95"/>
              </w:rPr>
              <w:t>Amortization</w:t>
            </w:r>
          </w:p>
        </w:tc>
        <w:tc>
          <w:tcPr>
            <w:tcW w:w="320" w:type="dxa"/>
            <w:vAlign w:val="bottom"/>
          </w:tcPr>
          <w:p>
            <w:pPr>
              <w:spacing w:after="0"/>
              <w:rPr>
                <w:sz w:val="10"/>
                <w:szCs w:val="10"/>
                <w:color w:val="auto"/>
              </w:rPr>
            </w:pPr>
          </w:p>
        </w:tc>
        <w:tc>
          <w:tcPr>
            <w:tcW w:w="1300" w:type="dxa"/>
            <w:vAlign w:val="bottom"/>
            <w:gridSpan w:val="2"/>
          </w:tcPr>
          <w:p>
            <w:pPr>
              <w:ind w:left="220"/>
              <w:spacing w:after="0" w:line="126"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0"/>
                <w:szCs w:val="10"/>
                <w:color w:val="auto"/>
              </w:rPr>
            </w:pPr>
          </w:p>
        </w:tc>
        <w:tc>
          <w:tcPr>
            <w:tcW w:w="142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jc w:val="right"/>
              <w:ind w:right="368"/>
              <w:spacing w:after="0" w:line="126" w:lineRule="exact"/>
              <w:rPr>
                <w:sz w:val="20"/>
                <w:szCs w:val="20"/>
                <w:color w:val="auto"/>
              </w:rPr>
            </w:pPr>
            <w:r>
              <w:rPr>
                <w:rFonts w:ascii="Arial" w:cs="Arial" w:eastAsia="Arial" w:hAnsi="Arial"/>
                <w:sz w:val="14"/>
                <w:szCs w:val="14"/>
                <w:b w:val="1"/>
                <w:bCs w:val="1"/>
                <w:color w:val="auto"/>
              </w:rPr>
              <w:t>Carrying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300" w:type="dxa"/>
            <w:vAlign w:val="bottom"/>
            <w:tcBorders>
              <w:bottom w:val="single" w:sz="8" w:color="CCEEFF"/>
            </w:tcBorders>
          </w:tcPr>
          <w:p>
            <w:pPr>
              <w:spacing w:after="0"/>
              <w:rPr>
                <w:sz w:val="20"/>
                <w:szCs w:val="20"/>
                <w:color w:val="auto"/>
              </w:rPr>
            </w:pPr>
            <w:r>
              <w:rPr>
                <w:rFonts w:ascii="Arial" w:cs="Arial" w:eastAsia="Arial" w:hAnsi="Arial"/>
                <w:sz w:val="14"/>
                <w:szCs w:val="14"/>
                <w:color w:val="FFFFFF"/>
              </w:rPr>
              <w:t>a</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Value</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spacing w:after="0"/>
              <w:rPr>
                <w:sz w:val="20"/>
                <w:szCs w:val="20"/>
                <w:color w:val="auto"/>
              </w:rPr>
            </w:pPr>
            <w:r>
              <w:rPr>
                <w:rFonts w:ascii="Arial" w:cs="Arial" w:eastAsia="Arial" w:hAnsi="Arial"/>
                <w:sz w:val="14"/>
                <w:szCs w:val="14"/>
                <w:color w:val="auto"/>
              </w:rPr>
              <w:t>Oiltanking customer contracts</w:t>
            </w:r>
          </w:p>
        </w:tc>
        <w:tc>
          <w:tcPr>
            <w:tcW w:w="14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86"/>
              </w:rPr>
              <w:t>3.6 years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293.3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(245.9)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4"/>
                <w:szCs w:val="14"/>
                <w:color w:val="auto"/>
              </w:rPr>
              <w:t>Jonah natural gas gathering agreements</w:t>
            </w: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color w:val="auto"/>
                <w:w w:val="88"/>
              </w:rPr>
              <w:t>22.0 years</w:t>
            </w: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224.4</w:t>
            </w: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(171.4)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4"/>
                <w:szCs w:val="14"/>
                <w:color w:val="auto"/>
              </w:rPr>
              <w:t>Delaware Basin natural gas processing contracts</w:t>
            </w:r>
          </w:p>
        </w:tc>
        <w:tc>
          <w:tcPr>
            <w:tcW w:w="14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86"/>
              </w:rPr>
              <w:t>7.0 years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82.6</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332"/>
        <w:spacing w:after="0" w:line="250" w:lineRule="auto"/>
        <w:tabs>
          <w:tab w:leader="none" w:pos="340" w:val="left"/>
        </w:tabs>
        <w:numPr>
          <w:ilvl w:val="0"/>
          <w:numId w:val="104"/>
        </w:numPr>
        <w:rPr>
          <w:rFonts w:ascii="Arial" w:cs="Arial" w:eastAsia="Arial" w:hAnsi="Arial"/>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Oiltanking customer contracts</w:t>
      </w:r>
      <w:r>
        <w:rPr>
          <w:rFonts w:ascii="Arial" w:cs="Arial" w:eastAsia="Arial" w:hAnsi="Arial"/>
          <w:sz w:val="18"/>
          <w:szCs w:val="18"/>
          <w:color w:val="auto"/>
        </w:rPr>
        <w:t xml:space="preserve"> represent the estimated value we assigned to crude oil storage and terminal agreements we acquired in 2014 associated with our Houston and Beaumont marine terminals. Amortization expense attributable to these contracts is recorded using a straight-line approach over the terms of the underlying contracts.</w:t>
      </w:r>
    </w:p>
    <w:p>
      <w:pPr>
        <w:spacing w:after="0" w:line="220"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104"/>
        </w:numPr>
        <w:rPr>
          <w:rFonts w:ascii="Arial" w:cs="Arial" w:eastAsia="Arial" w:hAnsi="Arial"/>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Jonah natural gas gathering agreements</w:t>
      </w:r>
      <w:r>
        <w:rPr>
          <w:rFonts w:ascii="Arial" w:cs="Arial" w:eastAsia="Arial" w:hAnsi="Arial"/>
          <w:sz w:val="18"/>
          <w:szCs w:val="18"/>
          <w:color w:val="auto"/>
        </w:rPr>
        <w:t xml:space="preserve"> represent the estimated value we assigned to natural gas gathering contracts acquired in 2001 associated with the Jonah Gathering System. Amortization expense attributable to these intangible assets is recorded using a units-of-production method based on gathering volumes.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9" w:name="page180"/>
    <w:bookmarkEnd w:id="1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40" w:hanging="332"/>
        <w:spacing w:after="0" w:line="250" w:lineRule="auto"/>
        <w:tabs>
          <w:tab w:leader="none" w:pos="340" w:val="left"/>
        </w:tabs>
        <w:numPr>
          <w:ilvl w:val="0"/>
          <w:numId w:val="105"/>
        </w:numPr>
        <w:rPr>
          <w:rFonts w:ascii="Arial" w:cs="Arial" w:eastAsia="Arial" w:hAnsi="Arial"/>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Delaware Basin natural gas processing contracts</w:t>
      </w:r>
      <w:r>
        <w:rPr>
          <w:rFonts w:ascii="Arial" w:cs="Arial" w:eastAsia="Arial" w:hAnsi="Arial"/>
          <w:sz w:val="18"/>
          <w:szCs w:val="18"/>
          <w:color w:val="auto"/>
        </w:rPr>
        <w:t xml:space="preserve"> represent the estimated value we assigned to natural gas processing contracts we acquired in March 2018 in connection with our step acquisition of the remaining 50% member interest in Delaware Basin Gas Processing LLC (“Delaware Processing”) (see Note 12). Amortization expense attributable to these contracts is recorded using a straight-line approach over the terms of the underlying contracts.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December 31, 2019 and 2018, our goodwill balance was $5.75 billion. Goodwill represents the excess of the purchase price of an acquired business over the amounts assigned to assets acquired and liabilities assumed in the transaction. Goodwill is not amortized; however, we evaluate goodwill for impairment on December 31 of each year or when impairment indicators (e.g., the loss of a significant customer, adverse long-term supply or demand trends, or technological obsolescence of assets) are present. Testing goodwill for impairment involves a two-step process. As Step 1 of the process, if impairment indicators are present, the estimated fair value of a reporting unit to which goodwill is assigned is determined and compared to its carrying value. As Step 2 of the process, if the fair value of the reporting unit is less than its carrying value (including associated goodwill), a non-cash impairment charge to earnings is recorded to reduce the carrying value of the goodwill to its implied fair value.</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results of our December 31, 2019 annual goodwill impairment test indicated that the estimated fair value of each applicable reporting unit exceeded its carrying value. Our fair value estimates are primarily based on the income approach to fair value, which relies on the use of discounted cash flows. The fair value estimates are based on Level 3 inputs of the fair value hierarchy. For example, the estimated fair values incorporate assumptions regarding the future economic prospects of the assets and operations that comprise each reporting unit including: (i) discrete financial forecasts for the assets classified within the reporting unit, which, in turn, rely on management’s estimates of long-term operating margins, throughput volumes and similar factors; (ii) long-term growth rates for cash flows beyond the discrete forecast period; and (iii) appropriate discount rates. We believe that the assumptions we use in estimating reporting unit fair values are consistent with those that market participants would use in their fair value estimation process.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record any goodwill impairment charges, or reclassify any goodwill amounts between business segments, during the years ended December 31, 2019, 2018 or 2017. See Note 10 for our goodwill by segment balances.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2017, the FASB issued ASU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This ASU simplifies the accounting for goodwill impairment by removing Step 2 of the goodwill impairment test, which requires a hypothetical purchase price allocation. Goodwill impairment will now be the amount by which a reporting unit’s carrying value exceeds its fair value, not to exceed the carrying amount of goodwill. We adopted this guidance on January 1, 2020 for future goodwill impairment testing.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0" w:name="page181"/>
    <w:bookmarkEnd w:id="1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consolidated debt obligations (arranged by company and maturity date) at the dates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4"/>
                <w:szCs w:val="14"/>
                <w:b w:val="1"/>
                <w:bCs w:val="1"/>
                <w:color w:val="auto"/>
              </w:rPr>
              <w:t>EPO senior debt obligations: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 Paper Notes, variable-rates</w:t>
            </w:r>
          </w:p>
        </w:tc>
        <w:tc>
          <w:tcPr>
            <w:tcW w:w="2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482.0</w:t>
            </w: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4"/>
                <w:szCs w:val="14"/>
                <w:color w:val="auto"/>
              </w:rPr>
              <w:t>Senior Notes N, 6.50% fixed-rate, due January 2019</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Senior Notes LL, 2.55% fixed-rate, due October 2019</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800.0</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4"/>
                <w:szCs w:val="14"/>
                <w:color w:val="auto"/>
              </w:rPr>
              <w:t>Senior Notes Q, 5.25% fixed-rate, due January 2020</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500.0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Senior Notes Y, 5.20% fixed-rate, due September 2020</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4"/>
                <w:szCs w:val="14"/>
                <w:color w:val="auto"/>
              </w:rPr>
              <w:t>364-Day Revolving Credit Agreement, variable-rate, due September 2020</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Senior Notes TT, 2.80% fixed-rate, due February 2021</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4"/>
                <w:szCs w:val="14"/>
                <w:color w:val="auto"/>
              </w:rPr>
              <w:t>Senior Notes RR, 2.85% fixed-rate, due April 2021</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575.0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575.0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Senior Notes VV, 3.50% fixed-rate, due February 2022</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4"/>
                <w:szCs w:val="14"/>
                <w:color w:val="auto"/>
              </w:rPr>
              <w:t>Senior Notes CC, 4.05% fixed-rate, due February 2022</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650.0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650.0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Senior Notes HH, 3.35% fixed-rate, due March 2023</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4"/>
                <w:szCs w:val="14"/>
                <w:color w:val="auto"/>
              </w:rPr>
              <w:t>Senior Notes JJ, 3.90% fixed-rate, due February 2024</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850.0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850.0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Multi-Year Revolving Credit Agreement, variable-rate, due September 2024</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4"/>
                <w:szCs w:val="14"/>
                <w:color w:val="auto"/>
              </w:rPr>
              <w:t>Senior Notes MM, 3.75% fixed-rate, due February 2025</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1,150.0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Senior Notes PP, 3.70% fixed-rate, due February 2026</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875.0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875.0</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4"/>
                <w:szCs w:val="14"/>
                <w:color w:val="auto"/>
              </w:rPr>
              <w:t>Senior Notes SS, 3.95% fixed-rate, due February 2027</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575.0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575.0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Senior Notes WW, 4.15% fixed-rate, due October 2028</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4"/>
                <w:szCs w:val="14"/>
                <w:color w:val="auto"/>
              </w:rPr>
              <w:t>Senior Notes YY, 3.125% fixed-rate, due July 2029</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Senior Notes D, 6.875% fixed-rate, due March 2033</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4"/>
                <w:szCs w:val="14"/>
                <w:color w:val="auto"/>
              </w:rPr>
              <w:t>Senior Notes H, 6.65% fixed-rate, due October 2034</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350.0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350.0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Senior Notes J, 5.75% fixed-rate, due March 2035</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4"/>
                <w:szCs w:val="14"/>
                <w:color w:val="auto"/>
              </w:rPr>
              <w:t>Senior Notes W, 7.55% fixed-rate, due April 2038</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399.6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399.6</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Senior Notes R, 6.125% fixed-rate, due October 2039</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4"/>
                <w:szCs w:val="14"/>
                <w:color w:val="auto"/>
              </w:rPr>
              <w:t>Senior Notes Z, 6.45% fixed-rate, due September 2040</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600.0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Senior Notes BB, 5.95% fixed-rate, due February 2041</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4"/>
                <w:szCs w:val="14"/>
                <w:color w:val="auto"/>
              </w:rPr>
              <w:t>Senior Notes DD, 5.70% fixed-rate, due February 2042</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600.0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Senior Notes EE, 4.85% fixed-rate, due August 2042</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4"/>
                <w:szCs w:val="14"/>
                <w:color w:val="auto"/>
              </w:rPr>
              <w:t>Senior Notes GG, 4.45% fixed-rate, due February 2043</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1,100.0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Senior Notes II, 4.85% fixed-rate, due March 2044</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1,400.0</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4"/>
                <w:szCs w:val="14"/>
                <w:color w:val="auto"/>
              </w:rPr>
              <w:t>Senior Notes KK, 5.10% fixed-rate, due February 2045</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1,150.0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Senior Notes QQ, 4.90% fixed-rate, due May 2046</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975.0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975.0</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4"/>
                <w:szCs w:val="14"/>
                <w:color w:val="auto"/>
              </w:rPr>
              <w:t>Senior Notes UU, 4.25% fixed-rate, due February 2048</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Senior Notes XX, 4.80% fixed-rate, due February 2049</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4"/>
                <w:szCs w:val="14"/>
                <w:color w:val="auto"/>
              </w:rPr>
              <w:t>Senior Notes ZZ, 4.20% fixed-rate, due January 2050</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Senior Notes NN, 4.95% fixed-rate, due October 2054</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4"/>
                <w:szCs w:val="14"/>
                <w:b w:val="1"/>
                <w:bCs w:val="1"/>
                <w:color w:val="auto"/>
              </w:rPr>
              <w:t>TEPPCO senior debt obligations: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TEPPCO Senior Notes, 7.55% fixed-rate, due April 2038</w:t>
            </w:r>
          </w:p>
        </w:tc>
        <w:tc>
          <w:tcPr>
            <w:tcW w:w="2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16"/>
        </w:trPr>
        <w:tc>
          <w:tcPr>
            <w:tcW w:w="6800" w:type="dxa"/>
            <w:vAlign w:val="bottom"/>
            <w:tcBorders>
              <w:top w:val="single" w:sz="8" w:color="CCEEFF"/>
            </w:tcBorders>
          </w:tcPr>
          <w:p>
            <w:pPr>
              <w:ind w:left="340"/>
              <w:spacing w:after="0"/>
              <w:rPr>
                <w:sz w:val="20"/>
                <w:szCs w:val="20"/>
                <w:color w:val="auto"/>
              </w:rPr>
            </w:pPr>
            <w:r>
              <w:rPr>
                <w:rFonts w:ascii="Arial" w:cs="Arial" w:eastAsia="Arial" w:hAnsi="Arial"/>
                <w:sz w:val="14"/>
                <w:szCs w:val="14"/>
                <w:color w:val="auto"/>
              </w:rPr>
              <w:t>Total principal amount of senior debt obligations</w:t>
            </w:r>
          </w:p>
        </w:tc>
        <w:tc>
          <w:tcPr>
            <w:tcW w:w="2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25,232.0</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23,750.0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 xml:space="preserve">EPO Junior Subordinated Notes C, variable-rate, due June 2067 </w:t>
            </w:r>
            <w:r>
              <w:rPr>
                <w:rFonts w:ascii="Arial" w:cs="Arial" w:eastAsia="Arial" w:hAnsi="Arial"/>
                <w:sz w:val="14"/>
                <w:szCs w:val="14"/>
                <w:color w:val="auto"/>
              </w:rPr>
              <w:t>(1)</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232.2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256.4</w:t>
            </w:r>
          </w:p>
        </w:tc>
        <w:tc>
          <w:tcPr>
            <w:tcW w:w="0" w:type="dxa"/>
            <w:vAlign w:val="bottom"/>
          </w:tcPr>
          <w:p>
            <w:pPr>
              <w:spacing w:after="0"/>
              <w:rPr>
                <w:sz w:val="1"/>
                <w:szCs w:val="1"/>
                <w:color w:val="auto"/>
              </w:rPr>
            </w:pPr>
          </w:p>
        </w:tc>
      </w:tr>
      <w:tr>
        <w:trPr>
          <w:trHeight w:val="186"/>
        </w:trPr>
        <w:tc>
          <w:tcPr>
            <w:tcW w:w="6800" w:type="dxa"/>
            <w:vAlign w:val="bottom"/>
          </w:tcPr>
          <w:p>
            <w:pPr>
              <w:spacing w:after="0"/>
              <w:rPr>
                <w:sz w:val="20"/>
                <w:szCs w:val="20"/>
                <w:color w:val="auto"/>
              </w:rPr>
            </w:pPr>
            <w:r>
              <w:rPr>
                <w:rFonts w:ascii="Arial" w:cs="Arial" w:eastAsia="Arial" w:hAnsi="Arial"/>
                <w:sz w:val="14"/>
                <w:szCs w:val="14"/>
                <w:b w:val="1"/>
                <w:bCs w:val="1"/>
                <w:color w:val="auto"/>
              </w:rPr>
              <w:t xml:space="preserve">EPO Junior Subordinated Notes D, fixed/variable-rate, due August 2077 </w:t>
            </w:r>
            <w:r>
              <w:rPr>
                <w:rFonts w:ascii="Arial" w:cs="Arial" w:eastAsia="Arial" w:hAnsi="Arial"/>
                <w:sz w:val="14"/>
                <w:szCs w:val="14"/>
                <w:color w:val="auto"/>
              </w:rPr>
              <w:t>(2)</w:t>
            </w: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700.0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 xml:space="preserve">EPO Junior Subordinated Notes E, fixed/variable-rate, due August 2077 </w:t>
            </w:r>
            <w:r>
              <w:rPr>
                <w:rFonts w:ascii="Arial" w:cs="Arial" w:eastAsia="Arial" w:hAnsi="Arial"/>
                <w:sz w:val="14"/>
                <w:szCs w:val="14"/>
                <w:color w:val="auto"/>
              </w:rPr>
              <w:t>(3)</w:t>
            </w:r>
          </w:p>
        </w:tc>
        <w:tc>
          <w:tcPr>
            <w:tcW w:w="20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86"/>
        </w:trPr>
        <w:tc>
          <w:tcPr>
            <w:tcW w:w="6800" w:type="dxa"/>
            <w:vAlign w:val="bottom"/>
          </w:tcPr>
          <w:p>
            <w:pPr>
              <w:spacing w:after="0"/>
              <w:rPr>
                <w:sz w:val="20"/>
                <w:szCs w:val="20"/>
                <w:color w:val="auto"/>
              </w:rPr>
            </w:pPr>
            <w:r>
              <w:rPr>
                <w:rFonts w:ascii="Arial" w:cs="Arial" w:eastAsia="Arial" w:hAnsi="Arial"/>
                <w:sz w:val="14"/>
                <w:szCs w:val="14"/>
                <w:b w:val="1"/>
                <w:bCs w:val="1"/>
                <w:color w:val="auto"/>
              </w:rPr>
              <w:t xml:space="preserve">EPO Junior Subordinated Notes F, fixed/variable-rate, due February 2078 </w:t>
            </w:r>
            <w:r>
              <w:rPr>
                <w:rFonts w:ascii="Arial" w:cs="Arial" w:eastAsia="Arial" w:hAnsi="Arial"/>
                <w:sz w:val="14"/>
                <w:szCs w:val="14"/>
                <w:color w:val="auto"/>
              </w:rPr>
              <w:t>(4)</w:t>
            </w: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700.0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 xml:space="preserve">TEPPCO Junior Subordinated Notes, variable-rate, due June 2067 </w:t>
            </w:r>
            <w:r>
              <w:rPr>
                <w:rFonts w:ascii="Arial" w:cs="Arial" w:eastAsia="Arial" w:hAnsi="Arial"/>
                <w:sz w:val="14"/>
                <w:szCs w:val="14"/>
                <w:color w:val="auto"/>
              </w:rPr>
              <w:t>(1)</w:t>
            </w:r>
          </w:p>
        </w:tc>
        <w:tc>
          <w:tcPr>
            <w:tcW w:w="2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16"/>
        </w:trPr>
        <w:tc>
          <w:tcPr>
            <w:tcW w:w="6800" w:type="dxa"/>
            <w:vAlign w:val="bottom"/>
            <w:tcBorders>
              <w:top w:val="single" w:sz="8" w:color="CCEEFF"/>
            </w:tcBorders>
          </w:tcPr>
          <w:p>
            <w:pPr>
              <w:ind w:left="340"/>
              <w:spacing w:after="0"/>
              <w:rPr>
                <w:sz w:val="20"/>
                <w:szCs w:val="20"/>
                <w:color w:val="auto"/>
              </w:rPr>
            </w:pPr>
            <w:r>
              <w:rPr>
                <w:rFonts w:ascii="Arial" w:cs="Arial" w:eastAsia="Arial" w:hAnsi="Arial"/>
                <w:sz w:val="14"/>
                <w:szCs w:val="14"/>
                <w:color w:val="auto"/>
              </w:rPr>
              <w:t>Total principal amount of senior and junior debt obligations</w:t>
            </w:r>
          </w:p>
        </w:tc>
        <w:tc>
          <w:tcPr>
            <w:tcW w:w="2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27,878.4</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26,420.6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non-principal amounts</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(253.3)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(242.4)</w:t>
            </w:r>
          </w:p>
        </w:tc>
        <w:tc>
          <w:tcPr>
            <w:tcW w:w="0" w:type="dxa"/>
            <w:vAlign w:val="bottom"/>
          </w:tcPr>
          <w:p>
            <w:pPr>
              <w:spacing w:after="0"/>
              <w:rPr>
                <w:sz w:val="1"/>
                <w:szCs w:val="1"/>
                <w:color w:val="auto"/>
              </w:rPr>
            </w:pPr>
          </w:p>
        </w:tc>
      </w:tr>
      <w:tr>
        <w:trPr>
          <w:trHeight w:val="216"/>
        </w:trPr>
        <w:tc>
          <w:tcPr>
            <w:tcW w:w="6800" w:type="dxa"/>
            <w:vAlign w:val="bottom"/>
          </w:tcPr>
          <w:p>
            <w:pPr>
              <w:ind w:left="340"/>
              <w:spacing w:after="0"/>
              <w:rPr>
                <w:sz w:val="20"/>
                <w:szCs w:val="20"/>
                <w:color w:val="auto"/>
              </w:rPr>
            </w:pPr>
            <w:r>
              <w:rPr>
                <w:rFonts w:ascii="Arial" w:cs="Arial" w:eastAsia="Arial" w:hAnsi="Arial"/>
                <w:sz w:val="14"/>
                <w:szCs w:val="14"/>
                <w:color w:val="auto"/>
              </w:rPr>
              <w:t>Less current maturities of debt</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(1,981.9)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(1,500.1)</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8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long-term debt</w:t>
            </w:r>
          </w:p>
        </w:tc>
        <w:tc>
          <w:tcPr>
            <w:tcW w:w="2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25,643.2</w:t>
            </w:r>
          </w:p>
        </w:tc>
        <w:tc>
          <w:tcPr>
            <w:tcW w:w="1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24,678.1</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Variable rate is reset quarterly and based on 3-month London Interbank Offered Rate ("LIBOR") plus 2.778%.</w:t>
      </w:r>
    </w:p>
    <w:p>
      <w:pPr>
        <w:ind w:left="340" w:hanging="332"/>
        <w:spacing w:after="0" w:line="221" w:lineRule="auto"/>
        <w:tabs>
          <w:tab w:leader="none" w:pos="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Fixed rate of 4.875% through August 15, 2022; thereafter, a variable rate reset quarterly and based on 3-month LIBOR plus 2.986%.</w:t>
      </w:r>
    </w:p>
    <w:p>
      <w:pPr>
        <w:ind w:left="340" w:hanging="332"/>
        <w:spacing w:after="0" w:line="221" w:lineRule="auto"/>
        <w:tabs>
          <w:tab w:leader="none" w:pos="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Fixed rate of 5.250% through August 15, 2027; thereafter, a variable rate reset quarterly and based on 3-month LIBOR plus 3.033%.</w:t>
      </w:r>
    </w:p>
    <w:p>
      <w:pPr>
        <w:ind w:left="340" w:hanging="332"/>
        <w:spacing w:after="0"/>
        <w:tabs>
          <w:tab w:leader="none" w:pos="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Fixed rate of 5.375% through February 14, 2028; thereafter, a variable rate reset quarterly and based on 3-month LIBOR plus 2.57%.</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References to “TEPPCO” mean TEPPCO Partners, L.P. prior to its merger with one of our wholly owned subsidiaries in October 2009.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031" w:gutter="0" w:footer="0" w:header="0"/>
        </w:sectPr>
      </w:pPr>
    </w:p>
    <w:bookmarkStart w:id="181" w:name="page182"/>
    <w:bookmarkEnd w:id="18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range of interest rates and weighted-average interest rates paid on our consolidated variable-rate debt during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2"/>
              </w:rPr>
              <w:t>Range of Interest</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r>
      <w:tr>
        <w:trPr>
          <w:trHeight w:val="178"/>
        </w:trPr>
        <w:tc>
          <w:tcPr>
            <w:tcW w:w="6720" w:type="dxa"/>
            <w:vAlign w:val="bottom"/>
            <w:tcBorders>
              <w:bottom w:val="single" w:sz="8" w:color="CCEEFF"/>
            </w:tcBorders>
          </w:tcPr>
          <w:p>
            <w:pPr>
              <w:spacing w:after="0"/>
              <w:rPr>
                <w:sz w:val="15"/>
                <w:szCs w:val="15"/>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Rates Paid</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 Paid</w:t>
            </w:r>
          </w:p>
        </w:tc>
      </w:tr>
      <w:tr>
        <w:trPr>
          <w:trHeight w:val="149"/>
        </w:trPr>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Paper Notes</w:t>
            </w:r>
          </w:p>
        </w:tc>
        <w:tc>
          <w:tcPr>
            <w:tcW w:w="2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1.79% to 2.80%</w:t>
            </w:r>
          </w:p>
        </w:tc>
        <w:tc>
          <w:tcPr>
            <w:tcW w:w="2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2.61%</w:t>
            </w:r>
          </w:p>
        </w:tc>
      </w:tr>
      <w:tr>
        <w:trPr>
          <w:trHeight w:val="182"/>
        </w:trPr>
        <w:tc>
          <w:tcPr>
            <w:tcW w:w="6720" w:type="dxa"/>
            <w:vAlign w:val="bottom"/>
          </w:tcPr>
          <w:p>
            <w:pPr>
              <w:spacing w:after="0"/>
              <w:rPr>
                <w:sz w:val="20"/>
                <w:szCs w:val="20"/>
                <w:color w:val="auto"/>
              </w:rPr>
            </w:pPr>
            <w:r>
              <w:rPr>
                <w:rFonts w:ascii="Arial" w:cs="Arial" w:eastAsia="Arial" w:hAnsi="Arial"/>
                <w:sz w:val="14"/>
                <w:szCs w:val="14"/>
                <w:color w:val="auto"/>
              </w:rPr>
              <w:t>EPO Junior Subordinated Notes C and TEPPCO Junior Subordinated Notes</w:t>
            </w:r>
          </w:p>
        </w:tc>
        <w:tc>
          <w:tcPr>
            <w:tcW w:w="2260" w:type="dxa"/>
            <w:vAlign w:val="bottom"/>
          </w:tcPr>
          <w:p>
            <w:pPr>
              <w:jc w:val="center"/>
              <w:spacing w:after="0"/>
              <w:rPr>
                <w:sz w:val="20"/>
                <w:szCs w:val="20"/>
                <w:color w:val="auto"/>
              </w:rPr>
            </w:pPr>
            <w:r>
              <w:rPr>
                <w:rFonts w:ascii="Arial" w:cs="Arial" w:eastAsia="Arial" w:hAnsi="Arial"/>
                <w:sz w:val="14"/>
                <w:szCs w:val="14"/>
                <w:color w:val="auto"/>
                <w:w w:val="95"/>
              </w:rPr>
              <w:t>4.68% to 5.52%</w:t>
            </w:r>
          </w:p>
        </w:tc>
        <w:tc>
          <w:tcPr>
            <w:tcW w:w="2440" w:type="dxa"/>
            <w:vAlign w:val="bottom"/>
          </w:tcPr>
          <w:p>
            <w:pPr>
              <w:jc w:val="center"/>
              <w:spacing w:after="0"/>
              <w:rPr>
                <w:sz w:val="20"/>
                <w:szCs w:val="20"/>
                <w:color w:val="auto"/>
              </w:rPr>
            </w:pPr>
            <w:r>
              <w:rPr>
                <w:rFonts w:ascii="Arial" w:cs="Arial" w:eastAsia="Arial" w:hAnsi="Arial"/>
                <w:sz w:val="14"/>
                <w:szCs w:val="14"/>
                <w:color w:val="auto"/>
                <w:w w:val="90"/>
              </w:rPr>
              <w:t>5.22%</w:t>
            </w:r>
          </w:p>
        </w:tc>
      </w:tr>
    </w:tbl>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Amounts borrowed under our 364-Day and Multi-Year Revolving Credit Agreements bear interest, at our election, equal to: (i) LIBOR, plus an additional variable spread; or (ii) an alternate base rate, which is the greater of (a) the Prime Rate in effect on such day, (b) the Federal Funds Effective Rate in effect on such day plus 0.5%, or (c) the LIBO Market Index Rate in effect on such day plus 1% and a variable spread. The applicable spreads are determined based on our debt ratings.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the scheduled contractual maturities of principal amounts of our consolidated debt obligations at December 31, 2019 for the next five years, and in total thereafter:</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308"/>
              <w:spacing w:after="0"/>
              <w:rPr>
                <w:sz w:val="20"/>
                <w:szCs w:val="20"/>
                <w:color w:val="auto"/>
              </w:rPr>
            </w:pPr>
            <w:r>
              <w:rPr>
                <w:rFonts w:ascii="Arial" w:cs="Arial" w:eastAsia="Arial" w:hAnsi="Arial"/>
                <w:sz w:val="14"/>
                <w:szCs w:val="14"/>
                <w:b w:val="1"/>
                <w:bCs w:val="1"/>
                <w:color w:val="auto"/>
                <w:w w:val="98"/>
              </w:rPr>
              <w:t>Scheduled Maturities of Debt</w:t>
            </w: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1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9"/>
                <w:szCs w:val="19"/>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Commercial Paper Notes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482.0</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482.0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6"/>
        </w:trPr>
        <w:tc>
          <w:tcPr>
            <w:tcW w:w="1960" w:type="dxa"/>
            <w:vAlign w:val="bottom"/>
          </w:tcPr>
          <w:p>
            <w:pPr>
              <w:spacing w:after="0"/>
              <w:rPr>
                <w:sz w:val="20"/>
                <w:szCs w:val="20"/>
                <w:color w:val="auto"/>
              </w:rPr>
            </w:pPr>
            <w:r>
              <w:rPr>
                <w:rFonts w:ascii="Arial" w:cs="Arial" w:eastAsia="Arial" w:hAnsi="Arial"/>
                <w:sz w:val="14"/>
                <w:szCs w:val="14"/>
                <w:color w:val="auto"/>
              </w:rPr>
              <w:t>Senior Notes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24,750.0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1,500.0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1,400.0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850.0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18,425.0</w:t>
            </w: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Junior Subordinated Notes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2,646.4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2,646.4</w:t>
            </w:r>
          </w:p>
        </w:tc>
      </w:tr>
      <w:tr>
        <w:trPr>
          <w:trHeight w:val="27"/>
        </w:trPr>
        <w:tc>
          <w:tcPr>
            <w:tcW w:w="19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27,878.4</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1,982.0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1,325.0</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1,400.0</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1,250.0</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850.0</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21,071.4</w:t>
            </w:r>
          </w:p>
        </w:tc>
      </w:tr>
      <w:tr>
        <w:trPr>
          <w:trHeight w:val="21"/>
        </w:trPr>
        <w:tc>
          <w:tcPr>
            <w:tcW w:w="1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Parent-Subsidiary Guarantor Relationships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EPD acts as guarantor of the consolidated debt obligations of EPO, with the exception of the remaining debt obligations of TEPPCO. If EPO were to default on any of its guaranteed debt, EPD would be responsible for full and unconditional repayment of that obligation.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EPO Debt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Commercial Paper Notes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EPO maintains a commercial paper program under which it may issue (and have outstanding at any time) up to $3.0 billion in aggregate principal amount of short-term notes. As a back-stop to the program, we intend to maintain a minimum available borrowing capacity under EPO’s Multi-Year Revolving Credit Agreement equal to the aggregate amount outstanding under our commercial paper notes. All commercial paper notes issued under the program are senior unsecured obligations of EPO that are unconditionally guaranteed by EPD.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364-Day Credit Agreement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 September 2019, EPO entered into a new 364-Day Revolving Credit Agreement that replaced its prior 364-day credit facility. The new 364-Day Revolving Credit Agreement matures in September 2020. There are currently no principal amounts outstanding under this revolving credit agreement.</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terms of the new 364-Day Revolving Credit Agreement, EPO may borrow up to $1.5 billion (which may be increased by up to $200 million to $1.7 billion at EPO’s election, provided certain conditions are met) at a variable interest rate for a term of up to 364 days, subject to the terms and conditions set forth therein. To the extent that principal amounts are outstanding at the maturity date, EPO may elect to have the entire principal balance then outstanding continued as non-revolving term loans for a period of one additional year, payable in September 2021. Borrowings under this revolving credit agreement may be used for working capital, capital expenditures, acquisitions and general company purposes.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364-Day Revolving Credit Agreement contains customary representations, warranties, covenants (affirmative and negative) and events of default, the occurrence of which would permit the lenders to accelerate the maturity date of any amounts borrowed under this credit agreement. The credit agreement also restricts EPO’s ability to pay cash distributions to its parent, EPD, if an event of default (as defined in the credit agreement) has occurred and is continuing at the time such distribution is scheduled to be paid or would result therefrom.</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2" w:name="page183"/>
    <w:bookmarkEnd w:id="18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EPO’s obligations under the new 364-Day Revolving Credit Agreement are not secured by any collateral; however, they are guaranteed by EPD.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Multi-Year Revolving Credit Agreement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September 2019, EPO entered into an amendment (the “First Amendment”) to its revolving credit agreement dated September 13, 2017 (the “Multi-Year Revolving Credit Agreement”). The First Amendment reduces the borrowing capacity under the Multi-Year Revolving Credit Agreement from $4.0 billion to $3.5 billion (which may be increased by up to $500 million to $4.0 billion at EPO’s election provided certain conditions are met) and extends the maturity date to September 10, 2024, although the maturity date may be extended further at EPO’s request by up to two years, with the consent of required lenders as set forth under the credit agreement. Borrowings under this revolving credit agreement may be used for working capital, capital expenditures, acquisitions and general company purposes.</w:t>
      </w:r>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Multi-Year Revolving Credit Agreement contains customary representations, warranties, covenants (affirmative and negative) and events of default, the occurrence of which would permit the lenders to accelerate the maturity date of any amounts borrowed under this credit agreement. The Multi-Year Revolving Credit Agreement also restricts EPO’s ability to pay cash distributions to its parent, EPD, if an event of default (as defined in the credit agreement) has occurred and is continuing at the time such distribution is scheduled to be paid or would result therefrom.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EPO’s obligations under the Multi-Year Revolving Credit Agreement are not secured by any collateral; however, they are guaranteed by EPD.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Notes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EPO’s fixed-rate senior notes are unsecured obligations of EPO that rank equal with its existing and future unsecured and unsubordinated indebtedness. They are senior to any existing and future subordinated indebtedness of EPO. EPO’s senior notes are subject to make-whole redemption rights and were issued under indentures containing certain covenants, which generally restrict its ability (with certain exceptions) to incur debt secured by liens and engage in sale and leaseback transactions. In total, EPO issued $2.5 billion and $5.0 billion of senior notes during the years ended December 31, 2019 and 2018, respectively.</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July 2019, EPO issued $2.5 billion aggregate principal amount of senior notes comprised of $1.25 billion principal amount of senior notes due July 2029 (“Senior Notes YY”) and $1.25 billion principal amount of senior notes due January 2050 (“Senior Notes ZZ”). Net proceeds from this offering were used by EPO for the repayment of debt and for general company purposes, including for growth capital expenditures. Senior Notes YY were issued at 99.955% of their principal amount and have a fixed interest rate of 3.125% per year. Senior Notes ZZ were issued at 99.792% of their principal amount and have a fixed interest rate of 4.20% per year. EPD has guaranteed these senior notes through an unconditional guarantee on an unsecured and unsubordinated basis.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22, </w:t>
      </w:r>
      <w:r>
        <w:rPr>
          <w:rFonts w:ascii="Arial" w:cs="Arial" w:eastAsia="Arial" w:hAnsi="Arial"/>
          <w:sz w:val="18"/>
          <w:szCs w:val="18"/>
          <w:i w:val="1"/>
          <w:iCs w:val="1"/>
          <w:color w:val="auto"/>
        </w:rPr>
        <w:t>Subsequent Events</w:t>
      </w:r>
      <w:r>
        <w:rPr>
          <w:rFonts w:ascii="Arial" w:cs="Arial" w:eastAsia="Arial" w:hAnsi="Arial"/>
          <w:sz w:val="18"/>
          <w:szCs w:val="18"/>
          <w:color w:val="auto"/>
        </w:rPr>
        <w:t>, for information regarding the issuance of Senior Notes AAA, BBB and CCC in January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EPO Junior Subordinated Notes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EPO’s payment obligations under its junior notes are subordinated to all of its current and future senior indebtedness (as defined in the related indenture agreement). EPD guarantees repayment of amounts due under these junior notes through an unsecured and subordinated guarantee. The indenture agreement governing these notes allows EPO to defer interest payments on one or more occasions for up to ten consecutive years subject to certain conditions. Subject to certain exceptions, during any period in which interest payments are deferred, neither we nor EPO can declare or make any distributions on any of our respective equity securities or make any payments on indebtedness or other obligations that rank equal with or are subordinate to our junior notes. Each series of our junior notes rank equal with each other. Generally, each series of junior notes are not redeemable by EPO while such notes bear interest at a fixed annual rate. In total, EPO issued $700.0 million and $1.7 billion of junior notes during the years ended December 31, 2018 and 2017, respectively.</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issuance of EPO’s Junior Subordinated Notes C, EPO entered into a Replacement Capital Covenant in favor of covered debt holders (as defined in the underlying documents) pursuant to which EPO agreed, for the benefit of such debt holders, that it would not redeem or repurchase such junior notes unless such redemption or repurchase is made using proceeds from the issuance of certain securities.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3" w:name="page184"/>
    <w:bookmarkEnd w:id="18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2019, EPO repurchased and retired $24.2 million in principal amount of its Junior Subordinated Notes C. A $1.5 million gain on the extinguishment of these debt obligations is included in “Other, net” on our Statements of Consolidated Operations with respect to the year ended December 31,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EPO had $101.4 million of letters of credit outstanding primarily related to our commodity hedging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Lender Financial Covenants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the financial covenants of our consolidated debt agreements at December 31, 2019.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and Distributions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 Equity</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Partners’ equity reflects the classes of our limited partner interests outstanding. Our common units represent limited partner interests, which give the holders thereof the right to participate in distributions and to exercise the other rights or privileges available to them under our Sixth Amended and Restated Agreement of Limited Partnership (as amended from time to time, the “Partnership Agreement”). We are managed by our general partner, Enterprise GP.</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our Partnership Agreement, capital accounts are maintained for our limited partners. The capital account provisions of our Partnership Agreement incorporate principles established for U.S. federal income tax purposes and are not comparable to the equity amounts presented in our consolidated financial statements prepared in accordance with GAAP. Earnings and cash distributions are allocated to holders of our common units in accordance with their respective percentage interests.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4" w:name="page185"/>
    <w:bookmarkEnd w:id="1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the number of our units issued and outstanding since December 31,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Restricted</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r>
      <w:tr>
        <w:trPr>
          <w:trHeight w:val="149"/>
        </w:trPr>
        <w:tc>
          <w:tcPr>
            <w:tcW w:w="744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Units</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Common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r>
      <w:tr>
        <w:trPr>
          <w:trHeight w:val="178"/>
        </w:trPr>
        <w:tc>
          <w:tcPr>
            <w:tcW w:w="74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(Unrestricted)</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5"/>
                <w:szCs w:val="15"/>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Number of units issued and outstanding at December 31, 2016</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2,116,906,120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682,294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2,117,588,414</w:t>
            </w: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Common units issued in connection with ATM program</w:t>
            </w:r>
          </w:p>
        </w:tc>
        <w:tc>
          <w:tcPr>
            <w:tcW w:w="1160" w:type="dxa"/>
            <w:vAlign w:val="bottom"/>
          </w:tcPr>
          <w:p>
            <w:pPr>
              <w:jc w:val="right"/>
              <w:spacing w:after="0"/>
              <w:rPr>
                <w:sz w:val="20"/>
                <w:szCs w:val="20"/>
                <w:color w:val="auto"/>
              </w:rPr>
            </w:pPr>
            <w:r>
              <w:rPr>
                <w:rFonts w:ascii="Arial" w:cs="Arial" w:eastAsia="Arial" w:hAnsi="Arial"/>
                <w:sz w:val="14"/>
                <w:szCs w:val="14"/>
                <w:color w:val="auto"/>
              </w:rPr>
              <w:t>21,807,726</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21,807,726</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units issued in connection with DRIP and EUPP</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19,046,019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19,046,019</w:t>
            </w: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Common units issued in connection with the vesting of phantom unit awards</w:t>
            </w:r>
          </w:p>
        </w:tc>
        <w:tc>
          <w:tcPr>
            <w:tcW w:w="1160" w:type="dxa"/>
            <w:vAlign w:val="bottom"/>
          </w:tcPr>
          <w:p>
            <w:pPr>
              <w:jc w:val="right"/>
              <w:spacing w:after="0"/>
              <w:rPr>
                <w:sz w:val="20"/>
                <w:szCs w:val="20"/>
                <w:color w:val="auto"/>
              </w:rPr>
            </w:pPr>
            <w:r>
              <w:rPr>
                <w:rFonts w:ascii="Arial" w:cs="Arial" w:eastAsia="Arial" w:hAnsi="Arial"/>
                <w:sz w:val="14"/>
                <w:szCs w:val="14"/>
                <w:color w:val="auto"/>
              </w:rPr>
              <w:t>2,485,580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2,485,580</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units issued in connection with the vesting of restricted common unit awards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681,044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(681,044)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Forfeiture of restricted common unit awards</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(1,250)</w:t>
            </w: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(1,250)</w:t>
            </w:r>
          </w:p>
        </w:tc>
      </w:tr>
      <w:tr>
        <w:trPr>
          <w:trHeight w:val="130"/>
        </w:trPr>
        <w:tc>
          <w:tcPr>
            <w:tcW w:w="744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Cancellation of treasury units acquired in connection with the vesting of</w:t>
            </w: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equity-based awards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(1,027,798)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(1,027,798)</w:t>
            </w: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Common units issued in connection with employee compensation</w:t>
            </w:r>
          </w:p>
        </w:tc>
        <w:tc>
          <w:tcPr>
            <w:tcW w:w="1160" w:type="dxa"/>
            <w:vAlign w:val="bottom"/>
          </w:tcPr>
          <w:p>
            <w:pPr>
              <w:jc w:val="right"/>
              <w:spacing w:after="0"/>
              <w:rPr>
                <w:sz w:val="20"/>
                <w:szCs w:val="20"/>
                <w:color w:val="auto"/>
              </w:rPr>
            </w:pPr>
            <w:r>
              <w:rPr>
                <w:rFonts w:ascii="Arial" w:cs="Arial" w:eastAsia="Arial" w:hAnsi="Arial"/>
                <w:sz w:val="14"/>
                <w:szCs w:val="14"/>
                <w:color w:val="auto"/>
              </w:rPr>
              <w:t>1,176,103</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1,176,103</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14,685</w:t>
            </w:r>
          </w:p>
        </w:tc>
      </w:tr>
      <w:tr>
        <w:trPr>
          <w:trHeight w:val="27"/>
        </w:trPr>
        <w:tc>
          <w:tcPr>
            <w:tcW w:w="74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4"/>
                <w:szCs w:val="14"/>
                <w:b w:val="1"/>
                <w:bCs w:val="1"/>
                <w:color w:val="auto"/>
              </w:rPr>
              <w:t>Number of units issued and outstanding at December 31, 2017</w:t>
            </w:r>
          </w:p>
        </w:tc>
        <w:tc>
          <w:tcPr>
            <w:tcW w:w="1160" w:type="dxa"/>
            <w:vAlign w:val="bottom"/>
          </w:tcPr>
          <w:p>
            <w:pPr>
              <w:jc w:val="right"/>
              <w:spacing w:after="0"/>
              <w:rPr>
                <w:sz w:val="20"/>
                <w:szCs w:val="20"/>
                <w:color w:val="auto"/>
              </w:rPr>
            </w:pPr>
            <w:r>
              <w:rPr>
                <w:rFonts w:ascii="Arial" w:cs="Arial" w:eastAsia="Arial" w:hAnsi="Arial"/>
                <w:sz w:val="14"/>
                <w:szCs w:val="14"/>
                <w:color w:val="auto"/>
              </w:rPr>
              <w:t>2,161,089,479</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2,161,089,479</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unit repurchases under Legacy Buyback Program</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(1,236,800)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(1,236,800)</w:t>
            </w: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Common units issued in connection with DRIP and EUPP</w:t>
            </w:r>
          </w:p>
        </w:tc>
        <w:tc>
          <w:tcPr>
            <w:tcW w:w="1160" w:type="dxa"/>
            <w:vAlign w:val="bottom"/>
          </w:tcPr>
          <w:p>
            <w:pPr>
              <w:jc w:val="right"/>
              <w:spacing w:after="0"/>
              <w:rPr>
                <w:sz w:val="20"/>
                <w:szCs w:val="20"/>
                <w:color w:val="auto"/>
              </w:rPr>
            </w:pPr>
            <w:r>
              <w:rPr>
                <w:rFonts w:ascii="Arial" w:cs="Arial" w:eastAsia="Arial" w:hAnsi="Arial"/>
                <w:sz w:val="14"/>
                <w:szCs w:val="14"/>
                <w:color w:val="auto"/>
              </w:rPr>
              <w:t>19,861,951</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19,861,951</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units issued in connection with the vesting of phantom unit awards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3,479,958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3,479,958</w:t>
            </w:r>
          </w:p>
        </w:tc>
      </w:tr>
      <w:tr>
        <w:trPr>
          <w:trHeight w:val="130"/>
        </w:trPr>
        <w:tc>
          <w:tcPr>
            <w:tcW w:w="7440" w:type="dxa"/>
            <w:vAlign w:val="bottom"/>
          </w:tcPr>
          <w:p>
            <w:pPr>
              <w:ind w:left="180"/>
              <w:spacing w:after="0" w:line="130" w:lineRule="exact"/>
              <w:rPr>
                <w:sz w:val="20"/>
                <w:szCs w:val="20"/>
                <w:color w:val="auto"/>
              </w:rPr>
            </w:pPr>
            <w:r>
              <w:rPr>
                <w:rFonts w:ascii="Arial" w:cs="Arial" w:eastAsia="Arial" w:hAnsi="Arial"/>
                <w:sz w:val="14"/>
                <w:szCs w:val="14"/>
                <w:color w:val="auto"/>
              </w:rPr>
              <w:t>Cancellation of treasury units acquired in connection with the vesting of</w:t>
            </w: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7440" w:type="dxa"/>
            <w:vAlign w:val="bottom"/>
          </w:tcPr>
          <w:p>
            <w:pPr>
              <w:ind w:left="280"/>
              <w:spacing w:after="0"/>
              <w:rPr>
                <w:sz w:val="20"/>
                <w:szCs w:val="20"/>
                <w:color w:val="auto"/>
              </w:rPr>
            </w:pPr>
            <w:r>
              <w:rPr>
                <w:rFonts w:ascii="Arial" w:cs="Arial" w:eastAsia="Arial" w:hAnsi="Arial"/>
                <w:sz w:val="14"/>
                <w:szCs w:val="14"/>
                <w:color w:val="auto"/>
              </w:rPr>
              <w:t>equity-based awards</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(1,037,522)</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(1,037,522)</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units issued in connection with employee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1,443,586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1,443,586</w:t>
            </w: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Common units issued in connection with land acquisition</w:t>
            </w:r>
          </w:p>
        </w:tc>
        <w:tc>
          <w:tcPr>
            <w:tcW w:w="1160" w:type="dxa"/>
            <w:vAlign w:val="bottom"/>
          </w:tcPr>
          <w:p>
            <w:pPr>
              <w:jc w:val="right"/>
              <w:spacing w:after="0"/>
              <w:rPr>
                <w:sz w:val="20"/>
                <w:szCs w:val="20"/>
                <w:color w:val="auto"/>
              </w:rPr>
            </w:pPr>
            <w:r>
              <w:rPr>
                <w:rFonts w:ascii="Arial" w:cs="Arial" w:eastAsia="Arial" w:hAnsi="Arial"/>
                <w:sz w:val="14"/>
                <w:szCs w:val="14"/>
                <w:color w:val="auto"/>
              </w:rPr>
              <w:t>1,223,242</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1,223,242</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45,135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45,135</w:t>
            </w:r>
          </w:p>
        </w:tc>
      </w:tr>
      <w:tr>
        <w:trPr>
          <w:trHeight w:val="27"/>
        </w:trPr>
        <w:tc>
          <w:tcPr>
            <w:tcW w:w="74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4"/>
                <w:szCs w:val="14"/>
                <w:b w:val="1"/>
                <w:bCs w:val="1"/>
                <w:color w:val="auto"/>
              </w:rPr>
              <w:t>Number of units issued and outstanding at December 31, 2018</w:t>
            </w:r>
          </w:p>
        </w:tc>
        <w:tc>
          <w:tcPr>
            <w:tcW w:w="1160" w:type="dxa"/>
            <w:vAlign w:val="bottom"/>
          </w:tcPr>
          <w:p>
            <w:pPr>
              <w:jc w:val="right"/>
              <w:spacing w:after="0"/>
              <w:rPr>
                <w:sz w:val="20"/>
                <w:szCs w:val="20"/>
                <w:color w:val="auto"/>
              </w:rPr>
            </w:pPr>
            <w:r>
              <w:rPr>
                <w:rFonts w:ascii="Arial" w:cs="Arial" w:eastAsia="Arial" w:hAnsi="Arial"/>
                <w:sz w:val="14"/>
                <w:szCs w:val="14"/>
                <w:color w:val="auto"/>
              </w:rPr>
              <w:t>2,184,869,029</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2,184,869,029</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unit repurchases under 2019 Buyback Program</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(2,909,128)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(2,909,128)</w:t>
            </w: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Common units issued in connection with DRIP and EUPP</w:t>
            </w:r>
          </w:p>
        </w:tc>
        <w:tc>
          <w:tcPr>
            <w:tcW w:w="1160" w:type="dxa"/>
            <w:vAlign w:val="bottom"/>
          </w:tcPr>
          <w:p>
            <w:pPr>
              <w:jc w:val="right"/>
              <w:spacing w:after="0"/>
              <w:rPr>
                <w:sz w:val="20"/>
                <w:szCs w:val="20"/>
                <w:color w:val="auto"/>
              </w:rPr>
            </w:pPr>
            <w:r>
              <w:rPr>
                <w:rFonts w:ascii="Arial" w:cs="Arial" w:eastAsia="Arial" w:hAnsi="Arial"/>
                <w:sz w:val="14"/>
                <w:szCs w:val="14"/>
                <w:color w:val="auto"/>
              </w:rPr>
              <w:t>2,897,990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2,897,990</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units issued in connection with the vesting of phantom unit awards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3,895,049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3,895,049</w:t>
            </w:r>
          </w:p>
        </w:tc>
      </w:tr>
      <w:tr>
        <w:trPr>
          <w:trHeight w:val="130"/>
        </w:trPr>
        <w:tc>
          <w:tcPr>
            <w:tcW w:w="7440" w:type="dxa"/>
            <w:vAlign w:val="bottom"/>
          </w:tcPr>
          <w:p>
            <w:pPr>
              <w:ind w:left="180"/>
              <w:spacing w:after="0" w:line="130" w:lineRule="exact"/>
              <w:rPr>
                <w:sz w:val="20"/>
                <w:szCs w:val="20"/>
                <w:color w:val="auto"/>
              </w:rPr>
            </w:pPr>
            <w:r>
              <w:rPr>
                <w:rFonts w:ascii="Arial" w:cs="Arial" w:eastAsia="Arial" w:hAnsi="Arial"/>
                <w:sz w:val="14"/>
                <w:szCs w:val="14"/>
                <w:color w:val="auto"/>
              </w:rPr>
              <w:t>Cancellation of treasury units acquired in connection with the vesting of</w:t>
            </w: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7440" w:type="dxa"/>
            <w:vAlign w:val="bottom"/>
          </w:tcPr>
          <w:p>
            <w:pPr>
              <w:ind w:left="280"/>
              <w:spacing w:after="0"/>
              <w:rPr>
                <w:sz w:val="20"/>
                <w:szCs w:val="20"/>
                <w:color w:val="auto"/>
              </w:rPr>
            </w:pPr>
            <w:r>
              <w:rPr>
                <w:rFonts w:ascii="Arial" w:cs="Arial" w:eastAsia="Arial" w:hAnsi="Arial"/>
                <w:sz w:val="14"/>
                <w:szCs w:val="14"/>
                <w:color w:val="auto"/>
              </w:rPr>
              <w:t>equity-based awards</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(1,174,446)</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(1,174,446)</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units issued in connection with employee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1,626,041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1,626,041</w:t>
            </w: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Other</w:t>
            </w:r>
          </w:p>
        </w:tc>
        <w:tc>
          <w:tcPr>
            <w:tcW w:w="1160" w:type="dxa"/>
            <w:vAlign w:val="bottom"/>
          </w:tcPr>
          <w:p>
            <w:pPr>
              <w:jc w:val="right"/>
              <w:spacing w:after="0"/>
              <w:rPr>
                <w:sz w:val="20"/>
                <w:szCs w:val="20"/>
                <w:color w:val="auto"/>
              </w:rPr>
            </w:pPr>
            <w:r>
              <w:rPr>
                <w:rFonts w:ascii="Arial" w:cs="Arial" w:eastAsia="Arial" w:hAnsi="Arial"/>
                <w:sz w:val="14"/>
                <w:szCs w:val="14"/>
                <w:color w:val="auto"/>
              </w:rPr>
              <w:t>21,595</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21,595</w:t>
            </w:r>
          </w:p>
        </w:tc>
      </w:tr>
      <w:tr>
        <w:trPr>
          <w:trHeight w:val="27"/>
        </w:trPr>
        <w:tc>
          <w:tcPr>
            <w:tcW w:w="74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Number of units issued and outstanding at December 31, 2019</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2,189,226,130</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2,189,226,130</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net cash proceeds we received from the issuance of common units during the year ended December 31, 2019 were used to temporarily reduce amounts outstanding under EPO’s commercial paper program and for general partnership purposes.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unit repurchases under buyback programs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2019, we announced that the Board of Enterprise GP had approved a $2.0 billion multi-year unit buyback program (the “2019 Buyback Program”), which provides EPD with an additional method to return capital to investors. The 2019 Buyback Program authorizes EPD to repurchase its common units from time to time, including through open market purchases and negotiated transactions. The timing and pace of buy backs under the program will be determined by a number of factors including (i) our financial performance and flexibility, (ii) organic growth and acquisition opportunities with higher potential returns on investment, (iii) EPD’s unit price and implied cash flow yield and (iv) maintaining targeted financial leverage with a debt-to-normalized adjusted EBITDA (earnings before interest, taxes, depreciation and amortization) ratio of approximately 3.5 times. No time limit has been set for completion of the program, and it may be suspended or discontinued at any time.</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EPD repurchased 2,909,128 common units under the 2019 Buyback Program through open market purchases during the year ended December 31, 2019. The total purchase price of these repurchases was $81.1 million, excluding commissions and fees. The repurchased units were cancelled immediately upon acquisition. At December 31, 2019, the remaining available capacity under the 2019 Buyback Program was $1.92 billion.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1998, we announced a common unit buyback program whereby we, together with certain affiliates, could repurchase up to 4,000,000 EPD common units on the open market (the “Legacy Buyback Program”). EPD purchased the remaining authorized amount of 1,236,800 common units in December 2018 for $30.8 million. The repurchased units were cancelled immediately upon acquisition.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5" w:name="page186"/>
    <w:bookmarkEnd w:id="18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Distribution reinvestment plan and employee unit purchase plan</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 registration statement on file with the SEC in connection with our distribution reinvestment plan (“DRIP”). The DRIP provides unitholders of record and beneficial owners of our common units a voluntary means by which they can increase the number of our common units they own by reinvesting the quarterly cash distributions they receive from us into the purchase of additional common units at a discount ranging from 0% to 5.0%. Beginning with the distribution declared with respect to the fourth quarter of 2017 and paid in February 2018, the discount was reduced from 5.0% to 2.5%. Likewise, beginning with the distribution declared with respect to the fourth quarter of 2018 and paid in February 2019, the discount was reduced from 2.5% to 0%. We have the sole discretion to determine whether common units purchased under the DRIP will come from our authorized but unissued common units or from common units purchased on the open market by the DRIP administrator.</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Activity under our DRIP for the last three years was as follows: 2,601,727 new common units issued during 2019, which generated net cash proceeds of $73.7 million; 19,316,781 new common units issued during 2018, which generated net cash proceeds of $523.3 million; and 18,541,355 new common units issued during 2017, which generated net cash proceeds of $462.9 million. Privately held affiliates of EPCO reinvested $29 million, $213 million and $100 million through the DRIP in each of the years ended December 31, 2019, 2018 and 2017, respectively (this amount being a component of the net cash proceeds presented for each period).</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taking into account the number of common units delivered under the DRIP through December 31, 2019, we have the capacity to deliver an additional 56,320,229 common units under this plan.</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to the DRIP, we have registration statements on file with the SEC in connection with our employee unit purchase plan (“EUPP”). Activity under our EUPP for the last three years was as follows: 296,263 new common units issued during 2019, which generated net cash proceeds of $8.5 million; 545,170 new common units issued during 2018, which generated net cash proceeds of $15.1 million; and 504,664 new common units issued during 2017, which generated net cash proceeds of $13.5 million.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taking into account the number of common units delivered under the EUPP through December 31, 2019, we have the capacity to deliver an additional 4,596,585 common units under this plan.</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July 2019, EPD announced that, beginning with the quarterly distribution paid in August 2019, it would use common units purchased on the open market, rather than issuing new common units, to satisfy its delivery obligations under the DRIP and EUPP. This election is subject to change in future quarters depending on the Partnership’s need for equity capital. During 2019, a total of 2,801,196 common units were purchased on the open market and delivered to participants in connection with the DRIP and EUPP. Apart from $0.9 million attributable to the plan discount available to all participants in the EUPP, the funds used to effect these purchases were sourced from the DRIP and EUPP participants. No other Partnership funds were used to satisfy these obligations. We also used open market purchases to satisfy DRIP and EUPP investments in connection with the distribution paid on February 12,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Phantom unit vestings and related treasury unit transactions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 ended December 31, 2019, a total of 3,895,049 phantom units vested and 1,174,446 units were sold back to us by employees to cover withholding tax requirements in connection with the vestings. During the year ended December 31, 2018, a total of 3,479,958 phantom units vested and 1,037,522 units were sold back to us. During the year ended December 31, 2017, an aggregate 3,166,624 phantom and restricted unit awards vested and 1,027,798 units were sold back to us. We cancelled such treasury units immediately upon acquisition.</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cost of these treasury unit purchases was $33.7 million, $27.3 million and $29.5 million for the years ended December 31, 2019, 2018 and 2017, respectively. These amounts are reflected as a component of “Other, net” as presented on our Statements of Consolidated Equity.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Note 13 for additional information regarding our equity-based awards.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6" w:name="page187"/>
    <w:bookmarkEnd w:id="18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units issued in connection with employee compensation</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February 2019, 2018 and 2017, certain employees of EPCO received discretionary bonus payments, less any retirement plan deductions and applicable withholding taxes, for work performed on our behalf during the prior fiscal year (e.g., the bonus paid in February 2019 was with respect to the year ended December 31, 2018). The net dollar value of the bonus amounts was remitted to employees through the issuance of an equivalent value of newly issued EPD common units under EPCO’s 2008 Enterprise Products Long-Term Incentive Plan (Third Amendment and Restatement) (referred to as the “2008 Plan”).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2019, we issued 1,626,041 common units, which had a value of $45.6 million, in connection with the employee bonus awards. In February 2018, we issued 1,443,586 common units, which had a value of $39.1 million, in connection with the employee bonus awards. In February 2017, we issued 1,176,103 common units, which had a value of $33.7 million. The compensation expense associated with each bonus award was recognized during the year in which the work was performed.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units issued in connection with land acquisition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April 2018, we acquired land in the Houston, Texas area for $85.2 million. The consideration paid consisted of $55.2 million in cash with the balance funded by the issuance of 1,223,242 EPD common units.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At-the-Market (“ATM”) Program</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2017, we filed an amended registration statement with the SEC covering the issuance of up to $2.54 billion of our common units in amounts, at prices and on terms to be determined by market conditions and other factors at the time of such offerings in connection with our ATM program. Pursuant to this program, we may sell common units under an equity distribution agreement between EPD and certain broker-dealers from time-to-time by means of ordinary brokers’ transactions through the NYSE at market prices, in block transactions or as otherwise agreed to with the broker-dealer parties to the agreement.</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did not issue any common units under the ATM program during 2019 or 2018. During 2017, we issued 21,807,726 common units under the ATM program for aggregate gross cash proceeds of $603.1 million, resulting in total net cash proceeds of $597.0 million. After taking into account the aggregate sales price of common units sold under the ATM program through December 31, 2019, we have the capacity to issue additional common units under the ATM program up to an aggregate sales price of $2.54 billion.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Universal shelf registration statement</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have a universal shelf registration statement (the “2019 Shelf”) on file with the SEC which allows EPD and EPO (each on a standalone basis) to issue an unlimited amount of equity and debt securities, respectively. The 2019 Shelf replaced our prior universal shelf registration statement, which expired in May 2019. EPO used the 2019 Shelf to issue $2.5 billion aggregate principal amount of senior notes during the year ended December 31, 2019 (see Note 7). In addition, EPO used the 2019 Shelf to issue $3.0 billion aggregate principal amount of senior notes in January 2020 (see Note 22). We may issue additional equity and debt securities in the future to assist us in meeting our funding and liquidity requirements, including those related to capital investments.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Accumulated other comprehensive income (loss) primarily reflects cumulative gain or loss on derivative instruments designated and qualified as cash flow hedges from inception less gains or losses previously reclassified from accumulated other comprehensive income (loss) into earnings. Gain or loss amounts related to cash flow hedges recorded in accumulated other comprehensive income (loss) are reclassified to earnings in the same period(s) in which the underlying hedged forecasted transactions affect earnings. If it becomes probable that a forecasted transaction will not occur, the related net gain or loss in accumulated other comprehensive income (loss) is immediately reclassified into earnings.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7" w:name="page188"/>
    <w:bookmarkEnd w:id="18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present the components of accumulated other comprehensive income (loss) as reported on our Consolidated Balance Sheets at the dates indicated: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Cash Flow Hedges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5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6"/>
              </w:rPr>
              <w:t>Commodity</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68"/>
              <w:spacing w:after="0" w:line="126" w:lineRule="exact"/>
              <w:rPr>
                <w:sz w:val="20"/>
                <w:szCs w:val="20"/>
                <w:color w:val="auto"/>
              </w:rPr>
            </w:pPr>
            <w:r>
              <w:rPr>
                <w:rFonts w:ascii="Arial" w:cs="Arial" w:eastAsia="Arial" w:hAnsi="Arial"/>
                <w:sz w:val="14"/>
                <w:szCs w:val="14"/>
                <w:b w:val="1"/>
                <w:bCs w:val="1"/>
                <w:color w:val="auto"/>
                <w:w w:val="94"/>
              </w:rPr>
              <w:t>Interest Rate</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2"/>
                <w:szCs w:val="12"/>
                <w:color w:val="auto"/>
              </w:rPr>
            </w:pPr>
          </w:p>
        </w:tc>
        <w:tc>
          <w:tcPr>
            <w:tcW w:w="9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Other</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2"/>
              </w:rPr>
              <w:t>Instruments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Instruments</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Accumulated Other Comprehensive Income (Loss), December 31, 2017</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(165.1)</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(171.7)</w:t>
            </w:r>
          </w:p>
        </w:tc>
        <w:tc>
          <w:tcPr>
            <w:tcW w:w="0" w:type="dxa"/>
            <w:vAlign w:val="bottom"/>
          </w:tcPr>
          <w:p>
            <w:pPr>
              <w:spacing w:after="0"/>
              <w:rPr>
                <w:sz w:val="1"/>
                <w:szCs w:val="1"/>
                <w:color w:val="auto"/>
              </w:rPr>
            </w:pPr>
          </w:p>
        </w:tc>
      </w:tr>
      <w:tr>
        <w:trPr>
          <w:trHeight w:val="216"/>
        </w:trPr>
        <w:tc>
          <w:tcPr>
            <w:tcW w:w="5220" w:type="dxa"/>
            <w:vAlign w:val="bottom"/>
          </w:tcPr>
          <w:p>
            <w:pPr>
              <w:ind w:left="80"/>
              <w:spacing w:after="0"/>
              <w:rPr>
                <w:sz w:val="20"/>
                <w:szCs w:val="20"/>
                <w:color w:val="auto"/>
              </w:rPr>
            </w:pPr>
            <w:r>
              <w:rPr>
                <w:rFonts w:ascii="Arial" w:cs="Arial" w:eastAsia="Arial" w:hAnsi="Arial"/>
                <w:sz w:val="14"/>
                <w:szCs w:val="14"/>
                <w:color w:val="auto"/>
              </w:rPr>
              <w:t>Other comprehensive income (loss) for period, before reclassifications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22.2</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314.9</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Reclassification of losses (gains) to net income during period</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(92.3)</w:t>
            </w:r>
          </w:p>
        </w:tc>
        <w:tc>
          <w:tcPr>
            <w:tcW w:w="0" w:type="dxa"/>
            <w:vAlign w:val="bottom"/>
          </w:tcPr>
          <w:p>
            <w:pPr>
              <w:spacing w:after="0"/>
              <w:rPr>
                <w:sz w:val="1"/>
                <w:szCs w:val="1"/>
                <w:color w:val="auto"/>
              </w:rPr>
            </w:pPr>
          </w:p>
        </w:tc>
      </w:tr>
      <w:tr>
        <w:trPr>
          <w:trHeight w:val="27"/>
        </w:trPr>
        <w:tc>
          <w:tcPr>
            <w:tcW w:w="5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4"/>
                <w:szCs w:val="14"/>
                <w:color w:val="auto"/>
              </w:rPr>
              <w:t>Total other comprehensive income (loss) for period</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222.6</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Accumulated Other Comprehensive Income (Loss), December 31, 2018</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(104.8)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216"/>
        </w:trPr>
        <w:tc>
          <w:tcPr>
            <w:tcW w:w="5220" w:type="dxa"/>
            <w:vAlign w:val="bottom"/>
          </w:tcPr>
          <w:p>
            <w:pPr>
              <w:ind w:left="80"/>
              <w:spacing w:after="0"/>
              <w:rPr>
                <w:sz w:val="20"/>
                <w:szCs w:val="20"/>
                <w:color w:val="auto"/>
              </w:rPr>
            </w:pPr>
            <w:r>
              <w:rPr>
                <w:rFonts w:ascii="Arial" w:cs="Arial" w:eastAsia="Arial" w:hAnsi="Arial"/>
                <w:sz w:val="14"/>
                <w:szCs w:val="14"/>
                <w:color w:val="auto"/>
              </w:rPr>
              <w:t>Other comprehensive income (loss) for period, before reclassifications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81.4</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124.9</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Reclassification of losses (gains) to net income during period</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37.3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(104.4)</w:t>
            </w:r>
          </w:p>
        </w:tc>
        <w:tc>
          <w:tcPr>
            <w:tcW w:w="0" w:type="dxa"/>
            <w:vAlign w:val="bottom"/>
          </w:tcPr>
          <w:p>
            <w:pPr>
              <w:spacing w:after="0"/>
              <w:rPr>
                <w:sz w:val="1"/>
                <w:szCs w:val="1"/>
                <w:color w:val="auto"/>
              </w:rPr>
            </w:pPr>
          </w:p>
        </w:tc>
      </w:tr>
      <w:tr>
        <w:trPr>
          <w:trHeight w:val="27"/>
        </w:trPr>
        <w:tc>
          <w:tcPr>
            <w:tcW w:w="5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4"/>
                <w:szCs w:val="14"/>
                <w:color w:val="auto"/>
              </w:rPr>
              <w:t>Total other comprehensive income (loss) for period</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(97.6)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118.7</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Accumulated Other Comprehensive Income (Loss), December 31, 2019</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1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13.9</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presents reclassifications of (income) loss out of accumulated other comprehensive income (loss) into net income during the years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right"/>
              <w:ind w:right="128"/>
              <w:spacing w:after="0"/>
              <w:rPr>
                <w:sz w:val="20"/>
                <w:szCs w:val="20"/>
                <w:color w:val="auto"/>
              </w:rPr>
            </w:pPr>
            <w:r>
              <w:rPr>
                <w:rFonts w:ascii="Arial" w:cs="Arial" w:eastAsia="Arial" w:hAnsi="Arial"/>
                <w:sz w:val="14"/>
                <w:szCs w:val="14"/>
                <w:b w:val="1"/>
                <w:bCs w:val="1"/>
                <w:color w:val="auto"/>
                <w:w w:val="95"/>
              </w:rPr>
              <w:t>For the Year Ended December 31,</w:t>
            </w:r>
          </w:p>
        </w:tc>
        <w:tc>
          <w:tcPr>
            <w:tcW w:w="100" w:type="dxa"/>
            <w:vAlign w:val="bottom"/>
          </w:tcPr>
          <w:p>
            <w:pPr>
              <w:spacing w:after="0"/>
              <w:rPr>
                <w:sz w:val="15"/>
                <w:szCs w:val="15"/>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4"/>
                <w:szCs w:val="14"/>
                <w:b w:val="1"/>
                <w:bCs w:val="1"/>
                <w:color w:val="auto"/>
              </w:rPr>
              <w:t>Losses (gains) on cash flow hedges:</w:t>
            </w:r>
          </w:p>
        </w:tc>
        <w:tc>
          <w:tcPr>
            <w:tcW w:w="18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derivatives</w:t>
            </w:r>
          </w:p>
        </w:tc>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2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37.3</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38.1</w:t>
            </w:r>
          </w:p>
        </w:tc>
      </w:tr>
      <w:tr>
        <w:trPr>
          <w:trHeight w:val="216"/>
        </w:trPr>
        <w:tc>
          <w:tcPr>
            <w:tcW w:w="4360" w:type="dxa"/>
            <w:vAlign w:val="bottom"/>
          </w:tcPr>
          <w:p>
            <w:pPr>
              <w:ind w:left="180"/>
              <w:spacing w:after="0"/>
              <w:rPr>
                <w:sz w:val="20"/>
                <w:szCs w:val="20"/>
                <w:color w:val="auto"/>
              </w:rPr>
            </w:pPr>
            <w:r>
              <w:rPr>
                <w:rFonts w:ascii="Arial" w:cs="Arial" w:eastAsia="Arial" w:hAnsi="Arial"/>
                <w:sz w:val="14"/>
                <w:szCs w:val="14"/>
                <w:color w:val="auto"/>
              </w:rPr>
              <w:t>Commodity derivatives</w:t>
            </w:r>
          </w:p>
        </w:tc>
        <w:tc>
          <w:tcPr>
            <w:tcW w:w="1800" w:type="dxa"/>
            <w:vAlign w:val="bottom"/>
          </w:tcPr>
          <w:p>
            <w:pPr>
              <w:spacing w:after="0"/>
              <w:rPr>
                <w:sz w:val="20"/>
                <w:szCs w:val="20"/>
                <w:color w:val="auto"/>
              </w:rPr>
            </w:pPr>
            <w:r>
              <w:rPr>
                <w:rFonts w:ascii="Arial" w:cs="Arial" w:eastAsia="Arial" w:hAnsi="Arial"/>
                <w:sz w:val="14"/>
                <w:szCs w:val="14"/>
                <w:color w:val="auto"/>
              </w:rPr>
              <w:t>Revenue</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(152.4)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(131.7)</w:t>
            </w: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Commodity derivatives</w:t>
            </w:r>
          </w:p>
        </w:tc>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w w:val="94"/>
              </w:rPr>
              <w:t>Operating costs and expenses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w:t>
            </w:r>
          </w:p>
        </w:tc>
      </w:tr>
      <w:tr>
        <w:trPr>
          <w:trHeight w:val="27"/>
        </w:trPr>
        <w:tc>
          <w:tcPr>
            <w:tcW w:w="43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360" w:type="dxa"/>
            <w:vAlign w:val="bottom"/>
          </w:tcPr>
          <w:p>
            <w:pPr>
              <w:ind w:left="340"/>
              <w:spacing w:after="0"/>
              <w:rPr>
                <w:sz w:val="20"/>
                <w:szCs w:val="20"/>
                <w:color w:val="auto"/>
              </w:rPr>
            </w:pPr>
            <w:r>
              <w:rPr>
                <w:rFonts w:ascii="Arial" w:cs="Arial" w:eastAsia="Arial" w:hAnsi="Arial"/>
                <w:sz w:val="14"/>
                <w:szCs w:val="14"/>
                <w:color w:val="auto"/>
              </w:rPr>
              <w:t>Total</w:t>
            </w:r>
          </w:p>
        </w:tc>
        <w:tc>
          <w:tcPr>
            <w:tcW w:w="1800" w:type="dxa"/>
            <w:vAlign w:val="bottom"/>
          </w:tcPr>
          <w:p>
            <w:pPr>
              <w:spacing w:after="0"/>
              <w:rPr>
                <w:sz w:val="18"/>
                <w:szCs w:val="18"/>
                <w:color w:val="auto"/>
              </w:rPr>
            </w:pPr>
          </w:p>
        </w:tc>
        <w:tc>
          <w:tcPr>
            <w:tcW w:w="266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(104.4)</w:t>
            </w: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(92.3)</w:t>
            </w:r>
          </w:p>
        </w:tc>
      </w:tr>
      <w:tr>
        <w:trPr>
          <w:trHeight w:val="21"/>
        </w:trPr>
        <w:tc>
          <w:tcPr>
            <w:tcW w:w="4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our interest rate and commodity derivative instruments, see Note 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interests represent third party ownership interests in our consolidated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Breviloba LLC</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July 2019, Altus Midstream Processing LP acquired a noncontrolling 33% equity interest in our consolidated subsidiary, Breviloba LLC, that owns the Shin Oak NGL Pipeline for $440.7 million in cash.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Pascagoula Gas Processing LLC</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June 2019, an affiliate of Third Coast Midstream, LLC acquired a noncontrolling 25% equity interest in our consolidated subsidiary, Pascagoula Gas Processing LLC, that owns the Pascagoula natural gas processing plant for $36.0 million in cash.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Baymark Pipeline LLC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 May 2019, we formed a new business venture with Lavaca Pipe Line Company (“Lavaca”) to construct and own an ethylene pipeline in South Texas.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Lavaca holds a noncontrolling 30% equity interest in Baymark Pipeline LLC, which owns the pipeline.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Whitethorn Pipeline Company LLC</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June 2018, an affiliate of Western Gas Partners, LP acquired a noncontrolling 20% equity interest in our subsidiary, Whitethorn Pipeline Company LLC (“Whitethorn”), for $189.6 million in cash. Whitethorn owns the majority of our Midland-to-ECHO 1 pipeline.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Enterprise Navigator Ethylene Terminal LLC</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2018, we formed a new business venture with Navigator Ethylene Terminals LLC (“Navigator”) to construct and own an ethylene export terminal, which is located at Morgan’s Point on the Houston Ship Channel. Navigator holds a noncontrolling 50% equity interest in Enterprise Navigator Ethylene Terminal LLC, which owns the export facility.</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88" w:name="page189"/>
    <w:bookmarkEnd w:id="1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Enterprise’s declared quarterly cash distribution rates per common unit with respect to the quarter indicated. Actual cash distributions are paid by Enterprise within 45 days after the end of each fiscal quarter.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Distribution Per</w:t>
            </w: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1"/>
              </w:rPr>
              <w:t>Record</w:t>
            </w: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2"/>
              </w:rPr>
              <w:t>Payment</w:t>
            </w:r>
          </w:p>
        </w:tc>
      </w:tr>
      <w:tr>
        <w:trPr>
          <w:trHeight w:val="178"/>
        </w:trPr>
        <w:tc>
          <w:tcPr>
            <w:tcW w:w="2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Common Unit</w:t>
            </w: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16"/>
        </w:trPr>
        <w:tc>
          <w:tcPr>
            <w:tcW w:w="2180" w:type="dxa"/>
            <w:vAlign w:val="bottom"/>
          </w:tcPr>
          <w:p>
            <w:pPr>
              <w:spacing w:after="0"/>
              <w:rPr>
                <w:sz w:val="20"/>
                <w:szCs w:val="20"/>
                <w:color w:val="auto"/>
              </w:rPr>
            </w:pPr>
            <w:r>
              <w:rPr>
                <w:rFonts w:ascii="Arial" w:cs="Arial" w:eastAsia="Arial" w:hAnsi="Arial"/>
                <w:sz w:val="14"/>
                <w:szCs w:val="14"/>
                <w:b w:val="1"/>
                <w:bCs w:val="1"/>
                <w:color w:val="auto"/>
              </w:rPr>
              <w:t>2017:</w:t>
            </w:r>
          </w:p>
        </w:tc>
        <w:tc>
          <w:tcPr>
            <w:tcW w:w="1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Borders>
              <w:top w:val="single" w:sz="8" w:color="auto"/>
            </w:tcBorders>
          </w:tcPr>
          <w:p>
            <w:pPr>
              <w:spacing w:after="0"/>
              <w:rPr>
                <w:sz w:val="18"/>
                <w:szCs w:val="18"/>
                <w:color w:val="auto"/>
              </w:rPr>
            </w:pPr>
          </w:p>
        </w:tc>
        <w:tc>
          <w:tcPr>
            <w:tcW w:w="3340" w:type="dxa"/>
            <w:vAlign w:val="bottom"/>
            <w:tcBorders>
              <w:top w:val="single" w:sz="8" w:color="auto"/>
            </w:tcBorders>
          </w:tcPr>
          <w:p>
            <w:pPr>
              <w:spacing w:after="0"/>
              <w:rPr>
                <w:sz w:val="18"/>
                <w:szCs w:val="18"/>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1st Quarter</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0.4150</w:t>
            </w:r>
          </w:p>
        </w:tc>
        <w:tc>
          <w:tcPr>
            <w:tcW w:w="3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4/28/2017</w:t>
            </w:r>
          </w:p>
        </w:tc>
        <w:tc>
          <w:tcPr>
            <w:tcW w:w="3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5/8/2017</w:t>
            </w:r>
          </w:p>
        </w:tc>
      </w:tr>
      <w:tr>
        <w:trPr>
          <w:trHeight w:val="216"/>
        </w:trPr>
        <w:tc>
          <w:tcPr>
            <w:tcW w:w="2180" w:type="dxa"/>
            <w:vAlign w:val="bottom"/>
          </w:tcPr>
          <w:p>
            <w:pPr>
              <w:ind w:left="180"/>
              <w:spacing w:after="0"/>
              <w:rPr>
                <w:sz w:val="20"/>
                <w:szCs w:val="20"/>
                <w:color w:val="auto"/>
              </w:rPr>
            </w:pPr>
            <w:r>
              <w:rPr>
                <w:rFonts w:ascii="Arial" w:cs="Arial" w:eastAsia="Arial" w:hAnsi="Arial"/>
                <w:sz w:val="14"/>
                <w:szCs w:val="14"/>
                <w:color w:val="auto"/>
              </w:rPr>
              <w:t>2nd Quarter</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0.4200</w:t>
            </w:r>
          </w:p>
        </w:tc>
        <w:tc>
          <w:tcPr>
            <w:tcW w:w="3340" w:type="dxa"/>
            <w:vAlign w:val="bottom"/>
          </w:tcPr>
          <w:p>
            <w:pPr>
              <w:jc w:val="center"/>
              <w:spacing w:after="0"/>
              <w:rPr>
                <w:sz w:val="20"/>
                <w:szCs w:val="20"/>
                <w:color w:val="auto"/>
              </w:rPr>
            </w:pPr>
            <w:r>
              <w:rPr>
                <w:rFonts w:ascii="Arial" w:cs="Arial" w:eastAsia="Arial" w:hAnsi="Arial"/>
                <w:sz w:val="14"/>
                <w:szCs w:val="14"/>
                <w:color w:val="auto"/>
                <w:w w:val="93"/>
              </w:rPr>
              <w:t>7/31/2017</w:t>
            </w:r>
          </w:p>
        </w:tc>
        <w:tc>
          <w:tcPr>
            <w:tcW w:w="3340" w:type="dxa"/>
            <w:vAlign w:val="bottom"/>
          </w:tcPr>
          <w:p>
            <w:pPr>
              <w:jc w:val="center"/>
              <w:spacing w:after="0"/>
              <w:rPr>
                <w:sz w:val="20"/>
                <w:szCs w:val="20"/>
                <w:color w:val="auto"/>
              </w:rPr>
            </w:pPr>
            <w:r>
              <w:rPr>
                <w:rFonts w:ascii="Arial" w:cs="Arial" w:eastAsia="Arial" w:hAnsi="Arial"/>
                <w:sz w:val="14"/>
                <w:szCs w:val="14"/>
                <w:color w:val="auto"/>
                <w:w w:val="91"/>
              </w:rPr>
              <w:t>8/7/2017</w:t>
            </w: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3rd Quarter</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0.4225</w:t>
            </w:r>
          </w:p>
        </w:tc>
        <w:tc>
          <w:tcPr>
            <w:tcW w:w="3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10/31/2017</w:t>
            </w:r>
          </w:p>
        </w:tc>
        <w:tc>
          <w:tcPr>
            <w:tcW w:w="3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11/7/2017</w:t>
            </w:r>
          </w:p>
        </w:tc>
      </w:tr>
      <w:tr>
        <w:trPr>
          <w:trHeight w:val="216"/>
        </w:trPr>
        <w:tc>
          <w:tcPr>
            <w:tcW w:w="2180" w:type="dxa"/>
            <w:vAlign w:val="bottom"/>
          </w:tcPr>
          <w:p>
            <w:pPr>
              <w:ind w:left="180"/>
              <w:spacing w:after="0"/>
              <w:rPr>
                <w:sz w:val="20"/>
                <w:szCs w:val="20"/>
                <w:color w:val="auto"/>
              </w:rPr>
            </w:pPr>
            <w:r>
              <w:rPr>
                <w:rFonts w:ascii="Arial" w:cs="Arial" w:eastAsia="Arial" w:hAnsi="Arial"/>
                <w:sz w:val="14"/>
                <w:szCs w:val="14"/>
                <w:color w:val="auto"/>
              </w:rPr>
              <w:t>4th Quarter</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0.4250</w:t>
            </w:r>
          </w:p>
        </w:tc>
        <w:tc>
          <w:tcPr>
            <w:tcW w:w="3340" w:type="dxa"/>
            <w:vAlign w:val="bottom"/>
          </w:tcPr>
          <w:p>
            <w:pPr>
              <w:jc w:val="center"/>
              <w:spacing w:after="0"/>
              <w:rPr>
                <w:sz w:val="20"/>
                <w:szCs w:val="20"/>
                <w:color w:val="auto"/>
              </w:rPr>
            </w:pPr>
            <w:r>
              <w:rPr>
                <w:rFonts w:ascii="Arial" w:cs="Arial" w:eastAsia="Arial" w:hAnsi="Arial"/>
                <w:sz w:val="14"/>
                <w:szCs w:val="14"/>
                <w:color w:val="auto"/>
                <w:w w:val="93"/>
              </w:rPr>
              <w:t>1/31/2018</w:t>
            </w:r>
          </w:p>
        </w:tc>
        <w:tc>
          <w:tcPr>
            <w:tcW w:w="3340" w:type="dxa"/>
            <w:vAlign w:val="bottom"/>
          </w:tcPr>
          <w:p>
            <w:pPr>
              <w:jc w:val="center"/>
              <w:spacing w:after="0"/>
              <w:rPr>
                <w:sz w:val="20"/>
                <w:szCs w:val="20"/>
                <w:color w:val="auto"/>
              </w:rPr>
            </w:pPr>
            <w:r>
              <w:rPr>
                <w:rFonts w:ascii="Arial" w:cs="Arial" w:eastAsia="Arial" w:hAnsi="Arial"/>
                <w:sz w:val="14"/>
                <w:szCs w:val="14"/>
                <w:color w:val="auto"/>
                <w:w w:val="91"/>
              </w:rPr>
              <w:t>2/7/2018</w:t>
            </w: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2018:</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4"/>
                <w:szCs w:val="14"/>
                <w:color w:val="auto"/>
              </w:rPr>
              <w:t>1st Quarter</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0.4275</w:t>
            </w:r>
          </w:p>
        </w:tc>
        <w:tc>
          <w:tcPr>
            <w:tcW w:w="3340" w:type="dxa"/>
            <w:vAlign w:val="bottom"/>
          </w:tcPr>
          <w:p>
            <w:pPr>
              <w:jc w:val="center"/>
              <w:spacing w:after="0"/>
              <w:rPr>
                <w:sz w:val="20"/>
                <w:szCs w:val="20"/>
                <w:color w:val="auto"/>
              </w:rPr>
            </w:pPr>
            <w:r>
              <w:rPr>
                <w:rFonts w:ascii="Arial" w:cs="Arial" w:eastAsia="Arial" w:hAnsi="Arial"/>
                <w:sz w:val="14"/>
                <w:szCs w:val="14"/>
                <w:color w:val="auto"/>
                <w:w w:val="93"/>
              </w:rPr>
              <w:t>4/30/2018</w:t>
            </w:r>
          </w:p>
        </w:tc>
        <w:tc>
          <w:tcPr>
            <w:tcW w:w="3340" w:type="dxa"/>
            <w:vAlign w:val="bottom"/>
          </w:tcPr>
          <w:p>
            <w:pPr>
              <w:jc w:val="center"/>
              <w:spacing w:after="0"/>
              <w:rPr>
                <w:sz w:val="20"/>
                <w:szCs w:val="20"/>
                <w:color w:val="auto"/>
              </w:rPr>
            </w:pPr>
            <w:r>
              <w:rPr>
                <w:rFonts w:ascii="Arial" w:cs="Arial" w:eastAsia="Arial" w:hAnsi="Arial"/>
                <w:sz w:val="14"/>
                <w:szCs w:val="14"/>
                <w:color w:val="auto"/>
                <w:w w:val="91"/>
              </w:rPr>
              <w:t>5/8/2018</w:t>
            </w: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2nd Quarter</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0.4300</w:t>
            </w:r>
          </w:p>
        </w:tc>
        <w:tc>
          <w:tcPr>
            <w:tcW w:w="3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7/31/2018</w:t>
            </w:r>
          </w:p>
        </w:tc>
        <w:tc>
          <w:tcPr>
            <w:tcW w:w="3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8/8/2018</w:t>
            </w:r>
          </w:p>
        </w:tc>
      </w:tr>
      <w:tr>
        <w:trPr>
          <w:trHeight w:val="216"/>
        </w:trPr>
        <w:tc>
          <w:tcPr>
            <w:tcW w:w="2180" w:type="dxa"/>
            <w:vAlign w:val="bottom"/>
          </w:tcPr>
          <w:p>
            <w:pPr>
              <w:ind w:left="180"/>
              <w:spacing w:after="0"/>
              <w:rPr>
                <w:sz w:val="20"/>
                <w:szCs w:val="20"/>
                <w:color w:val="auto"/>
              </w:rPr>
            </w:pPr>
            <w:r>
              <w:rPr>
                <w:rFonts w:ascii="Arial" w:cs="Arial" w:eastAsia="Arial" w:hAnsi="Arial"/>
                <w:sz w:val="14"/>
                <w:szCs w:val="14"/>
                <w:color w:val="auto"/>
              </w:rPr>
              <w:t>3rd Quarter</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0.4325</w:t>
            </w:r>
          </w:p>
        </w:tc>
        <w:tc>
          <w:tcPr>
            <w:tcW w:w="3340" w:type="dxa"/>
            <w:vAlign w:val="bottom"/>
          </w:tcPr>
          <w:p>
            <w:pPr>
              <w:jc w:val="center"/>
              <w:spacing w:after="0"/>
              <w:rPr>
                <w:sz w:val="20"/>
                <w:szCs w:val="20"/>
                <w:color w:val="auto"/>
              </w:rPr>
            </w:pPr>
            <w:r>
              <w:rPr>
                <w:rFonts w:ascii="Arial" w:cs="Arial" w:eastAsia="Arial" w:hAnsi="Arial"/>
                <w:sz w:val="14"/>
                <w:szCs w:val="14"/>
                <w:color w:val="auto"/>
                <w:w w:val="94"/>
              </w:rPr>
              <w:t>10/31/2018</w:t>
            </w:r>
          </w:p>
        </w:tc>
        <w:tc>
          <w:tcPr>
            <w:tcW w:w="3340" w:type="dxa"/>
            <w:vAlign w:val="bottom"/>
          </w:tcPr>
          <w:p>
            <w:pPr>
              <w:jc w:val="center"/>
              <w:spacing w:after="0"/>
              <w:rPr>
                <w:sz w:val="20"/>
                <w:szCs w:val="20"/>
                <w:color w:val="auto"/>
              </w:rPr>
            </w:pPr>
            <w:r>
              <w:rPr>
                <w:rFonts w:ascii="Arial" w:cs="Arial" w:eastAsia="Arial" w:hAnsi="Arial"/>
                <w:sz w:val="14"/>
                <w:szCs w:val="14"/>
                <w:color w:val="auto"/>
                <w:w w:val="93"/>
              </w:rPr>
              <w:t>11/8/2018</w:t>
            </w: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4th Quarter</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0.4350</w:t>
            </w:r>
          </w:p>
        </w:tc>
        <w:tc>
          <w:tcPr>
            <w:tcW w:w="3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1/31/2019</w:t>
            </w:r>
          </w:p>
        </w:tc>
        <w:tc>
          <w:tcPr>
            <w:tcW w:w="3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2/8/2019</w:t>
            </w:r>
          </w:p>
        </w:tc>
      </w:tr>
      <w:tr>
        <w:trPr>
          <w:trHeight w:val="216"/>
        </w:trPr>
        <w:tc>
          <w:tcPr>
            <w:tcW w:w="2180" w:type="dxa"/>
            <w:vAlign w:val="bottom"/>
          </w:tcPr>
          <w:p>
            <w:pPr>
              <w:spacing w:after="0"/>
              <w:rPr>
                <w:sz w:val="20"/>
                <w:szCs w:val="20"/>
                <w:color w:val="auto"/>
              </w:rPr>
            </w:pPr>
            <w:r>
              <w:rPr>
                <w:rFonts w:ascii="Arial" w:cs="Arial" w:eastAsia="Arial" w:hAnsi="Arial"/>
                <w:sz w:val="14"/>
                <w:szCs w:val="14"/>
                <w:b w:val="1"/>
                <w:bCs w:val="1"/>
                <w:color w:val="auto"/>
              </w:rPr>
              <w:t>2019:</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1st Quarter</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0.4375</w:t>
            </w:r>
          </w:p>
        </w:tc>
        <w:tc>
          <w:tcPr>
            <w:tcW w:w="3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4/30/2019</w:t>
            </w:r>
          </w:p>
        </w:tc>
        <w:tc>
          <w:tcPr>
            <w:tcW w:w="3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5/13/2019</w:t>
            </w:r>
          </w:p>
        </w:tc>
      </w:tr>
      <w:tr>
        <w:trPr>
          <w:trHeight w:val="216"/>
        </w:trPr>
        <w:tc>
          <w:tcPr>
            <w:tcW w:w="2180" w:type="dxa"/>
            <w:vAlign w:val="bottom"/>
          </w:tcPr>
          <w:p>
            <w:pPr>
              <w:ind w:left="180"/>
              <w:spacing w:after="0"/>
              <w:rPr>
                <w:sz w:val="20"/>
                <w:szCs w:val="20"/>
                <w:color w:val="auto"/>
              </w:rPr>
            </w:pPr>
            <w:r>
              <w:rPr>
                <w:rFonts w:ascii="Arial" w:cs="Arial" w:eastAsia="Arial" w:hAnsi="Arial"/>
                <w:sz w:val="14"/>
                <w:szCs w:val="14"/>
                <w:color w:val="auto"/>
              </w:rPr>
              <w:t>2nd Quarter</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0.4400</w:t>
            </w:r>
          </w:p>
        </w:tc>
        <w:tc>
          <w:tcPr>
            <w:tcW w:w="3340" w:type="dxa"/>
            <w:vAlign w:val="bottom"/>
          </w:tcPr>
          <w:p>
            <w:pPr>
              <w:jc w:val="center"/>
              <w:spacing w:after="0"/>
              <w:rPr>
                <w:sz w:val="20"/>
                <w:szCs w:val="20"/>
                <w:color w:val="auto"/>
              </w:rPr>
            </w:pPr>
            <w:r>
              <w:rPr>
                <w:rFonts w:ascii="Arial" w:cs="Arial" w:eastAsia="Arial" w:hAnsi="Arial"/>
                <w:sz w:val="14"/>
                <w:szCs w:val="14"/>
                <w:color w:val="auto"/>
                <w:w w:val="93"/>
              </w:rPr>
              <w:t>7/31/2019</w:t>
            </w:r>
          </w:p>
        </w:tc>
        <w:tc>
          <w:tcPr>
            <w:tcW w:w="3340" w:type="dxa"/>
            <w:vAlign w:val="bottom"/>
          </w:tcPr>
          <w:p>
            <w:pPr>
              <w:jc w:val="center"/>
              <w:spacing w:after="0"/>
              <w:rPr>
                <w:sz w:val="20"/>
                <w:szCs w:val="20"/>
                <w:color w:val="auto"/>
              </w:rPr>
            </w:pPr>
            <w:r>
              <w:rPr>
                <w:rFonts w:ascii="Arial" w:cs="Arial" w:eastAsia="Arial" w:hAnsi="Arial"/>
                <w:sz w:val="14"/>
                <w:szCs w:val="14"/>
                <w:color w:val="auto"/>
                <w:w w:val="93"/>
              </w:rPr>
              <w:t>8/13/2019</w:t>
            </w: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3rd Quarter</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0.4425</w:t>
            </w:r>
          </w:p>
        </w:tc>
        <w:tc>
          <w:tcPr>
            <w:tcW w:w="3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10/31/2019</w:t>
            </w:r>
          </w:p>
        </w:tc>
        <w:tc>
          <w:tcPr>
            <w:tcW w:w="3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11/12/2019</w:t>
            </w:r>
          </w:p>
        </w:tc>
      </w:tr>
      <w:tr>
        <w:trPr>
          <w:trHeight w:val="231"/>
        </w:trPr>
        <w:tc>
          <w:tcPr>
            <w:tcW w:w="2180" w:type="dxa"/>
            <w:vAlign w:val="bottom"/>
          </w:tcPr>
          <w:p>
            <w:pPr>
              <w:ind w:left="180"/>
              <w:spacing w:after="0"/>
              <w:rPr>
                <w:sz w:val="20"/>
                <w:szCs w:val="20"/>
                <w:color w:val="auto"/>
              </w:rPr>
            </w:pPr>
            <w:r>
              <w:rPr>
                <w:rFonts w:ascii="Arial" w:cs="Arial" w:eastAsia="Arial" w:hAnsi="Arial"/>
                <w:sz w:val="14"/>
                <w:szCs w:val="14"/>
                <w:color w:val="auto"/>
              </w:rPr>
              <w:t>4th Quarter</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0.4450</w:t>
            </w:r>
          </w:p>
        </w:tc>
        <w:tc>
          <w:tcPr>
            <w:tcW w:w="3340" w:type="dxa"/>
            <w:vAlign w:val="bottom"/>
          </w:tcPr>
          <w:p>
            <w:pPr>
              <w:jc w:val="center"/>
              <w:spacing w:after="0"/>
              <w:rPr>
                <w:sz w:val="20"/>
                <w:szCs w:val="20"/>
                <w:color w:val="auto"/>
              </w:rPr>
            </w:pPr>
            <w:r>
              <w:rPr>
                <w:rFonts w:ascii="Arial" w:cs="Arial" w:eastAsia="Arial" w:hAnsi="Arial"/>
                <w:sz w:val="14"/>
                <w:szCs w:val="14"/>
                <w:color w:val="auto"/>
                <w:w w:val="93"/>
              </w:rPr>
              <w:t>1/31/2020</w:t>
            </w:r>
          </w:p>
        </w:tc>
        <w:tc>
          <w:tcPr>
            <w:tcW w:w="3340" w:type="dxa"/>
            <w:vAlign w:val="bottom"/>
          </w:tcPr>
          <w:p>
            <w:pPr>
              <w:jc w:val="center"/>
              <w:spacing w:after="0"/>
              <w:rPr>
                <w:sz w:val="20"/>
                <w:szCs w:val="20"/>
                <w:color w:val="auto"/>
              </w:rPr>
            </w:pPr>
            <w:r>
              <w:rPr>
                <w:rFonts w:ascii="Arial" w:cs="Arial" w:eastAsia="Arial" w:hAnsi="Arial"/>
                <w:sz w:val="14"/>
                <w:szCs w:val="14"/>
                <w:color w:val="auto"/>
                <w:w w:val="93"/>
              </w:rPr>
              <w:t>2/12/2020</w:t>
            </w:r>
          </w:p>
        </w:tc>
      </w:tr>
    </w:tbl>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2020, based on current expectations, management announced its plans to continue to recommend to the Board an increase of $0.0025 per unit per quarter to our cash distribution rate with respect to 2020. The anticipated rate of increase would result in distributions for 2020 (of $1.8050 per unit) being 2.3% higher than those paid for 2019 (of $1.7650 per unit). The payment of any quarterly cash distribution is subject to Board approval and management’s evaluation of our financial condition, results of operations and cash flows in connection with such payment.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9" w:name="page190"/>
    <w:bookmarkEnd w:id="1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Revenues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classify our revenues into sales of products and midstream services. Product sales relate primarily to our various marketing activities whereas midstream services represent our other integrated businesses (i.e., gathering, processing, transportation, fractionation, storage and terminaling). The following table presents our revenues by business segment, and further by revenue type, for the years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For the Year Ended December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4"/>
                <w:szCs w:val="14"/>
                <w:color w:val="auto"/>
              </w:rPr>
              <w:t>(1)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4"/>
                <w:szCs w:val="14"/>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9"/>
              </w:rPr>
              <w:t xml:space="preserve">2017 </w:t>
            </w:r>
            <w:r>
              <w:rPr>
                <w:rFonts w:ascii="Arial" w:cs="Arial" w:eastAsia="Arial" w:hAnsi="Arial"/>
                <w:sz w:val="14"/>
                <w:szCs w:val="14"/>
                <w:color w:val="auto"/>
                <w:w w:val="99"/>
              </w:rPr>
              <w:t>(2)</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4"/>
                <w:szCs w:val="14"/>
                <w:b w:val="1"/>
                <w:bCs w:val="1"/>
                <w:color w:val="auto"/>
              </w:rPr>
              <w:t>NGL Pipelines &amp; Services: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of NGLs and related products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12,920.9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10,521.3</w:t>
            </w: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Segment midstream services: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Natural gas processing and fractionation</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719.1</w:t>
            </w:r>
          </w:p>
        </w:tc>
      </w:tr>
      <w:tr>
        <w:trPr>
          <w:trHeight w:val="216"/>
        </w:trPr>
        <w:tc>
          <w:tcPr>
            <w:tcW w:w="7440" w:type="dxa"/>
            <w:vAlign w:val="bottom"/>
          </w:tcPr>
          <w:p>
            <w:pPr>
              <w:ind w:left="340"/>
              <w:spacing w:after="0"/>
              <w:rPr>
                <w:sz w:val="20"/>
                <w:szCs w:val="20"/>
                <w:color w:val="auto"/>
              </w:rPr>
            </w:pPr>
            <w:r>
              <w:rPr>
                <w:rFonts w:ascii="Arial" w:cs="Arial" w:eastAsia="Arial" w:hAnsi="Arial"/>
                <w:sz w:val="14"/>
                <w:szCs w:val="14"/>
                <w:color w:val="auto"/>
              </w:rPr>
              <w:t>Transportation</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1,054.3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1,007.0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891.7</w:t>
            </w:r>
          </w:p>
        </w:tc>
      </w:tr>
      <w:tr>
        <w:trPr>
          <w:trHeight w:val="216"/>
        </w:trPr>
        <w:tc>
          <w:tcPr>
            <w:tcW w:w="7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Storage and terminals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335.9</w:t>
            </w:r>
          </w:p>
        </w:tc>
      </w:tr>
      <w:tr>
        <w:trPr>
          <w:trHeight w:val="27"/>
        </w:trPr>
        <w:tc>
          <w:tcPr>
            <w:tcW w:w="74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4"/>
                <w:szCs w:val="14"/>
                <w:color w:val="auto"/>
              </w:rPr>
              <w:t>Total segment midstream services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2,536.4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2,728.0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1,946.7</w:t>
            </w:r>
          </w:p>
        </w:tc>
      </w:tr>
      <w:tr>
        <w:trPr>
          <w:trHeight w:val="27"/>
        </w:trPr>
        <w:tc>
          <w:tcPr>
            <w:tcW w:w="7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NGL Pipelines &amp; Services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13,470.7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15,648.9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12,468.0</w:t>
            </w:r>
          </w:p>
        </w:tc>
      </w:tr>
      <w:tr>
        <w:trPr>
          <w:trHeight w:val="216"/>
        </w:trPr>
        <w:tc>
          <w:tcPr>
            <w:tcW w:w="744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Crude Oil Pipelines &amp; Services: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of crude oil</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9,007.8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7,365.2</w:t>
            </w: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Segment midstream services: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Transportation</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473.9</w:t>
            </w:r>
          </w:p>
        </w:tc>
      </w:tr>
      <w:tr>
        <w:trPr>
          <w:trHeight w:val="216"/>
        </w:trPr>
        <w:tc>
          <w:tcPr>
            <w:tcW w:w="7440" w:type="dxa"/>
            <w:vAlign w:val="bottom"/>
          </w:tcPr>
          <w:p>
            <w:pPr>
              <w:ind w:left="340"/>
              <w:spacing w:after="0"/>
              <w:rPr>
                <w:sz w:val="20"/>
                <w:szCs w:val="20"/>
                <w:color w:val="auto"/>
              </w:rPr>
            </w:pPr>
            <w:r>
              <w:rPr>
                <w:rFonts w:ascii="Arial" w:cs="Arial" w:eastAsia="Arial" w:hAnsi="Arial"/>
                <w:sz w:val="14"/>
                <w:szCs w:val="14"/>
                <w:color w:val="auto"/>
              </w:rPr>
              <w:t>Storage and terminals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477.7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364.9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317.7</w:t>
            </w:r>
          </w:p>
        </w:tc>
      </w:tr>
      <w:tr>
        <w:trPr>
          <w:trHeight w:val="27"/>
        </w:trPr>
        <w:tc>
          <w:tcPr>
            <w:tcW w:w="7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segment midstream services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1,041.4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791.6</w:t>
            </w:r>
          </w:p>
        </w:tc>
      </w:tr>
      <w:tr>
        <w:trPr>
          <w:trHeight w:val="27"/>
        </w:trPr>
        <w:tc>
          <w:tcPr>
            <w:tcW w:w="74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440" w:type="dxa"/>
            <w:vAlign w:val="bottom"/>
          </w:tcPr>
          <w:p>
            <w:pPr>
              <w:ind w:left="500"/>
              <w:spacing w:after="0"/>
              <w:rPr>
                <w:sz w:val="20"/>
                <w:szCs w:val="20"/>
                <w:color w:val="auto"/>
              </w:rPr>
            </w:pPr>
            <w:r>
              <w:rPr>
                <w:rFonts w:ascii="Arial" w:cs="Arial" w:eastAsia="Arial" w:hAnsi="Arial"/>
                <w:sz w:val="14"/>
                <w:szCs w:val="14"/>
                <w:color w:val="auto"/>
              </w:rPr>
              <w:t>Total Crude Oil Pipelines &amp; Services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10,287.3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11,042.6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8,156.8</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Natural Gas Pipelines &amp; Services: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Sales of natural gas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2,075.4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2,411.7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2,238.5</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Segment midstream services: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4"/>
                <w:szCs w:val="14"/>
                <w:color w:val="auto"/>
              </w:rPr>
              <w:t>Transportation</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1,094.0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1,042.7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907.1</w:t>
            </w:r>
          </w:p>
        </w:tc>
      </w:tr>
      <w:tr>
        <w:trPr>
          <w:trHeight w:val="27"/>
        </w:trPr>
        <w:tc>
          <w:tcPr>
            <w:tcW w:w="7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segment midstream services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1,042.7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907.1</w:t>
            </w:r>
          </w:p>
        </w:tc>
      </w:tr>
      <w:tr>
        <w:trPr>
          <w:trHeight w:val="27"/>
        </w:trPr>
        <w:tc>
          <w:tcPr>
            <w:tcW w:w="74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440" w:type="dxa"/>
            <w:vAlign w:val="bottom"/>
          </w:tcPr>
          <w:p>
            <w:pPr>
              <w:ind w:left="500"/>
              <w:spacing w:after="0"/>
              <w:rPr>
                <w:sz w:val="20"/>
                <w:szCs w:val="20"/>
                <w:color w:val="auto"/>
              </w:rPr>
            </w:pPr>
            <w:r>
              <w:rPr>
                <w:rFonts w:ascii="Arial" w:cs="Arial" w:eastAsia="Arial" w:hAnsi="Arial"/>
                <w:sz w:val="14"/>
                <w:szCs w:val="14"/>
                <w:color w:val="auto"/>
              </w:rPr>
              <w:t>Total Natural Gas Pipelines &amp; Services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3,169.4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3,454.4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3,145.6</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Petrochemical &amp; Refined Products Services: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Sales of petrochemicals and refined products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4,985.2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5,535.4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4,696.3</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Segment midstream services: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4"/>
                <w:szCs w:val="14"/>
                <w:color w:val="auto"/>
              </w:rPr>
              <w:t>Fractionation and isomerization</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188.3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156.3</w:t>
            </w:r>
          </w:p>
        </w:tc>
      </w:tr>
      <w:tr>
        <w:trPr>
          <w:trHeight w:val="216"/>
        </w:trPr>
        <w:tc>
          <w:tcPr>
            <w:tcW w:w="7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Transportation, including marine logistics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430.7</w:t>
            </w:r>
          </w:p>
        </w:tc>
      </w:tr>
      <w:tr>
        <w:trPr>
          <w:trHeight w:val="216"/>
        </w:trPr>
        <w:tc>
          <w:tcPr>
            <w:tcW w:w="7440" w:type="dxa"/>
            <w:vAlign w:val="bottom"/>
          </w:tcPr>
          <w:p>
            <w:pPr>
              <w:ind w:left="340"/>
              <w:spacing w:after="0"/>
              <w:rPr>
                <w:sz w:val="20"/>
                <w:szCs w:val="20"/>
                <w:color w:val="auto"/>
              </w:rPr>
            </w:pPr>
            <w:r>
              <w:rPr>
                <w:rFonts w:ascii="Arial" w:cs="Arial" w:eastAsia="Arial" w:hAnsi="Arial"/>
                <w:sz w:val="14"/>
                <w:szCs w:val="14"/>
                <w:color w:val="auto"/>
              </w:rPr>
              <w:t>Storage and terminals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182.8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187.8</w:t>
            </w:r>
          </w:p>
        </w:tc>
      </w:tr>
      <w:tr>
        <w:trPr>
          <w:trHeight w:val="27"/>
        </w:trPr>
        <w:tc>
          <w:tcPr>
            <w:tcW w:w="7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segment midstream services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774.8</w:t>
            </w:r>
          </w:p>
        </w:tc>
      </w:tr>
      <w:tr>
        <w:trPr>
          <w:trHeight w:val="27"/>
        </w:trPr>
        <w:tc>
          <w:tcPr>
            <w:tcW w:w="74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ind w:left="500"/>
              <w:spacing w:after="0"/>
              <w:rPr>
                <w:sz w:val="20"/>
                <w:szCs w:val="20"/>
                <w:color w:val="auto"/>
              </w:rPr>
            </w:pPr>
            <w:r>
              <w:rPr>
                <w:rFonts w:ascii="Arial" w:cs="Arial" w:eastAsia="Arial" w:hAnsi="Arial"/>
                <w:sz w:val="14"/>
                <w:szCs w:val="14"/>
                <w:color w:val="auto"/>
              </w:rPr>
              <w:t>Total Petrochemical &amp; Refined Products Services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5,861.8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6,388.3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5,471.1</w:t>
            </w:r>
          </w:p>
        </w:tc>
      </w:tr>
      <w:tr>
        <w:trPr>
          <w:trHeight w:val="27"/>
        </w:trPr>
        <w:tc>
          <w:tcPr>
            <w:tcW w:w="7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consolidated revenues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32,789.2</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36,534.2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29,241.5</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(1)</w:t>
        <w:tab/>
        <w:t>Revenues are accounted for under ASC 606.</w:t>
      </w:r>
    </w:p>
    <w:p>
      <w:pPr>
        <w:spacing w:after="0"/>
        <w:tabs>
          <w:tab w:leader="none" w:pos="360" w:val="left"/>
        </w:tabs>
        <w:rPr>
          <w:sz w:val="20"/>
          <w:szCs w:val="20"/>
          <w:color w:val="auto"/>
        </w:rPr>
      </w:pPr>
      <w:r>
        <w:rPr>
          <w:rFonts w:ascii="Arial" w:cs="Arial" w:eastAsia="Arial" w:hAnsi="Arial"/>
          <w:sz w:val="14"/>
          <w:szCs w:val="14"/>
          <w:color w:val="auto"/>
        </w:rPr>
        <w:t>(2)</w:t>
        <w:tab/>
        <w:t>Revenues are accounted for under ASC 605.</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Substantially all of our revenues are derived from contracts with customers as defined within ASC 606. The following information describes the nature of our significant revenue streams by segment and type: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Pipelines &amp;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of NGLs and related products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NGL marketing activities generate revenues from spot and term sales of NGLs and related products that we take title to through our natural gas processing activities (i.e., our equity NGL production) and open market and long-term contract purchases. Revenue from these sales contracts is recognized when the NGLs are sold and delivered to customers at market-based prices.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Midstream services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Natural gas processing utilizes service contracts that are either fee-based, commodity-based or a combination of the two. When a cash fee for natural gas processing services is stipulated by a contract, we record revenue when a producer’s natural gas has been processed and redelivered. Our commodity-based contracts include keepwhole, margin-band, percent-of-liquids, percent-of-proceeds and contracts featuring a combination of commodity and fee-based terms.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0" w:name="page191"/>
    <w:bookmarkEnd w:id="1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 midstream service revenues in connection with the equity NGLs we receive under commodity-based contracts (once the processing service has been performed and we are entitled to such volumes). The value assigned to this non-cash consideration and related inventory is based on the market value of the equity NGLs at the time the services are performed. As noted previously, we also recognize product sales revenue, along with a corresponding cost of sales, when these NGLs are delivered and sold to downstream customers under NGL marketing contracts. Prior to the adoption of ASC 606, we did not recognize revenue in connection with the receipt of equity NGL volumes. We only recognized product sales revenue when the associated NGLs were delivered and sold to downstream customers under NGL marketing contracts. Following adoption of ASC 606, the additional midstream service revenue recognized for this non-cash consideration increased our total consolidated revenues by approximately 2% for the year ended December 31, 2018 when compared to the amount of revenues we would have recognized in 2018 if we had applied ASC 605. Furthermore, due to the rapid turnover of our inventories of NGL products each month, there was no significant change in our gross operating margin from natural gas processing and related NGL marketing activities as a result of the changes required by ASC 606.</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NGL pipeline transportation contracts and tariffs generate revenue based on a fixed fee per gallon multiplied by the volume transported and delivered (or capacity reserved). Transportation fees charged to shippers are based on either tariffs regulated by governmental agencies or contractual arrangements. Under certain agreements, customers are required to ship a minimum volume with a provision that allows the shipper to make-up any volume shortfalls over an agreed-upon period (referred to as “make-up rights”). Revenue attributable to such agreements is initially deferred and subsequently recognized at the earlier of when the deficiency volume is shipped, when the likelihood of the shipper’s ability to meet the minimum volume commitment becomes remote, or when the pipeline is otherwise released from its performance obligation.</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NGL fractionation generates revenue using fee-based arrangements. These fees are contractually subject to adjustment for changes in certain fractionation expenses (e.g., fuel costs) and are recognized in the period services are provided.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NGL and related product storage contracts generate revenue from capacity reservations where we collect a fee for reserving storage capacity for customers in our underground storage wells and above-ground storage tanks. Under these agreements, revenue is recognized on a straight-line basis over the reservation period. In addition, we generally charge customers throughput fees based on volumes delivered into and subsequently withdrawn from storage, which are recognized as the service is provided.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NGL import and export terminaling activities generate revenue in the period services are provided. Customers are typically billed a fee per unit of volume loaded or unloaded.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Pipelines &amp;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of crude oil</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Crude oil marketing activities generate revenues from the sale and delivery of crude oil purchased either directly from producers or on the open market. Revenue from these sales contracts is recognized when crude oil is sold and delivered to customers at market-based prices.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Midstream services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Crude oil transportation contracts and tariffs generate revenue based upon a fixed fee per barrel multiplied by the volume transported and delivered (or capacity reserved). Transportation fees charged to shippers are based on either tariffs regulated by governmental agencies or contractual arrangements. Under certain agreements, customers are required to ship a minimum volume over an agreed-upon period, with make-up rights. Revenue attributable to such agreements is initially deferred and subsequently recognized at the earlier of when the deficiency volume is shipped, when the likelihood of the shipper’s ability to meet the minimum volume commitment becomes remote, or when the pipeline is otherwise released from its performance obligation.</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Crude oil storage contracts generate revenue from capacity reservations where we collect a fee for reserving storage capacity for customers at our terminals. Under these agreements, revenue is recognized on a straight-line basis over the reservation period. In addition, customers are billed a fee per unit of volume handled at our terminals. Revenue is recognized as the terminaling service is provided.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1" w:name="page192"/>
    <w:bookmarkEnd w:id="1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Pipelines &amp;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of natural gas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Natural gas marketing activities generate revenue from the sale and delivery of natural gas purchased from producers, natural gas processing facilities, and on the open market. Revenue from these sales contracts is recognized when natural gas is sold and delivered to customers at market-based prices.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Midstream services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Natural gas transportation contracts generate revenues based on a fee per unit of volume transported multiplied by the volume gathered or delivered. Transportation fees charged to shippers are based on either tariffs regulated by governmental agencies or contractual arrangements. Revenues under transportation contracts are recognized when the volumes are transported and delivered to customers. In addition, certain of our natural gas pipelines offer firm capacity reservation services whereby the shipper pays a contractual fee based on the level of throughput capacity reserved. Revenues are recognized when the firm capacity services are provided to the shipper.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Petrochemical &amp; Refined Products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of petrochemicals and refined products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Our petrochemical and refined products marketing activities generate revenue from the sale and delivery of products to customers at market-based prices.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products handled by these marketing groups include polymer grade propylene, octane additives, high purity isobutylene and various refined products.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Midstream services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Propylene fractionation units and butane isomerization facilities generate revenue through fee-based tolling arrangements with customers. Revenue from such agreements is recognized in the period the services are provided.</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Petrochemical and refined products transportation contracts generate revenue based upon a fixed fee per volume multiplied by the volume transported and delivered. Transportation fees charged to shippers are based on either tariffs regulated by governmental agencies or contractual arrangements.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Refined products storage contracts generate revenue from capacity reservations where we collect a fee for reserving storage capacity for customers at our terminals. Under these agreements, revenue is recognized on a straight-line basis over the reservation period. In addition, customers are billed a fee per unit of volume handled at our terminals. Revenue is recognized as the terminaling service is provided.</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Marine transportation contracts generate revenue based on set day rates or a set fee per cargo movement recognized over the transit time of individual tows. Additionally, we record revenue for the costs of fuel and other operating costs that are directly reimbursed by our marine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Unbilled Revenue and Deferred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contract assets and contract liabilities at the dates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4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4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Contract Asset</w:t>
            </w:r>
          </w:p>
        </w:tc>
        <w:tc>
          <w:tcPr>
            <w:tcW w:w="5160" w:type="dxa"/>
            <w:vAlign w:val="bottom"/>
            <w:vMerge w:val="restart"/>
          </w:tcPr>
          <w:p>
            <w:pPr>
              <w:ind w:left="272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40" w:type="dxa"/>
            <w:vAlign w:val="bottom"/>
            <w:tcBorders>
              <w:bottom w:val="single" w:sz="8" w:color="auto"/>
            </w:tcBorders>
            <w:vMerge w:val="continue"/>
          </w:tcPr>
          <w:p>
            <w:pPr>
              <w:spacing w:after="0"/>
              <w:rPr>
                <w:sz w:val="3"/>
                <w:szCs w:val="3"/>
                <w:color w:val="auto"/>
              </w:rPr>
            </w:pPr>
          </w:p>
        </w:tc>
        <w:tc>
          <w:tcPr>
            <w:tcW w:w="5160" w:type="dxa"/>
            <w:vAlign w:val="bottom"/>
            <w:tcBorders>
              <w:bottom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Unbilled revenue (current amount)</w:t>
            </w:r>
          </w:p>
        </w:tc>
        <w:tc>
          <w:tcPr>
            <w:tcW w:w="528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Prepaid and other current assets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4"/>
                <w:szCs w:val="14"/>
                <w:color w:val="auto"/>
              </w:rPr>
              <w:t>Total</w:t>
            </w: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17.6</w:t>
            </w:r>
          </w:p>
        </w:tc>
        <w:tc>
          <w:tcPr>
            <w:tcW w:w="5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7"/>
        </w:trPr>
        <w:tc>
          <w:tcPr>
            <w:tcW w:w="35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540" w:type="dxa"/>
            <w:vAlign w:val="bottom"/>
            <w:vMerge w:val="restart"/>
          </w:tcPr>
          <w:p>
            <w:pPr>
              <w:ind w:left="1620"/>
              <w:spacing w:after="0"/>
              <w:rPr>
                <w:sz w:val="20"/>
                <w:szCs w:val="20"/>
                <w:color w:val="auto"/>
              </w:rPr>
            </w:pPr>
            <w:r>
              <w:rPr>
                <w:rFonts w:ascii="Arial" w:cs="Arial" w:eastAsia="Arial" w:hAnsi="Arial"/>
                <w:sz w:val="14"/>
                <w:szCs w:val="14"/>
                <w:b w:val="1"/>
                <w:bCs w:val="1"/>
                <w:color w:val="auto"/>
              </w:rPr>
              <w:t>Contract Liability</w:t>
            </w:r>
          </w:p>
        </w:tc>
        <w:tc>
          <w:tcPr>
            <w:tcW w:w="5160" w:type="dxa"/>
            <w:vAlign w:val="bottom"/>
            <w:vMerge w:val="restart"/>
          </w:tcPr>
          <w:p>
            <w:pPr>
              <w:ind w:left="272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40" w:type="dxa"/>
            <w:vAlign w:val="bottom"/>
            <w:tcBorders>
              <w:bottom w:val="single" w:sz="8" w:color="auto"/>
            </w:tcBorders>
            <w:vMerge w:val="continue"/>
          </w:tcPr>
          <w:p>
            <w:pPr>
              <w:spacing w:after="0"/>
              <w:rPr>
                <w:sz w:val="3"/>
                <w:szCs w:val="3"/>
                <w:color w:val="auto"/>
              </w:rPr>
            </w:pPr>
          </w:p>
        </w:tc>
        <w:tc>
          <w:tcPr>
            <w:tcW w:w="5160" w:type="dxa"/>
            <w:vAlign w:val="bottom"/>
            <w:tcBorders>
              <w:bottom w:val="single" w:sz="8" w:color="auto"/>
            </w:tcBorders>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Deferred revenue (current amount)</w:t>
            </w:r>
          </w:p>
        </w:tc>
        <w:tc>
          <w:tcPr>
            <w:tcW w:w="528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Other current liabilities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4"/>
                <w:szCs w:val="14"/>
                <w:color w:val="auto"/>
              </w:rPr>
              <w:t>Deferred revenue (noncurrent)</w:t>
            </w:r>
          </w:p>
        </w:tc>
        <w:tc>
          <w:tcPr>
            <w:tcW w:w="5280" w:type="dxa"/>
            <w:vAlign w:val="bottom"/>
            <w:gridSpan w:val="2"/>
          </w:tcPr>
          <w:p>
            <w:pPr>
              <w:ind w:left="820"/>
              <w:spacing w:after="0"/>
              <w:rPr>
                <w:sz w:val="20"/>
                <w:szCs w:val="20"/>
                <w:color w:val="auto"/>
              </w:rPr>
            </w:pPr>
            <w:r>
              <w:rPr>
                <w:rFonts w:ascii="Arial" w:cs="Arial" w:eastAsia="Arial" w:hAnsi="Arial"/>
                <w:sz w:val="14"/>
                <w:szCs w:val="14"/>
                <w:color w:val="auto"/>
              </w:rPr>
              <w:t>Other long-term liabilities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197.0</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5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314.9</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291.2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2" w:name="page193"/>
    <w:bookmarkEnd w:id="19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significant changes in our unbilled revenue and deferred revenue balances during the years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Unbilled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Deferred</w:t>
            </w:r>
          </w:p>
        </w:tc>
      </w:tr>
      <w:tr>
        <w:trPr>
          <w:trHeight w:val="178"/>
        </w:trPr>
        <w:tc>
          <w:tcPr>
            <w:tcW w:w="6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5"/>
                <w:szCs w:val="15"/>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January 1, 2018 (upon adoption of ASC 606)</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224.7</w:t>
            </w:r>
          </w:p>
        </w:tc>
      </w:tr>
      <w:tr>
        <w:trPr>
          <w:trHeight w:val="216"/>
        </w:trPr>
        <w:tc>
          <w:tcPr>
            <w:tcW w:w="6820" w:type="dxa"/>
            <w:vAlign w:val="bottom"/>
          </w:tcPr>
          <w:p>
            <w:pPr>
              <w:spacing w:after="0"/>
              <w:rPr>
                <w:sz w:val="20"/>
                <w:szCs w:val="20"/>
                <w:color w:val="auto"/>
              </w:rPr>
            </w:pPr>
            <w:r>
              <w:rPr>
                <w:rFonts w:ascii="Arial" w:cs="Arial" w:eastAsia="Arial" w:hAnsi="Arial"/>
                <w:sz w:val="14"/>
                <w:szCs w:val="14"/>
                <w:color w:val="auto"/>
              </w:rPr>
              <w:t>Amount included in opening balance transferred to other accounts during period (1)</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(90.8)</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Amount recorded during period</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432.5</w:t>
            </w:r>
          </w:p>
        </w:tc>
      </w:tr>
      <w:tr>
        <w:trPr>
          <w:trHeight w:val="216"/>
        </w:trPr>
        <w:tc>
          <w:tcPr>
            <w:tcW w:w="6820" w:type="dxa"/>
            <w:vAlign w:val="bottom"/>
          </w:tcPr>
          <w:p>
            <w:pPr>
              <w:spacing w:after="0"/>
              <w:rPr>
                <w:sz w:val="20"/>
                <w:szCs w:val="20"/>
                <w:color w:val="auto"/>
              </w:rPr>
            </w:pPr>
            <w:r>
              <w:rPr>
                <w:rFonts w:ascii="Arial" w:cs="Arial" w:eastAsia="Arial" w:hAnsi="Arial"/>
                <w:sz w:val="14"/>
                <w:szCs w:val="14"/>
                <w:color w:val="auto"/>
              </w:rPr>
              <w:t>Amounts recorded during period transferred to other accounts (1)</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(310.6)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(274.8)</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Amount recorded in connection with business combination</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4"/>
                <w:szCs w:val="14"/>
                <w:color w:val="auto"/>
              </w:rPr>
              <w:t>Other changes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r>
      <w:tr>
        <w:trPr>
          <w:trHeight w:val="27"/>
        </w:trPr>
        <w:tc>
          <w:tcPr>
            <w:tcW w:w="6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2018</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13.3</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291.2</w:t>
            </w:r>
          </w:p>
        </w:tc>
      </w:tr>
      <w:tr>
        <w:trPr>
          <w:trHeight w:val="216"/>
        </w:trPr>
        <w:tc>
          <w:tcPr>
            <w:tcW w:w="6820" w:type="dxa"/>
            <w:vAlign w:val="bottom"/>
          </w:tcPr>
          <w:p>
            <w:pPr>
              <w:spacing w:after="0"/>
              <w:rPr>
                <w:sz w:val="20"/>
                <w:szCs w:val="20"/>
                <w:color w:val="auto"/>
              </w:rPr>
            </w:pPr>
            <w:r>
              <w:rPr>
                <w:rFonts w:ascii="Arial" w:cs="Arial" w:eastAsia="Arial" w:hAnsi="Arial"/>
                <w:sz w:val="14"/>
                <w:szCs w:val="14"/>
                <w:color w:val="auto"/>
              </w:rPr>
              <w:t>Amount included in opening balance transferred to other accounts during period (1)</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(126.4)</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Amount recorded during period</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539.8</w:t>
            </w:r>
          </w:p>
        </w:tc>
      </w:tr>
      <w:tr>
        <w:trPr>
          <w:trHeight w:val="216"/>
        </w:trPr>
        <w:tc>
          <w:tcPr>
            <w:tcW w:w="6820" w:type="dxa"/>
            <w:vAlign w:val="bottom"/>
          </w:tcPr>
          <w:p>
            <w:pPr>
              <w:spacing w:after="0"/>
              <w:rPr>
                <w:sz w:val="20"/>
                <w:szCs w:val="20"/>
                <w:color w:val="auto"/>
              </w:rPr>
            </w:pPr>
            <w:r>
              <w:rPr>
                <w:rFonts w:ascii="Arial" w:cs="Arial" w:eastAsia="Arial" w:hAnsi="Arial"/>
                <w:sz w:val="14"/>
                <w:szCs w:val="14"/>
                <w:color w:val="auto"/>
              </w:rPr>
              <w:t>Amounts recorded during period transferred to other accounts (1)</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(322.4)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(384.8)</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Amount recorded in connection with business combination</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4"/>
                <w:szCs w:val="14"/>
                <w:color w:val="auto"/>
              </w:rPr>
              <w:t>Other changes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(4.9)</w:t>
            </w:r>
          </w:p>
        </w:tc>
      </w:tr>
      <w:tr>
        <w:trPr>
          <w:trHeight w:val="27"/>
        </w:trPr>
        <w:tc>
          <w:tcPr>
            <w:tcW w:w="6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2019</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17.6</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314.9</w:t>
            </w:r>
          </w:p>
        </w:tc>
      </w:tr>
      <w:tr>
        <w:trPr>
          <w:trHeight w:val="20"/>
        </w:trPr>
        <w:tc>
          <w:tcPr>
            <w:tcW w:w="68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360" w:hanging="352"/>
        <w:spacing w:after="0" w:line="253" w:lineRule="auto"/>
        <w:tabs>
          <w:tab w:leader="none" w:pos="3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Unbilled revenues are transferred to accounts receivable once we have an unconditional right to consideration from the customer. Deferred revenues are recognized as revenue upon satisfaction of our performance obligation to the customer.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estimated fixed future consideration from revenue contracts that contain minimum volume commitments, deficiency and similar fees and the term of the contracts exceeds one year. These amounts represent the revenues we expect to recognize in future periods from these contracts as of December 31, 2019.</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significant portion of our revenue, we bill customers a contractual rate for the services provided multiplied by the amount of volume handled in a given period. We have the right to invoice the customer in the amount that corresponds directly with the value of our performance completed to date. Therefore, we are not required to disclose information about the variable consideration of remaining performance obligations since we recognize revenue equal to the amount that we have the right to invoice.</w:t>
      </w:r>
    </w:p>
    <w:p>
      <w:pPr>
        <w:spacing w:after="0" w:line="193"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vMerge w:val="restart"/>
          </w:tcPr>
          <w:p>
            <w:pPr>
              <w:ind w:left="2700"/>
              <w:spacing w:after="0"/>
              <w:rPr>
                <w:sz w:val="20"/>
                <w:szCs w:val="20"/>
                <w:color w:val="auto"/>
              </w:rPr>
            </w:pPr>
            <w:r>
              <w:rPr>
                <w:rFonts w:ascii="Arial" w:cs="Arial" w:eastAsia="Arial" w:hAnsi="Arial"/>
                <w:sz w:val="14"/>
                <w:szCs w:val="14"/>
                <w:b w:val="1"/>
                <w:bCs w:val="1"/>
                <w:color w:val="auto"/>
              </w:rPr>
              <w:t>Period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8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Consideration</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One Year Ended December 31, 2020</w:t>
            </w:r>
          </w:p>
        </w:tc>
        <w:tc>
          <w:tcPr>
            <w:tcW w:w="2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3,654.6</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4"/>
                <w:szCs w:val="14"/>
                <w:color w:val="auto"/>
              </w:rPr>
              <w:t>One Year Ended December 31, 2021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3,363.9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One Year Ended December 31, 2022</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3,062.7</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4"/>
                <w:szCs w:val="14"/>
                <w:color w:val="auto"/>
              </w:rPr>
              <w:t>One Year Ended December 31, 2023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2,857.8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One Year Ended December 31, 2024</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2,743.8</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4"/>
                <w:szCs w:val="14"/>
                <w:color w:val="auto"/>
              </w:rPr>
              <w:t>Thereafter</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14,106.</w:t>
            </w:r>
            <w:r>
              <w:rPr>
                <w:rFonts w:ascii="Arial" w:cs="Arial" w:eastAsia="Arial" w:hAnsi="Arial"/>
                <w:sz w:val="14"/>
                <w:szCs w:val="14"/>
                <w:u w:val="single" w:color="auto"/>
                <w:color w:val="auto"/>
              </w:rPr>
              <w:t>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8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60" w:type="dxa"/>
            <w:vAlign w:val="bottom"/>
            <w:vMerge w:val="restart"/>
            <w:shd w:val="clear" w:color="auto" w:fill="CCEEFF"/>
          </w:tcPr>
          <w:p>
            <w:pPr>
              <w:spacing w:after="0"/>
              <w:rPr>
                <w:sz w:val="15"/>
                <w:szCs w:val="15"/>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29,789.5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82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vMerge w:val="continue"/>
            <w:shd w:val="clear" w:color="auto" w:fill="CCEEFF"/>
          </w:tcPr>
          <w:p>
            <w:pPr>
              <w:spacing w:after="0"/>
              <w:rPr>
                <w:sz w:val="6"/>
                <w:szCs w:val="6"/>
                <w:color w:val="auto"/>
              </w:rPr>
            </w:pPr>
          </w:p>
        </w:tc>
        <w:tc>
          <w:tcPr>
            <w:tcW w:w="180" w:type="dxa"/>
            <w:vAlign w:val="bottom"/>
            <w:tcBorders>
              <w:bottom w:val="single" w:sz="8" w:color="auto"/>
            </w:tcBorders>
            <w:vMerge w:val="continue"/>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 Information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largest non-affiliated customer for the years ended December 31, 2019, 2018 and 2017 was Vitol Holding B.V. and its affiliates (collectively, “Vitol”), which accounted for approximately 10.1%, 7.8% and 11.2%, respectively, of our consolidated revenues. Vitol is a global energy and commodity trading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3" w:name="page194"/>
    <w:bookmarkEnd w:id="19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Segments and Related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Overview</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operations are reported under four business segments: (i) NGL Pipelines &amp; Services, (ii) Crude Oil Pipelines &amp; Services, (iii) Natural Gas Pipelines &amp; Services and (iv) Petrochemical &amp; Refined Products Services. Our business segments are generally organized and managed according to the types of services rendered (or technologies employed) and products produced and/or sold.</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information regarding these segments is evaluated regularly by our co-chief operating decision makers in deciding how to allocate resources and in assessing our operating and financial performance. The co-principal executive officers of our general partner have been identified as our chief operating decision makers. While these two officers evaluate results in a number of different ways, the business segment structure is the primary basis for which the allocation of resources and financial results are assessed.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summarizes the assets and operations of each business segment (mileage and other statistics are unaudited):</w:t>
      </w:r>
    </w:p>
    <w:p>
      <w:pPr>
        <w:spacing w:after="0" w:line="252" w:lineRule="exact"/>
        <w:rPr>
          <w:sz w:val="20"/>
          <w:szCs w:val="20"/>
          <w:color w:val="auto"/>
        </w:rPr>
      </w:pPr>
    </w:p>
    <w:p>
      <w:pPr>
        <w:jc w:val="both"/>
        <w:ind w:left="340" w:hanging="332"/>
        <w:spacing w:after="0" w:line="264" w:lineRule="auto"/>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NGL Pipelines &amp; Services business segment currently includes natural gas processing facilities and associated NGL marketing activities; approximately 19,900 miles of NGL pipelines; NGL and related product storage facilities; and NGL fractionators. This segment also includes our NGL marine terminals and related operations.</w:t>
      </w:r>
    </w:p>
    <w:p>
      <w:pPr>
        <w:spacing w:after="0" w:line="20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Crude Oil Pipelines &amp; Services business segment currently includes approximately 5,300 miles of crude oil pipelines, crude oil storage and marine terminals, and associated crude oil marketing activities.</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Natural Gas Pipelines &amp; Services business segment currently includes approximately 19,400 miles of natural gas pipeline systems that provide for the gathering and transportation of natural gas in Colorado, Louisiana, New Mexico, Texas and Wyoming. This segment also includes our natural gas marketing activities.</w:t>
      </w:r>
    </w:p>
    <w:p>
      <w:pPr>
        <w:spacing w:after="0" w:line="208"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Petrochemical &amp; Refined Products Services business segment currently includes (i) propylene production facilities, which include propylene fractionation units and a PDH facility, approximately 800 miles of pipelines, and associated marketing operations; (ii) a butane isomerization complex and related deisobutanizer units; (iii) isobutane dehydrogenation, octane enhancement and high purity isobutylene production facilities; (iv) refined products pipelines aggregating approximately 3,300 miles, terminals and associated marketing activities; (v) an ethylene export terminal and related operations, and (v) marine transportation.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Our plants, pipelines and other fixed assets are located in the 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Gross Operating Margin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evaluate segment performance based on our financial measure of gross operating margin. Gross operating margin is an important performance measure of the core profitability of our operations and forms the basis of our internal financial reporting. We believe that investors benefit from having access to the same financial measures that our management uses in evaluating segment results. Gross operating margin is exclusive of other income and expense transactions, income taxes, the cumulative effect of changes in accounting principles and extraordinary charges. Gross operating margin is presented on a 100% basis before any allocation of earnings to noncontrolling interests. Our calculation of gross operating margin may or may not be comparable to similarly titled measures used by other companies.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4" w:name="page195"/>
    <w:bookmarkEnd w:id="19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our measurement of total segment gross operating margin for the years indicated. The GAAP financial measure most directly comparable to total segment gross operating margin is operating income.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For the Year Ended 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4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720" w:type="dxa"/>
            <w:vAlign w:val="bottom"/>
            <w:shd w:val="clear" w:color="auto" w:fill="CCEEFF"/>
          </w:tcPr>
          <w:p>
            <w:pPr>
              <w:jc w:val="right"/>
              <w:ind w:right="60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6,078.7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5,408.6</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3,928.9</w:t>
            </w:r>
          </w:p>
        </w:tc>
      </w:tr>
      <w:tr>
        <w:trPr>
          <w:trHeight w:val="130"/>
        </w:trPr>
        <w:tc>
          <w:tcPr>
            <w:tcW w:w="7440" w:type="dxa"/>
            <w:vAlign w:val="bottom"/>
          </w:tcPr>
          <w:p>
            <w:pPr>
              <w:spacing w:after="0" w:line="130" w:lineRule="exact"/>
              <w:rPr>
                <w:sz w:val="20"/>
                <w:szCs w:val="20"/>
                <w:color w:val="auto"/>
              </w:rPr>
            </w:pPr>
            <w:r>
              <w:rPr>
                <w:rFonts w:ascii="Arial" w:cs="Arial" w:eastAsia="Arial" w:hAnsi="Arial"/>
                <w:sz w:val="14"/>
                <w:szCs w:val="14"/>
                <w:i w:val="1"/>
                <w:iCs w:val="1"/>
                <w:color w:val="auto"/>
              </w:rPr>
              <w:t>Adjustments to reconcile operating income to total gross operating margin</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7440" w:type="dxa"/>
            <w:vAlign w:val="bottom"/>
          </w:tcPr>
          <w:p>
            <w:pPr>
              <w:ind w:left="60"/>
              <w:spacing w:after="0"/>
              <w:rPr>
                <w:sz w:val="20"/>
                <w:szCs w:val="20"/>
                <w:color w:val="auto"/>
              </w:rPr>
            </w:pPr>
            <w:r>
              <w:rPr>
                <w:rFonts w:ascii="Arial" w:cs="Arial" w:eastAsia="Arial" w:hAnsi="Arial"/>
                <w:sz w:val="14"/>
                <w:szCs w:val="14"/>
                <w:i w:val="1"/>
                <w:iCs w:val="1"/>
                <w:color w:val="auto"/>
              </w:rPr>
              <w:t>(addition or subtraction indicated by sign):</w:t>
            </w: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amortization and accretion expense in operating costs and expenses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1,848.3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1,687.0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1,531.3</w:t>
            </w:r>
          </w:p>
        </w:tc>
      </w:tr>
      <w:tr>
        <w:trPr>
          <w:trHeight w:val="216"/>
        </w:trPr>
        <w:tc>
          <w:tcPr>
            <w:tcW w:w="7440" w:type="dxa"/>
            <w:vAlign w:val="bottom"/>
          </w:tcPr>
          <w:p>
            <w:pPr>
              <w:ind w:left="100"/>
              <w:spacing w:after="0"/>
              <w:rPr>
                <w:sz w:val="20"/>
                <w:szCs w:val="20"/>
                <w:color w:val="auto"/>
              </w:rPr>
            </w:pPr>
            <w:r>
              <w:rPr>
                <w:rFonts w:ascii="Arial" w:cs="Arial" w:eastAsia="Arial" w:hAnsi="Arial"/>
                <w:sz w:val="14"/>
                <w:szCs w:val="14"/>
                <w:color w:val="auto"/>
              </w:rPr>
              <w:t>Asset impairment and related charges in operating costs and expenses</w:t>
            </w: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132.7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50.5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49.8</w:t>
            </w:r>
          </w:p>
        </w:tc>
      </w:tr>
      <w:tr>
        <w:trPr>
          <w:trHeight w:val="216"/>
        </w:trPr>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gains attributable to asset sales in operating costs and expenses</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(10.7)</w:t>
            </w:r>
          </w:p>
        </w:tc>
      </w:tr>
      <w:tr>
        <w:trPr>
          <w:trHeight w:val="216"/>
        </w:trPr>
        <w:tc>
          <w:tcPr>
            <w:tcW w:w="7440" w:type="dxa"/>
            <w:vAlign w:val="bottom"/>
          </w:tcPr>
          <w:p>
            <w:pPr>
              <w:ind w:left="120"/>
              <w:spacing w:after="0"/>
              <w:rPr>
                <w:sz w:val="20"/>
                <w:szCs w:val="20"/>
                <w:color w:val="auto"/>
              </w:rPr>
            </w:pPr>
            <w:r>
              <w:rPr>
                <w:rFonts w:ascii="Arial" w:cs="Arial" w:eastAsia="Arial" w:hAnsi="Arial"/>
                <w:sz w:val="14"/>
                <w:szCs w:val="14"/>
                <w:color w:val="auto"/>
              </w:rPr>
              <w:t>General and administrative costs</w:t>
            </w: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211.7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208.3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181.1</w:t>
            </w:r>
          </w:p>
        </w:tc>
      </w:tr>
      <w:tr>
        <w:trPr>
          <w:trHeight w:val="216"/>
        </w:trPr>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Non-refundable payments received from shippers attributable to make-up rights (1)</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24.1</w:t>
            </w:r>
          </w:p>
        </w:tc>
      </w:tr>
      <w:tr>
        <w:trPr>
          <w:trHeight w:val="216"/>
        </w:trPr>
        <w:tc>
          <w:tcPr>
            <w:tcW w:w="7440" w:type="dxa"/>
            <w:vAlign w:val="bottom"/>
          </w:tcPr>
          <w:p>
            <w:pPr>
              <w:ind w:left="120"/>
              <w:spacing w:after="0"/>
              <w:rPr>
                <w:sz w:val="20"/>
                <w:szCs w:val="20"/>
                <w:color w:val="auto"/>
              </w:rPr>
            </w:pPr>
            <w:r>
              <w:rPr>
                <w:rFonts w:ascii="Arial" w:cs="Arial" w:eastAsia="Arial" w:hAnsi="Arial"/>
                <w:sz w:val="14"/>
                <w:szCs w:val="14"/>
                <w:color w:val="auto"/>
              </w:rPr>
              <w:t>Subsequent recognition of revenues attributable to make-up rights (2)</w:t>
            </w:r>
          </w:p>
        </w:tc>
        <w:tc>
          <w:tcPr>
            <w:tcW w:w="7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(22.9)</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(29.9)</w:t>
            </w:r>
          </w:p>
        </w:tc>
      </w:tr>
      <w:tr>
        <w:trPr>
          <w:trHeight w:val="27"/>
        </w:trPr>
        <w:tc>
          <w:tcPr>
            <w:tcW w:w="7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Total segment gross operating margin</w:t>
            </w:r>
          </w:p>
        </w:tc>
        <w:tc>
          <w:tcPr>
            <w:tcW w:w="720" w:type="dxa"/>
            <w:vAlign w:val="bottom"/>
            <w:shd w:val="clear" w:color="auto" w:fill="CCEEFF"/>
          </w:tcPr>
          <w:p>
            <w:pPr>
              <w:jc w:val="right"/>
              <w:ind w:right="60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8,289.8</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7,291.0</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5,674.6</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440" w:hanging="432"/>
        <w:spacing w:after="0" w:line="230" w:lineRule="auto"/>
        <w:tabs>
          <w:tab w:leader="none" w:pos="4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Since make-up rights entail a future performance obligation by the pipeline to the shipper, these receipts are recorded as deferred revenue for GAAP purposes; however, these receipts are included in gross operating margin in the period of receipt since they are nonrefundable to the shipper.</w:t>
      </w:r>
    </w:p>
    <w:p>
      <w:pPr>
        <w:ind w:left="440" w:right="20" w:hanging="432"/>
        <w:spacing w:after="0" w:line="237" w:lineRule="auto"/>
        <w:tabs>
          <w:tab w:leader="none" w:pos="4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As deferred revenues attributable to make-up rights are subsequently recognized as revenue under GAAP, gross operating margin must be adjusted to remove such amounts to prevent duplication since the associated non-refundable payments were previously included in gross operating margin.</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results of operations from our liquids pipelines are primarily dependent upon the volumes transported and the associated fees we charge for such transportation services. Typically, pipeline transportation revenue is recognized when volumes are re-delivered to customers. However, under certain pipeline transportation agreements, customers are required to ship a minimum volume over an agreed-upon period. These arrangements may entail the shipper paying a transportation fee based on a minimum volume commitment, with a provision that allows the shipper to make-up any volume shortfalls over the agreed-upon period (referred to as shipper “make-up rights”). Revenue pursuant to such agreements is initially deferred and subsequently recognized under GAAP at the earlier of when the deficiency volume is shipped, when the likelihood of the shipper’s ability to meet the minimum volume commitment becomes remote, or when the pipeline is otherwise released from its performance obligation.</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However, management includes deferred transportation revenues relating to the “make-up rights” of committed shippers when reviewing the financial results of certain pipelines (Texas Express Pipeline, Front Range Pipeline, ATEX, Aegis Ethane Pipeline and Seaway Pipeline). From an internal (and segment) reporting standpoint, management considers the transportation fees paid by committed shippers on these pipelines, including any non-refundable revenues that may be deferred under GAAP related to make-up rights, to be important in assessing the financial performance of these pipeline assets. Although the adjustments for make-up rights are included in segment gross operating margin, our consolidated revenues do not reflect any deferred revenues until the conditions for recognizing such revenues are met in accordance with GAAP.</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operating margin by segment is calculated by subtracting segment operating costs and expenses from segment revenues, with both segment totals reflecting the adjustments noted in the preceding table, as applicable, and before the elimination of intercompany transactions. The following table presents gross operating margin by segment for the years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For the Year Ended 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4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4"/>
                <w:szCs w:val="14"/>
                <w:color w:val="auto"/>
              </w:rPr>
              <w:t>Gross operating margin by segment:</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NGL Pipelines &amp; Services</w:t>
            </w:r>
          </w:p>
        </w:tc>
        <w:tc>
          <w:tcPr>
            <w:tcW w:w="720" w:type="dxa"/>
            <w:vAlign w:val="bottom"/>
            <w:shd w:val="clear" w:color="auto" w:fill="CCEEFF"/>
          </w:tcPr>
          <w:p>
            <w:pPr>
              <w:jc w:val="right"/>
              <w:ind w:right="60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4,069.8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3,830.7</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3,258.3</w:t>
            </w: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Crude Oil Pipelines &amp; Services</w:t>
            </w: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9"/>
              </w:rPr>
              <w:t>2,087.8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1,511.3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987.2</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Natural Gas Pipelines &amp; Services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1,062.6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891.2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714.5</w:t>
            </w: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Petrochemical &amp; Refined Products Services</w:t>
            </w: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9"/>
              </w:rPr>
              <w:t>1,069.6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1,057.8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714.6</w:t>
            </w:r>
          </w:p>
        </w:tc>
      </w:tr>
      <w:tr>
        <w:trPr>
          <w:trHeight w:val="27"/>
        </w:trPr>
        <w:tc>
          <w:tcPr>
            <w:tcW w:w="7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Total segment gross operating margin</w:t>
            </w:r>
          </w:p>
        </w:tc>
        <w:tc>
          <w:tcPr>
            <w:tcW w:w="720" w:type="dxa"/>
            <w:vAlign w:val="bottom"/>
            <w:shd w:val="clear" w:color="auto" w:fill="CCEEFF"/>
          </w:tcPr>
          <w:p>
            <w:pPr>
              <w:jc w:val="right"/>
              <w:ind w:right="60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8,289.8</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7,291.0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5,674.6</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5" w:name="page196"/>
    <w:bookmarkEnd w:id="19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Segment Financial Information</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by business segment, together with reconciliations to amounts presented on our Statements of Consolidated Operations, is presented in the following table: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w w:val="94"/>
              </w:rPr>
              <w:t>Reportable Business Segments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NGL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8"/>
              </w:rPr>
              <w:t>Crude Oil</w:t>
            </w:r>
          </w:p>
        </w:tc>
        <w:tc>
          <w:tcPr>
            <w:tcW w:w="140" w:type="dxa"/>
            <w:vAlign w:val="bottom"/>
          </w:tcPr>
          <w:p>
            <w:pPr>
              <w:spacing w:after="0"/>
              <w:rPr>
                <w:sz w:val="10"/>
                <w:szCs w:val="10"/>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Natural Gas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48"/>
              <w:spacing w:after="0" w:line="126" w:lineRule="exact"/>
              <w:rPr>
                <w:sz w:val="20"/>
                <w:szCs w:val="20"/>
                <w:color w:val="auto"/>
              </w:rPr>
            </w:pPr>
            <w:r>
              <w:rPr>
                <w:rFonts w:ascii="Arial" w:cs="Arial" w:eastAsia="Arial" w:hAnsi="Arial"/>
                <w:sz w:val="14"/>
                <w:szCs w:val="14"/>
                <w:b w:val="1"/>
                <w:bCs w:val="1"/>
                <w:color w:val="auto"/>
                <w:w w:val="91"/>
              </w:rPr>
              <w:t>Petrochemical</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1"/>
              </w:rPr>
              <w:t>Adjustments</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&amp; Refined</w:t>
            </w:r>
          </w:p>
        </w:tc>
        <w:tc>
          <w:tcPr>
            <w:tcW w:w="1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Pipelines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Pipelines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Pipelines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Products</w:t>
            </w:r>
          </w:p>
        </w:tc>
        <w:tc>
          <w:tcPr>
            <w:tcW w:w="140" w:type="dxa"/>
            <w:vAlign w:val="bottom"/>
          </w:tcPr>
          <w:p>
            <w:pPr>
              <w:spacing w:after="0"/>
              <w:rPr>
                <w:sz w:val="12"/>
                <w:szCs w:val="12"/>
                <w:color w:val="auto"/>
              </w:rPr>
            </w:pPr>
          </w:p>
        </w:tc>
        <w:tc>
          <w:tcPr>
            <w:tcW w:w="13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and</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&amp; Services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&amp; Services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&amp; Services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Pr>
          <w:p>
            <w:pPr>
              <w:spacing w:after="0"/>
              <w:rPr>
                <w:sz w:val="15"/>
                <w:szCs w:val="15"/>
                <w:color w:val="auto"/>
              </w:rPr>
            </w:pPr>
          </w:p>
        </w:tc>
        <w:tc>
          <w:tcPr>
            <w:tcW w:w="13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Eliminations</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Revenues from third parties: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Year ended December 31, 2019</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13,460.8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10,244.6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3,154.7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3"/>
            <w:shd w:val="clear" w:color="auto" w:fill="CCEEFF"/>
          </w:tcPr>
          <w:p>
            <w:pPr>
              <w:ind w:left="920"/>
              <w:spacing w:after="0"/>
              <w:rPr>
                <w:sz w:val="20"/>
                <w:szCs w:val="20"/>
                <w:color w:val="auto"/>
              </w:rPr>
            </w:pPr>
            <w:r>
              <w:rPr>
                <w:rFonts w:ascii="Arial" w:cs="Arial" w:eastAsia="Arial" w:hAnsi="Arial"/>
                <w:sz w:val="14"/>
                <w:szCs w:val="14"/>
                <w:color w:val="auto"/>
              </w:rPr>
              <w:t>–   $</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32,721.9</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4"/>
                <w:szCs w:val="14"/>
                <w:color w:val="auto"/>
              </w:rPr>
              <w:t>Year ended December 31, 2018</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15,630.5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10,968.2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3,439.5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6,388.3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36,426.5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Year ended December 31, 2017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12,455.7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8,137.2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3,132.5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29,196.5</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Revenues from related parties: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Year ended December 31, 2019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4"/>
                <w:szCs w:val="14"/>
                <w:color w:val="auto"/>
              </w:rPr>
              <w:t>Year ended December 31, 2018</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74.4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107.7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Year ended December 31, 2017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Intersegment and intrasegment revenues: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Year ended December 31, 2019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20,840.4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34,613.0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(58,559.4)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4"/>
                <w:szCs w:val="14"/>
                <w:color w:val="auto"/>
              </w:rPr>
              <w:t>Year ended December 31, 2018</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26,453.6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35,490.4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721.9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2,917.5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(65,583.4)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Year ended December 31, 2017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27,278.6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15,943.0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(45,839.3)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Total revenues: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Year ended December 31, 2019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34,311.1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44,900.3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3,794.1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(58,559.4)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32,789.2</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4"/>
                <w:szCs w:val="14"/>
                <w:color w:val="auto"/>
              </w:rPr>
              <w:t>Year ended December 31, 2018</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42,102.5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46,533.0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4,176.3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9,305.8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(65,583.4)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36,534.2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Year ended December 31, 2017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39,746.6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24,099.8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3,996.4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(45,839.3)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29,241.5</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w w:val="96"/>
              </w:rPr>
              <w:t>Equity in income (loss) of unconsolidated affiliates: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Year ended December 31, 2019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449.2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(7.0)</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563.0</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4"/>
                <w:szCs w:val="14"/>
                <w:color w:val="auto"/>
              </w:rPr>
              <w:t>Year ended December 31, 2018</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117.0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365.4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(9.2)</w:t>
            </w:r>
          </w:p>
        </w:tc>
        <w:tc>
          <w:tcPr>
            <w:tcW w:w="140" w:type="dxa"/>
            <w:vAlign w:val="bottom"/>
          </w:tcPr>
          <w:p>
            <w:pPr>
              <w:spacing w:after="0"/>
              <w:rPr>
                <w:sz w:val="18"/>
                <w:szCs w:val="18"/>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480.0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Year ended December 31, 2017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358.4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(9.6)</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426.0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Segment revenues include intersegment and intrasegment transactions, which are generally based on transactions made at market-based rates. Our consolidated revenues reflect the elimination of intercompany transactions. Substantially all of our consolidated revenues are earned in the U.S. and derived from a wide customer base.</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include equity in income of unconsolidated affiliates in our measurement of segment gross operating margin and operating income. Equity investments with industry partners are a significant component of our business strategy. They are a means by which we conduct our operations to align our interests with those of customers and/or suppliers. This method of operation enables us to achieve favorable economies of scale relative to the level of investment and business risk assumed. Many of these businesses perform supporting or complementary roles to our other midstream business operations.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integrated midstream energy asset network (including the midstream energy assets owned by our unconsolidated affiliates) provides services to producers and consumers of natural gas, NGLs, crude oil, refined products and certain petrochemicals. In general, hydrocarbons may enter our asset system in a number of ways, such as through a natural gas gathering pipeline, natural gas processing facility, a crude oil pipeline or terminal, an NGL fractionator, an NGL storage facility or an NGL gathering or transportation pipeline. The assets of many of our equity investees are included within our integrated midstream network. For example, we use the Front Range Pipeline and Texas Express Pipeline to transport mixed NGLs to our Mont Belvieu NGL fractionation and storage complex and the Seaway Pipeline to transport crude oil to our terminals in the Houston, Texas area. Given the integral nature of these equity method investees to our operations, we believe the presentation of equity earnings from such investees as a component of gross operating margin and operating income is meaningful and appropriate.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6" w:name="page197"/>
    <w:bookmarkEnd w:id="19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Information by business segment, together with reconciliations to our Consolidated Balance Sheet totals, is presented in the following table:</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w w:val="94"/>
              </w:rPr>
              <w:t>Reportable Business Segments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NGL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8"/>
              </w:rPr>
              <w:t>Crude Oil</w:t>
            </w:r>
          </w:p>
        </w:tc>
        <w:tc>
          <w:tcPr>
            <w:tcW w:w="140" w:type="dxa"/>
            <w:vAlign w:val="bottom"/>
          </w:tcPr>
          <w:p>
            <w:pPr>
              <w:spacing w:after="0"/>
              <w:rPr>
                <w:sz w:val="10"/>
                <w:szCs w:val="10"/>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Natural Gas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48"/>
              <w:spacing w:after="0" w:line="126" w:lineRule="exact"/>
              <w:rPr>
                <w:sz w:val="20"/>
                <w:szCs w:val="20"/>
                <w:color w:val="auto"/>
              </w:rPr>
            </w:pPr>
            <w:r>
              <w:rPr>
                <w:rFonts w:ascii="Arial" w:cs="Arial" w:eastAsia="Arial" w:hAnsi="Arial"/>
                <w:sz w:val="14"/>
                <w:szCs w:val="14"/>
                <w:b w:val="1"/>
                <w:bCs w:val="1"/>
                <w:color w:val="auto"/>
                <w:w w:val="91"/>
              </w:rPr>
              <w:t>Petrochemical</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&amp; Refined</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Pipelines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Pipelines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Pipelines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Products</w:t>
            </w: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&amp; Services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&amp; Services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&amp; Services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 xml:space="preserve">Property, plant and equipment, net: </w:t>
            </w:r>
            <w:r>
              <w:rPr>
                <w:rFonts w:ascii="Arial" w:cs="Arial" w:eastAsia="Arial" w:hAnsi="Arial"/>
                <w:sz w:val="14"/>
                <w:szCs w:val="14"/>
                <w:color w:val="auto"/>
              </w:rPr>
              <w:t>(see Note 4)</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At December 31, 2019</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16,652.1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6,324.4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8,432.5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2,641.2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41,603.4</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4"/>
                <w:szCs w:val="14"/>
                <w:color w:val="auto"/>
              </w:rPr>
              <w:t>At December 31, 2018</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14,845.4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5,847.7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8,303.8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6,213.9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3,526.8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38,737.6</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At December 31, 2017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13,831.2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5,208.4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8,375.0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4,698.1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35,620.4</w:t>
            </w:r>
          </w:p>
        </w:tc>
        <w:tc>
          <w:tcPr>
            <w:tcW w:w="0" w:type="dxa"/>
            <w:vAlign w:val="bottom"/>
          </w:tcPr>
          <w:p>
            <w:pPr>
              <w:spacing w:after="0"/>
              <w:rPr>
                <w:sz w:val="1"/>
                <w:szCs w:val="1"/>
                <w:color w:val="auto"/>
              </w:rPr>
            </w:pPr>
          </w:p>
        </w:tc>
      </w:tr>
      <w:tr>
        <w:trPr>
          <w:trHeight w:val="130"/>
        </w:trPr>
        <w:tc>
          <w:tcPr>
            <w:tcW w:w="3340" w:type="dxa"/>
            <w:vAlign w:val="bottom"/>
          </w:tcPr>
          <w:p>
            <w:pPr>
              <w:spacing w:after="0" w:line="130" w:lineRule="exact"/>
              <w:rPr>
                <w:sz w:val="20"/>
                <w:szCs w:val="20"/>
                <w:color w:val="auto"/>
              </w:rPr>
            </w:pPr>
            <w:r>
              <w:rPr>
                <w:rFonts w:ascii="Arial" w:cs="Arial" w:eastAsia="Arial" w:hAnsi="Arial"/>
                <w:sz w:val="14"/>
                <w:szCs w:val="14"/>
                <w:b w:val="1"/>
                <w:bCs w:val="1"/>
                <w:color w:val="auto"/>
                <w:w w:val="99"/>
              </w:rPr>
              <w:t xml:space="preserve">Investments in unconsolidated affiliates: </w:t>
            </w:r>
            <w:r>
              <w:rPr>
                <w:rFonts w:ascii="Arial" w:cs="Arial" w:eastAsia="Arial" w:hAnsi="Arial"/>
                <w:sz w:val="14"/>
                <w:szCs w:val="14"/>
                <w:color w:val="auto"/>
                <w:w w:val="99"/>
              </w:rPr>
              <w:t>(see Note</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180"/>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At December 31, 2019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703.8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1,866.5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2,600.2</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4"/>
                <w:szCs w:val="14"/>
                <w:color w:val="auto"/>
              </w:rPr>
              <w:t>At December 31, 2018</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662.0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1,867.5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62.8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2,615.1</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At December 31, 2017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1,839.2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65.5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2,659.4</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 xml:space="preserve">Intangible assets, net: </w:t>
            </w:r>
            <w:r>
              <w:rPr>
                <w:rFonts w:ascii="Arial" w:cs="Arial" w:eastAsia="Arial" w:hAnsi="Arial"/>
                <w:sz w:val="14"/>
                <w:szCs w:val="14"/>
                <w:color w:val="auto"/>
              </w:rPr>
              <w:t>(see Note 6)</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At December 31, 2019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2,001.9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145.7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3,449.0</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4"/>
                <w:szCs w:val="14"/>
                <w:color w:val="auto"/>
              </w:rPr>
              <w:t>At December 31, 2018</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380.1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2,094.6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979.3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154.4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3,608.4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At December 31, 2017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2,186.5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1,018.4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163.1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3,690.3</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 xml:space="preserve">Goodwill: </w:t>
            </w:r>
            <w:r>
              <w:rPr>
                <w:rFonts w:ascii="Arial" w:cs="Arial" w:eastAsia="Arial" w:hAnsi="Arial"/>
                <w:sz w:val="14"/>
                <w:szCs w:val="14"/>
                <w:color w:val="auto"/>
              </w:rPr>
              <w:t>(see Note 6)</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At December 31, 2019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2,651.7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1,841.0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956.2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5,745.2</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4"/>
                <w:szCs w:val="14"/>
                <w:color w:val="auto"/>
              </w:rPr>
              <w:t>At December 31, 2018</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2,651.7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1,841.0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296.3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956.2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5,745.2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At December 31, 2017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2,651.7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1,841.0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956.2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5,745.2</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Segment assets: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At December 31, 2019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20,367.8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12,033.8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9,697.3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53,397.8</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4"/>
                <w:szCs w:val="14"/>
                <w:color w:val="auto"/>
              </w:rPr>
              <w:t>At December 31, 2018</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18,539.2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11,650.8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9,602.2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7,387.3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3,526.8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50,706.3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At December 31, 2017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17,539.1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11,075.1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9,710.5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4,698.1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47,715.3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Segment assets consist of property, plant and equipment, investments in unconsolidated affiliates, intangible assets and goodwill. The carrying values of such amounts are assigned to each segment based on each asset’s or investment’s principal operations and contribution to the gross operating margin of that particular segment. Since construction-in-progress (a component of property, plant and equipment) does not contribute to segment gross operating margin, such amounts are excluded from segment asset totals until the underlying assets are placed in service. Intangible assets and goodwill are assigned to each segment based on the classification of the assets to which they relate. The remainder of our consolidated total assets, which consist primarily of working capital assets, are excluded from segment assets since these amounts are not attributable to one specific segment (e.g. cash).</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7" w:name="page198"/>
    <w:bookmarkEnd w:id="19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Revenue and Expense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information regarding our consolidated revenues and costs and expenses for the years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For the Year Ended 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4"/>
                <w:szCs w:val="14"/>
                <w:b w:val="1"/>
                <w:bCs w:val="1"/>
                <w:color w:val="auto"/>
              </w:rPr>
              <w:t>Consolidated revenues: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NGL Pipelines &amp; Services</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13,470.7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15,648.9</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12,468.0</w:t>
            </w: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Crude Oil Pipelines &amp; Services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10,287.3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11,042.6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8,156.8</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Natural Gas Pipelines &amp; Services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3,169.4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3,454.4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3,145.6</w:t>
            </w: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Petrochemical &amp; Refined Products Services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5,861.8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6,388.3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5,471.1</w:t>
            </w:r>
          </w:p>
        </w:tc>
      </w:tr>
      <w:tr>
        <w:trPr>
          <w:trHeight w:val="27"/>
        </w:trPr>
        <w:tc>
          <w:tcPr>
            <w:tcW w:w="7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7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consolidated revenues</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32,789.2</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36,534.2</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29,241.5</w:t>
            </w:r>
          </w:p>
        </w:tc>
      </w:tr>
      <w:tr>
        <w:trPr>
          <w:trHeight w:val="210"/>
        </w:trPr>
        <w:tc>
          <w:tcPr>
            <w:tcW w:w="74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Consolidated costs and expenses: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Operating costs and expenses: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Cost of sales</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22,065.8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26,789.8</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21,487.0</w:t>
            </w:r>
          </w:p>
        </w:tc>
      </w:tr>
      <w:tr>
        <w:trPr>
          <w:trHeight w:val="216"/>
        </w:trPr>
        <w:tc>
          <w:tcPr>
            <w:tcW w:w="7440" w:type="dxa"/>
            <w:vAlign w:val="bottom"/>
          </w:tcPr>
          <w:p>
            <w:pPr>
              <w:ind w:left="340"/>
              <w:spacing w:after="0"/>
              <w:rPr>
                <w:sz w:val="20"/>
                <w:szCs w:val="20"/>
                <w:color w:val="auto"/>
              </w:rPr>
            </w:pPr>
            <w:r>
              <w:rPr>
                <w:rFonts w:ascii="Arial" w:cs="Arial" w:eastAsia="Arial" w:hAnsi="Arial"/>
                <w:sz w:val="14"/>
                <w:szCs w:val="14"/>
                <w:color w:val="auto"/>
              </w:rPr>
              <w:t>Other operating costs and expenses (1)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3,020.7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2,898.7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2,500.1</w:t>
            </w:r>
          </w:p>
        </w:tc>
      </w:tr>
      <w:tr>
        <w:trPr>
          <w:trHeight w:val="216"/>
        </w:trPr>
        <w:tc>
          <w:tcPr>
            <w:tcW w:w="7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Depreciation, amortization and accretion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1,848.3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1,687.0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1,531.3</w:t>
            </w:r>
          </w:p>
        </w:tc>
      </w:tr>
      <w:tr>
        <w:trPr>
          <w:trHeight w:val="216"/>
        </w:trPr>
        <w:tc>
          <w:tcPr>
            <w:tcW w:w="7440" w:type="dxa"/>
            <w:vAlign w:val="bottom"/>
          </w:tcPr>
          <w:p>
            <w:pPr>
              <w:ind w:left="340"/>
              <w:spacing w:after="0"/>
              <w:rPr>
                <w:sz w:val="20"/>
                <w:szCs w:val="20"/>
                <w:color w:val="auto"/>
              </w:rPr>
            </w:pPr>
            <w:r>
              <w:rPr>
                <w:rFonts w:ascii="Arial" w:cs="Arial" w:eastAsia="Arial" w:hAnsi="Arial"/>
                <w:sz w:val="14"/>
                <w:szCs w:val="14"/>
                <w:color w:val="auto"/>
              </w:rPr>
              <w:t>Asset impairment and related charges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132.7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50.5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49.8</w:t>
            </w:r>
          </w:p>
        </w:tc>
      </w:tr>
      <w:tr>
        <w:trPr>
          <w:trHeight w:val="216"/>
        </w:trPr>
        <w:tc>
          <w:tcPr>
            <w:tcW w:w="7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gains attributable to asset sales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(10.7)</w:t>
            </w: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General and administrative costs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211.7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208.3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181.1</w:t>
            </w:r>
          </w:p>
        </w:tc>
      </w:tr>
      <w:tr>
        <w:trPr>
          <w:trHeight w:val="27"/>
        </w:trPr>
        <w:tc>
          <w:tcPr>
            <w:tcW w:w="7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consolidated costs and expenses</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27,273.5</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31,605.6</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25,738.6</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380" w:hanging="372"/>
        <w:spacing w:after="0" w:line="253" w:lineRule="auto"/>
        <w:tabs>
          <w:tab w:leader="none" w:pos="38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Represents the cost of operating our plants, pipelines and other fixed assets excluding: depreciation, amortization and accretion charges; asset impairment and related charges; and net losses (or gains) attributable to asset sales and insurance recoveries.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Fluctuations in our product sales revenues and related cost of sales amounts are explained in part by changes in energy commodity prices. In general, lower energy commodity prices result in a decrease in our revenues attributable to product sales; however, these lower commodity prices also decrease the associated cost of sales as purchase costs are lower. The same type of correlation would be true in the case of higher energy commodity sales prices and purchase costs.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8" w:name="page199"/>
    <w:bookmarkEnd w:id="19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Unit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calculation of basic and diluted earnings per unit for the years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For the Year Ended 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4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4"/>
                <w:szCs w:val="14"/>
                <w:b w:val="1"/>
                <w:bCs w:val="1"/>
                <w:color w:val="auto"/>
              </w:rPr>
              <w:t>BASIC EARNINGS PER UNIT</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attributable to limited partners</w:t>
            </w:r>
          </w:p>
        </w:tc>
        <w:tc>
          <w:tcPr>
            <w:tcW w:w="720" w:type="dxa"/>
            <w:vAlign w:val="bottom"/>
            <w:shd w:val="clear" w:color="auto" w:fill="CCEEFF"/>
          </w:tcPr>
          <w:p>
            <w:pPr>
              <w:jc w:val="right"/>
              <w:ind w:right="605"/>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4,591.3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4,172.4</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2,799.3</w:t>
            </w: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Earnings allocated to phantom unit awards (1)</w:t>
            </w:r>
          </w:p>
        </w:tc>
        <w:tc>
          <w:tcPr>
            <w:tcW w:w="7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(27.7)</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(15.9)</w:t>
            </w:r>
          </w:p>
        </w:tc>
      </w:tr>
      <w:tr>
        <w:trPr>
          <w:trHeight w:val="27"/>
        </w:trPr>
        <w:tc>
          <w:tcPr>
            <w:tcW w:w="7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available to common unitholders</w:t>
            </w:r>
          </w:p>
        </w:tc>
        <w:tc>
          <w:tcPr>
            <w:tcW w:w="720" w:type="dxa"/>
            <w:vAlign w:val="bottom"/>
            <w:shd w:val="clear" w:color="auto" w:fill="CCEEFF"/>
          </w:tcPr>
          <w:p>
            <w:pPr>
              <w:jc w:val="right"/>
              <w:ind w:right="605"/>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4,563.6</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4,150.9</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2,783.4</w:t>
            </w:r>
          </w:p>
        </w:tc>
      </w:tr>
      <w:tr>
        <w:trPr>
          <w:trHeight w:val="210"/>
        </w:trPr>
        <w:tc>
          <w:tcPr>
            <w:tcW w:w="744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 weighted-average number of common units outstanding</w:t>
            </w:r>
          </w:p>
        </w:tc>
        <w:tc>
          <w:tcPr>
            <w:tcW w:w="7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2,188.6</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2,176.5</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2,145.0</w:t>
            </w:r>
          </w:p>
        </w:tc>
      </w:tr>
      <w:tr>
        <w:trPr>
          <w:trHeight w:val="210"/>
        </w:trPr>
        <w:tc>
          <w:tcPr>
            <w:tcW w:w="744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 earnings per unit</w:t>
            </w:r>
          </w:p>
        </w:tc>
        <w:tc>
          <w:tcPr>
            <w:tcW w:w="720" w:type="dxa"/>
            <w:vAlign w:val="bottom"/>
            <w:shd w:val="clear" w:color="auto" w:fill="CCEEFF"/>
          </w:tcPr>
          <w:p>
            <w:pPr>
              <w:jc w:val="right"/>
              <w:ind w:right="605"/>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1.91</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w:t>
            </w:r>
          </w:p>
        </w:tc>
      </w:tr>
      <w:tr>
        <w:trPr>
          <w:trHeight w:val="210"/>
        </w:trPr>
        <w:tc>
          <w:tcPr>
            <w:tcW w:w="744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DILUTED EARNINGS PER UNIT</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Net income attributable to limited partners</w:t>
            </w:r>
          </w:p>
        </w:tc>
        <w:tc>
          <w:tcPr>
            <w:tcW w:w="720" w:type="dxa"/>
            <w:vAlign w:val="bottom"/>
          </w:tcPr>
          <w:p>
            <w:pPr>
              <w:jc w:val="right"/>
              <w:ind w:right="605"/>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89"/>
              </w:rPr>
              <w:t>4,591.3</w:t>
            </w:r>
          </w:p>
        </w:tc>
        <w:tc>
          <w:tcPr>
            <w:tcW w:w="22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4,172.4</w:t>
            </w:r>
          </w:p>
        </w:tc>
        <w:tc>
          <w:tcPr>
            <w:tcW w:w="4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2,799.3</w:t>
            </w:r>
          </w:p>
        </w:tc>
      </w:tr>
      <w:tr>
        <w:trPr>
          <w:trHeight w:val="21"/>
        </w:trPr>
        <w:tc>
          <w:tcPr>
            <w:tcW w:w="7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Diluted weighted-average number of units outstanding:</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Distribution-bearing common units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2,188.6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2,176.5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2,145.0</w:t>
            </w:r>
          </w:p>
        </w:tc>
      </w:tr>
      <w:tr>
        <w:trPr>
          <w:trHeight w:val="216"/>
        </w:trPr>
        <w:tc>
          <w:tcPr>
            <w:tcW w:w="7440" w:type="dxa"/>
            <w:vAlign w:val="bottom"/>
          </w:tcPr>
          <w:p>
            <w:pPr>
              <w:ind w:left="340"/>
              <w:spacing w:after="0"/>
              <w:rPr>
                <w:sz w:val="20"/>
                <w:szCs w:val="20"/>
                <w:color w:val="auto"/>
              </w:rPr>
            </w:pPr>
            <w:r>
              <w:rPr>
                <w:rFonts w:ascii="Arial" w:cs="Arial" w:eastAsia="Arial" w:hAnsi="Arial"/>
                <w:sz w:val="14"/>
                <w:szCs w:val="14"/>
                <w:color w:val="auto"/>
              </w:rPr>
              <w:t>Phantom units (1)</w:t>
            </w: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9.3</w:t>
            </w:r>
          </w:p>
        </w:tc>
      </w:tr>
      <w:tr>
        <w:trPr>
          <w:trHeight w:val="27"/>
        </w:trPr>
        <w:tc>
          <w:tcPr>
            <w:tcW w:w="7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w:t>
            </w:r>
          </w:p>
        </w:tc>
        <w:tc>
          <w:tcPr>
            <w:tcW w:w="7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2,201.7</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2,187.0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2,154.3</w:t>
            </w:r>
          </w:p>
        </w:tc>
      </w:tr>
      <w:tr>
        <w:trPr>
          <w:trHeight w:val="210"/>
        </w:trPr>
        <w:tc>
          <w:tcPr>
            <w:tcW w:w="744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Diluted earnings per unit</w:t>
            </w:r>
          </w:p>
        </w:tc>
        <w:tc>
          <w:tcPr>
            <w:tcW w:w="720" w:type="dxa"/>
            <w:vAlign w:val="bottom"/>
            <w:shd w:val="clear" w:color="auto" w:fill="CCEEFF"/>
          </w:tcPr>
          <w:p>
            <w:pPr>
              <w:jc w:val="right"/>
              <w:ind w:right="605"/>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1.91</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340" w:hanging="332"/>
        <w:spacing w:after="0"/>
        <w:tabs>
          <w:tab w:leader="none" w:pos="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Phantom units are considered participating securities for purposes of computing basic earnings per unit. See Note 13 for information regarding our phantom units.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Business Combinations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Delaware Processing</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2018, we acquired the remaining 50% member interest in our former Delaware Processing joint venture for $151 million in cash, net of $3.9 million of cash held by the venture. As a result, Delaware Processing became a wholly-owned consolidated subsidiary of ours. Delaware Processing owns a cryogenic natural gas processing facility having a capacity of 150 million cubic feet per day (“MMcf/d”). The facility, which is located in Reeves County, Texas and entered service in August 2016, serves producers in the Delaware Basin in West Texas and southern New Mexico.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final fair value allocation of assets acquired and liabilities assumed in the Delaware Processing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 price for remaining 50% equity interest in Delaware Processing</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Fair value of our 50% equity interest in Delaware Processing held before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54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8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Total</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Recognized amounts of identifiable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Assets acquired in business combination:</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Current assets, including cash of $3.9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Property, plant and equipment</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Contract-based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54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9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Customer relationship intangible assets</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Liabilities assumed in business combination:</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Current liabilities</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left="803" w:hanging="803"/>
        <w:spacing w:after="0"/>
        <w:tabs>
          <w:tab w:leader="none" w:pos="803" w:val="left"/>
        </w:tabs>
        <w:numPr>
          <w:ilvl w:val="0"/>
          <w:numId w:val="112"/>
        </w:numPr>
        <w:rPr>
          <w:rFonts w:ascii="Arial" w:cs="Arial" w:eastAsia="Arial" w:hAnsi="Arial"/>
          <w:sz w:val="14"/>
          <w:szCs w:val="14"/>
          <w:color w:val="auto"/>
        </w:rPr>
      </w:pPr>
      <w:r>
        <w:rPr>
          <w:rFonts w:ascii="Arial" w:cs="Arial" w:eastAsia="Arial" w:hAnsi="Arial"/>
          <w:sz w:val="14"/>
          <w:szCs w:val="14"/>
          <w:color w:val="auto"/>
        </w:rPr>
        <w:t>154.5</w:t>
      </w:r>
    </w:p>
    <w:p>
      <w:pPr>
        <w:spacing w:after="0" w:line="55" w:lineRule="exact"/>
        <w:rPr>
          <w:rFonts w:ascii="Arial" w:cs="Arial" w:eastAsia="Arial" w:hAnsi="Arial"/>
          <w:sz w:val="14"/>
          <w:szCs w:val="14"/>
          <w:color w:val="auto"/>
        </w:rPr>
      </w:pPr>
    </w:p>
    <w:p>
      <w:pPr>
        <w:ind w:left="803"/>
        <w:spacing w:after="0"/>
        <w:rPr>
          <w:rFonts w:ascii="Arial" w:cs="Arial" w:eastAsia="Arial" w:hAnsi="Arial"/>
          <w:sz w:val="14"/>
          <w:szCs w:val="14"/>
          <w:color w:val="auto"/>
        </w:rPr>
      </w:pPr>
      <w:r>
        <w:rPr>
          <w:rFonts w:ascii="Arial" w:cs="Arial" w:eastAsia="Arial" w:hAnsi="Arial"/>
          <w:sz w:val="14"/>
          <w:szCs w:val="14"/>
          <w:color w:val="auto"/>
        </w:rPr>
        <w:t>146.4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2009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9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62" w:lineRule="exact"/>
        <w:rPr>
          <w:sz w:val="20"/>
          <w:szCs w:val="20"/>
          <w:color w:val="auto"/>
        </w:rPr>
      </w:pPr>
    </w:p>
    <w:p>
      <w:pPr>
        <w:ind w:left="803" w:hanging="803"/>
        <w:spacing w:after="0"/>
        <w:tabs>
          <w:tab w:leader="none" w:pos="803" w:val="left"/>
        </w:tabs>
        <w:numPr>
          <w:ilvl w:val="0"/>
          <w:numId w:val="113"/>
        </w:numPr>
        <w:rPr>
          <w:rFonts w:ascii="Arial" w:cs="Arial" w:eastAsia="Arial" w:hAnsi="Arial"/>
          <w:sz w:val="14"/>
          <w:szCs w:val="14"/>
          <w:color w:val="auto"/>
        </w:rPr>
      </w:pPr>
      <w:r>
        <w:rPr>
          <w:rFonts w:ascii="Arial" w:cs="Arial" w:eastAsia="Arial" w:hAnsi="Arial"/>
          <w:sz w:val="14"/>
          <w:szCs w:val="14"/>
          <w:color w:val="auto"/>
        </w:rPr>
        <w:t>300.9</w:t>
      </w:r>
    </w:p>
    <w:p>
      <w:pPr>
        <w:spacing w:after="0" w:line="200" w:lineRule="exact"/>
        <w:rPr>
          <w:sz w:val="20"/>
          <w:szCs w:val="20"/>
          <w:color w:val="auto"/>
        </w:rPr>
      </w:pPr>
    </w:p>
    <w:p>
      <w:pPr>
        <w:spacing w:after="0" w:line="314" w:lineRule="exact"/>
        <w:rPr>
          <w:sz w:val="20"/>
          <w:szCs w:val="20"/>
          <w:color w:val="auto"/>
        </w:rPr>
      </w:pPr>
    </w:p>
    <w:p>
      <w:pPr>
        <w:ind w:left="883" w:hanging="883"/>
        <w:spacing w:after="0"/>
        <w:tabs>
          <w:tab w:leader="none" w:pos="883" w:val="left"/>
        </w:tabs>
        <w:numPr>
          <w:ilvl w:val="0"/>
          <w:numId w:val="114"/>
        </w:numPr>
        <w:rPr>
          <w:rFonts w:ascii="Arial" w:cs="Arial" w:eastAsia="Arial" w:hAnsi="Arial"/>
          <w:sz w:val="14"/>
          <w:szCs w:val="14"/>
          <w:color w:val="auto"/>
        </w:rPr>
      </w:pPr>
      <w:r>
        <w:rPr>
          <w:rFonts w:ascii="Arial" w:cs="Arial" w:eastAsia="Arial" w:hAnsi="Arial"/>
          <w:sz w:val="14"/>
          <w:szCs w:val="14"/>
          <w:color w:val="auto"/>
        </w:rPr>
        <w:t>10.8</w:t>
      </w:r>
    </w:p>
    <w:p>
      <w:pPr>
        <w:spacing w:after="0" w:line="55" w:lineRule="exact"/>
        <w:rPr>
          <w:rFonts w:ascii="Arial" w:cs="Arial" w:eastAsia="Arial" w:hAnsi="Arial"/>
          <w:sz w:val="14"/>
          <w:szCs w:val="14"/>
          <w:color w:val="auto"/>
        </w:rPr>
      </w:pPr>
    </w:p>
    <w:p>
      <w:pPr>
        <w:ind w:left="803"/>
        <w:spacing w:after="0"/>
        <w:rPr>
          <w:rFonts w:ascii="Arial" w:cs="Arial" w:eastAsia="Arial" w:hAnsi="Arial"/>
          <w:sz w:val="14"/>
          <w:szCs w:val="14"/>
          <w:color w:val="auto"/>
        </w:rPr>
      </w:pPr>
      <w:r>
        <w:rPr>
          <w:rFonts w:ascii="Arial" w:cs="Arial" w:eastAsia="Arial" w:hAnsi="Arial"/>
          <w:sz w:val="14"/>
          <w:szCs w:val="14"/>
          <w:color w:val="auto"/>
        </w:rPr>
        <w:t>200.0</w:t>
      </w:r>
    </w:p>
    <w:p>
      <w:pPr>
        <w:spacing w:after="0" w:line="55" w:lineRule="exact"/>
        <w:rPr>
          <w:rFonts w:ascii="Arial" w:cs="Arial" w:eastAsia="Arial" w:hAnsi="Arial"/>
          <w:sz w:val="14"/>
          <w:szCs w:val="14"/>
          <w:color w:val="auto"/>
        </w:rPr>
      </w:pPr>
    </w:p>
    <w:p>
      <w:pPr>
        <w:ind w:left="883"/>
        <w:spacing w:after="0"/>
        <w:rPr>
          <w:rFonts w:ascii="Arial" w:cs="Arial" w:eastAsia="Arial" w:hAnsi="Arial"/>
          <w:sz w:val="14"/>
          <w:szCs w:val="14"/>
          <w:color w:val="auto"/>
        </w:rPr>
      </w:pPr>
      <w:r>
        <w:rPr>
          <w:rFonts w:ascii="Arial" w:cs="Arial" w:eastAsia="Arial" w:hAnsi="Arial"/>
          <w:sz w:val="14"/>
          <w:szCs w:val="14"/>
          <w:color w:val="auto"/>
        </w:rPr>
        <w:t>82.6</w:t>
      </w:r>
    </w:p>
    <w:p>
      <w:pPr>
        <w:spacing w:after="0" w:line="55" w:lineRule="exact"/>
        <w:rPr>
          <w:rFonts w:ascii="Arial" w:cs="Arial" w:eastAsia="Arial" w:hAnsi="Arial"/>
          <w:sz w:val="14"/>
          <w:szCs w:val="14"/>
          <w:color w:val="auto"/>
        </w:rPr>
      </w:pPr>
    </w:p>
    <w:p>
      <w:pPr>
        <w:ind w:left="963"/>
        <w:spacing w:after="0"/>
        <w:rPr>
          <w:rFonts w:ascii="Arial" w:cs="Arial" w:eastAsia="Arial" w:hAnsi="Arial"/>
          <w:sz w:val="14"/>
          <w:szCs w:val="14"/>
          <w:color w:val="auto"/>
        </w:rPr>
      </w:pPr>
      <w:r>
        <w:rPr>
          <w:rFonts w:ascii="Arial" w:cs="Arial" w:eastAsia="Arial" w:hAnsi="Arial"/>
          <w:sz w:val="14"/>
          <w:szCs w:val="14"/>
          <w:color w:val="auto"/>
        </w:rPr>
        <w:t>9.9</w:t>
      </w:r>
    </w:p>
    <w:p>
      <w:pPr>
        <w:spacing w:after="0" w:line="82" w:lineRule="exact"/>
        <w:rPr>
          <w:sz w:val="20"/>
          <w:szCs w:val="20"/>
          <w:color w:val="auto"/>
        </w:rPr>
      </w:pPr>
    </w:p>
    <w:p>
      <w:pPr>
        <w:ind w:left="803" w:hanging="803"/>
        <w:spacing w:after="0"/>
        <w:tabs>
          <w:tab w:leader="none" w:pos="803" w:val="left"/>
        </w:tabs>
        <w:numPr>
          <w:ilvl w:val="0"/>
          <w:numId w:val="115"/>
        </w:numPr>
        <w:rPr>
          <w:rFonts w:ascii="Arial" w:cs="Arial" w:eastAsia="Arial" w:hAnsi="Arial"/>
          <w:sz w:val="14"/>
          <w:szCs w:val="14"/>
          <w:color w:val="auto"/>
        </w:rPr>
      </w:pPr>
      <w:r>
        <w:rPr>
          <w:rFonts w:ascii="Arial" w:cs="Arial" w:eastAsia="Arial" w:hAnsi="Arial"/>
          <w:sz w:val="14"/>
          <w:szCs w:val="14"/>
          <w:color w:val="auto"/>
        </w:rPr>
        <w:t>303.3</w:t>
      </w:r>
    </w:p>
    <w:p>
      <w:pPr>
        <w:spacing w:after="0" w:line="298" w:lineRule="exact"/>
        <w:rPr>
          <w:rFonts w:ascii="Arial" w:cs="Arial" w:eastAsia="Arial" w:hAnsi="Arial"/>
          <w:sz w:val="14"/>
          <w:szCs w:val="14"/>
          <w:color w:val="auto"/>
        </w:rPr>
      </w:pPr>
    </w:p>
    <w:p>
      <w:pPr>
        <w:ind w:left="903" w:hanging="903"/>
        <w:spacing w:after="0"/>
        <w:tabs>
          <w:tab w:leader="none" w:pos="903" w:val="left"/>
        </w:tabs>
        <w:numPr>
          <w:ilvl w:val="0"/>
          <w:numId w:val="115"/>
        </w:numPr>
        <w:rPr>
          <w:rFonts w:ascii="Arial" w:cs="Arial" w:eastAsia="Arial" w:hAnsi="Arial"/>
          <w:sz w:val="13"/>
          <w:szCs w:val="13"/>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-279400</wp:posOffset>
            </wp:positionV>
            <wp:extent cx="72009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9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9457" w:space="720"/>
            <w:col w:w="1243"/>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101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Long-term liabilities</w:t>
            </w:r>
          </w:p>
        </w:tc>
        <w:tc>
          <w:tcPr>
            <w:tcW w:w="4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(0.6)</w:t>
            </w:r>
          </w:p>
        </w:tc>
      </w:tr>
      <w:tr>
        <w:trPr>
          <w:trHeight w:val="27"/>
        </w:trPr>
        <w:tc>
          <w:tcPr>
            <w:tcW w:w="101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10180" w:type="dxa"/>
            <w:vAlign w:val="bottom"/>
          </w:tcPr>
          <w:p>
            <w:pPr>
              <w:ind w:left="240"/>
              <w:spacing w:after="0"/>
              <w:rPr>
                <w:sz w:val="20"/>
                <w:szCs w:val="20"/>
                <w:color w:val="auto"/>
              </w:rPr>
            </w:pPr>
            <w:r>
              <w:rPr>
                <w:rFonts w:ascii="Arial" w:cs="Arial" w:eastAsia="Arial" w:hAnsi="Arial"/>
                <w:sz w:val="14"/>
                <w:szCs w:val="14"/>
                <w:color w:val="auto"/>
              </w:rPr>
              <w:t>Total liabilities assumed</w:t>
            </w: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(2.4)</w:t>
            </w:r>
          </w:p>
        </w:tc>
      </w:tr>
      <w:tr>
        <w:trPr>
          <w:trHeight w:val="223"/>
        </w:trPr>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identifiable net assets</w:t>
            </w:r>
          </w:p>
        </w:tc>
        <w:tc>
          <w:tcPr>
            <w:tcW w:w="44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4"/>
                <w:szCs w:val="14"/>
                <w:b w:val="1"/>
                <w:bCs w:val="1"/>
                <w:color w:val="auto"/>
              </w:rPr>
              <w:t>Goodwill</w:t>
            </w: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10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99" w:name="page200"/>
    <w:bookmarkEnd w:id="19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Prior to this acquisition, we accounted for our investment using the equity method. On a historical pro forma basis, our consolidated revenues, costs and expenses, operating income, net income attributable to Enterprise Products Partners L.P. and earnings per unit amounts for the years ended December 31, 2018 and 2017 would not have differed materially from those we reported had the acquisition been completed on January 1, 2017 rather than March 29, 2018.</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29, 2018, our 50% equity investment in Delaware Processing was recorded at $107.0 million. Upon acquisition of the remaining 50% member interest, our existing equity investment was remeasured to fair value resulting in the recognition of a non-cash $39.4 million gain, which is presented within “Other income (expense)” on our Consolidated Statement of Operations for the year ended December 31, 2018.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results for this business are reported under the NGL Pipelines &amp; Services business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Azure Midstream</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April 2017, we acquired a midstream energy business from Azure Midstream Partners, LP and its operating subsidiaries (collectively, “Azure”) for $191.4 million in cash. The acquired business consists of approximately 750 miles of natural gas gathering pipelines and two natural gas processing facilities located in East Texas. These assets serve producers working in the Haynesville Shale and Bossier, Cotton Valley and Travis Peak formations.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results of the acquired business are reflected in our consolidated results from April 30, 2017, which was the effective date of the Azure acquisition. On a historical pro forma basis, our consolidated revenues, costs and expenses, operating income, net income attributable to Enterprise Products Partners L.P., and earnings per unit amounts for the year ended December 31, 2017 would not have differed materially from those we reported had the acquisition been completed on January 1, 2017 rather than April 30, 2017.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final fair value allocation of assets acquired and liabilities assumed in the Azure acquisition.</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180" w:type="dxa"/>
            <w:vAlign w:val="bottom"/>
          </w:tcPr>
          <w:p>
            <w:pPr>
              <w:spacing w:after="0"/>
              <w:rPr>
                <w:sz w:val="20"/>
                <w:szCs w:val="20"/>
                <w:color w:val="auto"/>
              </w:rPr>
            </w:pPr>
            <w:r>
              <w:rPr>
                <w:rFonts w:ascii="Arial" w:cs="Arial" w:eastAsia="Arial" w:hAnsi="Arial"/>
                <w:sz w:val="14"/>
                <w:szCs w:val="14"/>
                <w:b w:val="1"/>
                <w:bCs w:val="1"/>
                <w:color w:val="auto"/>
              </w:rPr>
              <w:t>Assets acquired in business combination:</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10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assets</w:t>
            </w: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8"/>
                <w:szCs w:val="18"/>
                <w:color w:val="auto"/>
              </w:rPr>
            </w:pPr>
          </w:p>
        </w:tc>
      </w:tr>
      <w:tr>
        <w:trPr>
          <w:trHeight w:val="223"/>
        </w:trPr>
        <w:tc>
          <w:tcPr>
            <w:tcW w:w="10180" w:type="dxa"/>
            <w:vAlign w:val="bottom"/>
          </w:tcPr>
          <w:p>
            <w:pPr>
              <w:ind w:left="180"/>
              <w:spacing w:after="0"/>
              <w:rPr>
                <w:sz w:val="20"/>
                <w:szCs w:val="20"/>
                <w:color w:val="auto"/>
              </w:rPr>
            </w:pPr>
            <w:r>
              <w:rPr>
                <w:rFonts w:ascii="Arial" w:cs="Arial" w:eastAsia="Arial" w:hAnsi="Arial"/>
                <w:sz w:val="14"/>
                <w:szCs w:val="14"/>
                <w:color w:val="auto"/>
              </w:rPr>
              <w:t>Property, plant and equipment</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193.1</w:t>
            </w:r>
          </w:p>
        </w:tc>
        <w:tc>
          <w:tcPr>
            <w:tcW w:w="80" w:type="dxa"/>
            <w:vAlign w:val="bottom"/>
          </w:tcPr>
          <w:p>
            <w:pPr>
              <w:spacing w:after="0"/>
              <w:rPr>
                <w:sz w:val="19"/>
                <w:szCs w:val="19"/>
                <w:color w:val="auto"/>
              </w:rPr>
            </w:pPr>
          </w:p>
        </w:tc>
      </w:tr>
      <w:tr>
        <w:trPr>
          <w:trHeight w:val="223"/>
        </w:trPr>
        <w:tc>
          <w:tcPr>
            <w:tcW w:w="10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assets acquired</w:t>
            </w:r>
          </w:p>
        </w:tc>
        <w:tc>
          <w:tcPr>
            <w:tcW w:w="4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196.2</w:t>
            </w:r>
          </w:p>
        </w:tc>
        <w:tc>
          <w:tcPr>
            <w:tcW w:w="80" w:type="dxa"/>
            <w:vAlign w:val="bottom"/>
            <w:shd w:val="clear" w:color="auto" w:fill="CCEEFF"/>
          </w:tcPr>
          <w:p>
            <w:pPr>
              <w:spacing w:after="0"/>
              <w:rPr>
                <w:sz w:val="19"/>
                <w:szCs w:val="19"/>
                <w:color w:val="auto"/>
              </w:rPr>
            </w:pPr>
          </w:p>
        </w:tc>
      </w:tr>
      <w:tr>
        <w:trPr>
          <w:trHeight w:val="216"/>
        </w:trPr>
        <w:tc>
          <w:tcPr>
            <w:tcW w:w="1018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Liabilities assumed in business combination:</w:t>
            </w: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10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liabilities</w:t>
            </w:r>
          </w:p>
        </w:tc>
        <w:tc>
          <w:tcPr>
            <w:tcW w:w="4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(1.4)</w:t>
            </w:r>
          </w:p>
        </w:tc>
      </w:tr>
      <w:tr>
        <w:trPr>
          <w:trHeight w:val="216"/>
        </w:trPr>
        <w:tc>
          <w:tcPr>
            <w:tcW w:w="10180" w:type="dxa"/>
            <w:vAlign w:val="bottom"/>
          </w:tcPr>
          <w:p>
            <w:pPr>
              <w:ind w:left="180"/>
              <w:spacing w:after="0"/>
              <w:rPr>
                <w:sz w:val="20"/>
                <w:szCs w:val="20"/>
                <w:color w:val="auto"/>
              </w:rPr>
            </w:pPr>
            <w:r>
              <w:rPr>
                <w:rFonts w:ascii="Arial" w:cs="Arial" w:eastAsia="Arial" w:hAnsi="Arial"/>
                <w:sz w:val="14"/>
                <w:szCs w:val="14"/>
                <w:color w:val="auto"/>
              </w:rPr>
              <w:t>Long-term liabilities</w:t>
            </w:r>
          </w:p>
        </w:tc>
        <w:tc>
          <w:tcPr>
            <w:tcW w:w="44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(3.4)</w:t>
            </w:r>
          </w:p>
        </w:tc>
      </w:tr>
      <w:tr>
        <w:trPr>
          <w:trHeight w:val="27"/>
        </w:trPr>
        <w:tc>
          <w:tcPr>
            <w:tcW w:w="10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gridSpan w:val="2"/>
          </w:tcPr>
          <w:p>
            <w:pPr>
              <w:spacing w:after="0"/>
              <w:rPr>
                <w:sz w:val="2"/>
                <w:szCs w:val="2"/>
                <w:color w:val="auto"/>
              </w:rPr>
            </w:pPr>
          </w:p>
        </w:tc>
      </w:tr>
      <w:tr>
        <w:trPr>
          <w:trHeight w:val="223"/>
        </w:trPr>
        <w:tc>
          <w:tcPr>
            <w:tcW w:w="10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liabilities assumed</w:t>
            </w:r>
          </w:p>
        </w:tc>
        <w:tc>
          <w:tcPr>
            <w:tcW w:w="4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(4.8)</w:t>
            </w:r>
          </w:p>
        </w:tc>
      </w:tr>
      <w:tr>
        <w:trPr>
          <w:trHeight w:val="216"/>
        </w:trPr>
        <w:tc>
          <w:tcPr>
            <w:tcW w:w="1018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Total identifiable net assets</w:t>
            </w:r>
          </w:p>
        </w:tc>
        <w:tc>
          <w:tcPr>
            <w:tcW w:w="4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10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contribution of this acquired business to our consolidated revenues and net income was not material for the year ended December 31, 2017.</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Equity-Based Awards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allocated portion of the fair value of EPCO’s equity-based awards is charged to us under the ASA. The following table summarizes compensation expense we recognized in connection with equity-based awards for the years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7"/>
              </w:rPr>
              <w:t>For the Year Ended 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440" w:type="dxa"/>
            <w:vAlign w:val="bottom"/>
          </w:tcPr>
          <w:p>
            <w:pPr>
              <w:spacing w:after="0"/>
              <w:rPr>
                <w:sz w:val="19"/>
                <w:szCs w:val="19"/>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4"/>
                <w:szCs w:val="14"/>
                <w:b w:val="1"/>
                <w:bCs w:val="1"/>
                <w:color w:val="auto"/>
              </w:rPr>
              <w:t>Equity-classified awards:</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Phantom unit awards</w:t>
            </w:r>
          </w:p>
        </w:tc>
        <w:tc>
          <w:tcPr>
            <w:tcW w:w="780" w:type="dxa"/>
            <w:vAlign w:val="bottom"/>
            <w:shd w:val="clear" w:color="auto" w:fill="CCEEFF"/>
          </w:tcPr>
          <w:p>
            <w:pPr>
              <w:jc w:val="right"/>
              <w:ind w:right="66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99.7</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92.8</w:t>
            </w: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Profits interest awards</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6.0</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common unit awards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0.5</w:t>
            </w:r>
          </w:p>
        </w:tc>
      </w:tr>
      <w:tr>
        <w:trPr>
          <w:trHeight w:val="216"/>
        </w:trPr>
        <w:tc>
          <w:tcPr>
            <w:tcW w:w="7440" w:type="dxa"/>
            <w:vAlign w:val="bottom"/>
          </w:tcPr>
          <w:p>
            <w:pPr>
              <w:spacing w:after="0"/>
              <w:rPr>
                <w:sz w:val="20"/>
                <w:szCs w:val="20"/>
                <w:color w:val="auto"/>
              </w:rPr>
            </w:pPr>
            <w:r>
              <w:rPr>
                <w:rFonts w:ascii="Arial" w:cs="Arial" w:eastAsia="Arial" w:hAnsi="Arial"/>
                <w:sz w:val="14"/>
                <w:szCs w:val="14"/>
                <w:b w:val="1"/>
                <w:bCs w:val="1"/>
                <w:color w:val="auto"/>
              </w:rPr>
              <w:t>Liability-classified awards</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0.4</w:t>
            </w:r>
          </w:p>
        </w:tc>
      </w:tr>
      <w:tr>
        <w:trPr>
          <w:trHeight w:val="27"/>
        </w:trPr>
        <w:tc>
          <w:tcPr>
            <w:tcW w:w="7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780" w:type="dxa"/>
            <w:vAlign w:val="bottom"/>
            <w:shd w:val="clear" w:color="auto" w:fill="CCEEFF"/>
          </w:tcPr>
          <w:p>
            <w:pPr>
              <w:jc w:val="right"/>
              <w:ind w:right="66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106.1</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99.7</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0" w:name="page201"/>
    <w:bookmarkEnd w:id="20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fair value of equity-classified awards is amortized to earnings over the requisite service or vesting period. Equity-classified awards are expected to result in the issuance of common units upon vesting. Compensation expense for liability-classified awards is recognized over the requisite service or vesting period based on the fair value of the award remeasured at each reporting date. Liability-classified awards are settled in cash upon vesting.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Unit Awards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customary forfeiture provisions, phantom unit awards allow recipients to acquire EPD common units once a defined vesting period expires (at no cost to the recipient apart from fulfilling required service and other conditions). We expect phantom units to result in the issuance of common units upon vesting; therefore, these grants are accounted for as equity-classified awards. Phantom unit awards generally vest at a rate of 25% per year beginning one year after the grant date and are non-vested until the required service periods expire.</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grant date fair value of a phantom unit award is based on the market price per unit of EPD common units on the date of grant. Compensation expense is recognized based on the grant date fair value, net of an allowance for estimated forfeitures, over the requisite service or vesting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phantom unit award activity for the years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820" w:type="dxa"/>
            <w:vAlign w:val="bottom"/>
          </w:tcPr>
          <w:p>
            <w:pPr>
              <w:spacing w:after="0"/>
              <w:rPr>
                <w:sz w:val="12"/>
                <w:szCs w:val="12"/>
                <w:color w:val="auto"/>
              </w:rPr>
            </w:pPr>
          </w:p>
        </w:tc>
        <w:tc>
          <w:tcPr>
            <w:tcW w:w="12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88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78"/>
        </w:trPr>
        <w:tc>
          <w:tcPr>
            <w:tcW w:w="8820" w:type="dxa"/>
            <w:vAlign w:val="bottom"/>
          </w:tcPr>
          <w:p>
            <w:pPr>
              <w:spacing w:after="0"/>
              <w:rPr>
                <w:sz w:val="15"/>
                <w:szCs w:val="15"/>
                <w:color w:val="auto"/>
              </w:rPr>
            </w:pP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Units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7"/>
              </w:rPr>
              <w:t xml:space="preserve">per Unit </w:t>
            </w:r>
            <w:r>
              <w:rPr>
                <w:rFonts w:ascii="Arial" w:cs="Arial" w:eastAsia="Arial" w:hAnsi="Arial"/>
                <w:sz w:val="14"/>
                <w:szCs w:val="14"/>
                <w:color w:val="auto"/>
                <w:w w:val="97"/>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Phantom unit awards at December 31, 2016</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7,767,501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27.20</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4"/>
                <w:szCs w:val="14"/>
                <w:color w:val="auto"/>
              </w:rPr>
              <w:t>Granted (2)</w:t>
            </w:r>
          </w:p>
        </w:tc>
        <w:tc>
          <w:tcPr>
            <w:tcW w:w="1140" w:type="dxa"/>
            <w:vAlign w:val="bottom"/>
          </w:tcPr>
          <w:p>
            <w:pPr>
              <w:jc w:val="right"/>
              <w:spacing w:after="0"/>
              <w:rPr>
                <w:sz w:val="20"/>
                <w:szCs w:val="20"/>
                <w:color w:val="auto"/>
              </w:rPr>
            </w:pPr>
            <w:r>
              <w:rPr>
                <w:rFonts w:ascii="Arial" w:cs="Arial" w:eastAsia="Arial" w:hAnsi="Arial"/>
                <w:sz w:val="14"/>
                <w:szCs w:val="14"/>
                <w:color w:val="auto"/>
              </w:rPr>
              <w:t>4,268,920</w:t>
            </w:r>
          </w:p>
        </w:tc>
        <w:tc>
          <w:tcPr>
            <w:tcW w:w="1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28.83</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Vested</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(2,490,081)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28.30</w:t>
            </w:r>
          </w:p>
        </w:tc>
        <w:tc>
          <w:tcPr>
            <w:tcW w:w="0" w:type="dxa"/>
            <w:vAlign w:val="bottom"/>
          </w:tcPr>
          <w:p>
            <w:pPr>
              <w:spacing w:after="0"/>
              <w:rPr>
                <w:sz w:val="1"/>
                <w:szCs w:val="1"/>
                <w:color w:val="auto"/>
              </w:rPr>
            </w:pPr>
          </w:p>
        </w:tc>
      </w:tr>
      <w:tr>
        <w:trPr>
          <w:trHeight w:val="223"/>
        </w:trPr>
        <w:tc>
          <w:tcPr>
            <w:tcW w:w="8820" w:type="dxa"/>
            <w:vAlign w:val="bottom"/>
          </w:tcPr>
          <w:p>
            <w:pPr>
              <w:ind w:left="180"/>
              <w:spacing w:after="0"/>
              <w:rPr>
                <w:sz w:val="20"/>
                <w:szCs w:val="20"/>
                <w:color w:val="auto"/>
              </w:rPr>
            </w:pPr>
            <w:r>
              <w:rPr>
                <w:rFonts w:ascii="Arial" w:cs="Arial" w:eastAsia="Arial" w:hAnsi="Arial"/>
                <w:sz w:val="14"/>
                <w:szCs w:val="14"/>
                <w:color w:val="auto"/>
              </w:rPr>
              <w:t>Forfeited</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(256,839)</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27.60</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Phantom unit awards at December 31, 2017</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9,289,501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27.65</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4"/>
                <w:szCs w:val="14"/>
                <w:color w:val="auto"/>
              </w:rPr>
              <w:t>Granted (3)</w:t>
            </w:r>
          </w:p>
        </w:tc>
        <w:tc>
          <w:tcPr>
            <w:tcW w:w="1140" w:type="dxa"/>
            <w:vAlign w:val="bottom"/>
          </w:tcPr>
          <w:p>
            <w:pPr>
              <w:jc w:val="right"/>
              <w:spacing w:after="0"/>
              <w:rPr>
                <w:sz w:val="20"/>
                <w:szCs w:val="20"/>
                <w:color w:val="auto"/>
              </w:rPr>
            </w:pPr>
            <w:r>
              <w:rPr>
                <w:rFonts w:ascii="Arial" w:cs="Arial" w:eastAsia="Arial" w:hAnsi="Arial"/>
                <w:sz w:val="14"/>
                <w:szCs w:val="14"/>
                <w:color w:val="auto"/>
              </w:rPr>
              <w:t>5,006,181</w:t>
            </w:r>
          </w:p>
        </w:tc>
        <w:tc>
          <w:tcPr>
            <w:tcW w:w="1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26.82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Vested</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(3,479,958)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28.57</w:t>
            </w:r>
          </w:p>
        </w:tc>
        <w:tc>
          <w:tcPr>
            <w:tcW w:w="0" w:type="dxa"/>
            <w:vAlign w:val="bottom"/>
          </w:tcPr>
          <w:p>
            <w:pPr>
              <w:spacing w:after="0"/>
              <w:rPr>
                <w:sz w:val="1"/>
                <w:szCs w:val="1"/>
                <w:color w:val="auto"/>
              </w:rPr>
            </w:pPr>
          </w:p>
        </w:tc>
      </w:tr>
      <w:tr>
        <w:trPr>
          <w:trHeight w:val="223"/>
        </w:trPr>
        <w:tc>
          <w:tcPr>
            <w:tcW w:w="8820" w:type="dxa"/>
            <w:vAlign w:val="bottom"/>
          </w:tcPr>
          <w:p>
            <w:pPr>
              <w:ind w:left="180"/>
              <w:spacing w:after="0"/>
              <w:rPr>
                <w:sz w:val="20"/>
                <w:szCs w:val="20"/>
                <w:color w:val="auto"/>
              </w:rPr>
            </w:pPr>
            <w:r>
              <w:rPr>
                <w:rFonts w:ascii="Arial" w:cs="Arial" w:eastAsia="Arial" w:hAnsi="Arial"/>
                <w:sz w:val="14"/>
                <w:szCs w:val="14"/>
                <w:color w:val="auto"/>
              </w:rPr>
              <w:t>Forfeited</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(482,447)</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26.88</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Phantom unit awards at December 31, 2018</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10,333,277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26.97</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4"/>
                <w:szCs w:val="14"/>
                <w:color w:val="auto"/>
              </w:rPr>
              <w:t>Granted (4)</w:t>
            </w:r>
          </w:p>
        </w:tc>
        <w:tc>
          <w:tcPr>
            <w:tcW w:w="1140" w:type="dxa"/>
            <w:vAlign w:val="bottom"/>
          </w:tcPr>
          <w:p>
            <w:pPr>
              <w:jc w:val="right"/>
              <w:spacing w:after="0"/>
              <w:rPr>
                <w:sz w:val="20"/>
                <w:szCs w:val="20"/>
                <w:color w:val="auto"/>
              </w:rPr>
            </w:pPr>
            <w:r>
              <w:rPr>
                <w:rFonts w:ascii="Arial" w:cs="Arial" w:eastAsia="Arial" w:hAnsi="Arial"/>
                <w:sz w:val="14"/>
                <w:szCs w:val="14"/>
                <w:color w:val="auto"/>
              </w:rPr>
              <w:t>6,854,920</w:t>
            </w:r>
          </w:p>
        </w:tc>
        <w:tc>
          <w:tcPr>
            <w:tcW w:w="1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27.75</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Vested</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(3,895,049)</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27.53</w:t>
            </w:r>
          </w:p>
        </w:tc>
        <w:tc>
          <w:tcPr>
            <w:tcW w:w="0" w:type="dxa"/>
            <w:vAlign w:val="bottom"/>
          </w:tcPr>
          <w:p>
            <w:pPr>
              <w:spacing w:after="0"/>
              <w:rPr>
                <w:sz w:val="1"/>
                <w:szCs w:val="1"/>
                <w:color w:val="auto"/>
              </w:rPr>
            </w:pPr>
          </w:p>
        </w:tc>
      </w:tr>
      <w:tr>
        <w:trPr>
          <w:trHeight w:val="223"/>
        </w:trPr>
        <w:tc>
          <w:tcPr>
            <w:tcW w:w="8820" w:type="dxa"/>
            <w:vAlign w:val="bottom"/>
          </w:tcPr>
          <w:p>
            <w:pPr>
              <w:ind w:left="180"/>
              <w:spacing w:after="0"/>
              <w:rPr>
                <w:sz w:val="20"/>
                <w:szCs w:val="20"/>
                <w:color w:val="auto"/>
              </w:rPr>
            </w:pPr>
            <w:r>
              <w:rPr>
                <w:rFonts w:ascii="Arial" w:cs="Arial" w:eastAsia="Arial" w:hAnsi="Arial"/>
                <w:sz w:val="14"/>
                <w:szCs w:val="14"/>
                <w:color w:val="auto"/>
              </w:rPr>
              <w:t>Forfeited</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(318,464)</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27.21</w:t>
            </w:r>
          </w:p>
        </w:tc>
        <w:tc>
          <w:tcPr>
            <w:tcW w:w="0" w:type="dxa"/>
            <w:vAlign w:val="bottom"/>
          </w:tcPr>
          <w:p>
            <w:pPr>
              <w:spacing w:after="0"/>
              <w:rPr>
                <w:sz w:val="1"/>
                <w:szCs w:val="1"/>
                <w:color w:val="auto"/>
              </w:rPr>
            </w:pPr>
          </w:p>
        </w:tc>
      </w:tr>
      <w:tr>
        <w:trPr>
          <w:trHeight w:val="257"/>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Phantom unit awards at December 31, 2019</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12,974,684</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Determined by dividing the aggregate grant date fair value of awards (before an allowance for forfeitures) by the number of awards issued.</w:t>
      </w:r>
    </w:p>
    <w:p>
      <w:pPr>
        <w:ind w:left="460" w:hanging="452"/>
        <w:spacing w:after="0" w:line="221" w:lineRule="auto"/>
        <w:tabs>
          <w:tab w:leader="none" w:pos="4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aggregate grant date fair value of phantom unit awards issued during 2017 was $123.1 million based on a grant date market price of EPD common units ranging from $24.55 to $28.87 per unit. An estimated annual forfeiture rate of 3.8% was applied to these awards.</w:t>
      </w:r>
    </w:p>
    <w:p>
      <w:pPr>
        <w:ind w:left="460" w:hanging="452"/>
        <w:spacing w:after="0" w:line="221" w:lineRule="auto"/>
        <w:tabs>
          <w:tab w:leader="none" w:pos="4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aggregate grant date fair value of phantom unit awards issued during 2018 was $134.3 million based on a grant date market price of EPD common units ranging from $25.40 to $29.22 per unit. An estimated annual forfeiture rate of 3.2% was applied to these awards.</w:t>
      </w:r>
    </w:p>
    <w:p>
      <w:pPr>
        <w:ind w:left="460" w:hanging="452"/>
        <w:spacing w:after="0" w:line="237" w:lineRule="auto"/>
        <w:tabs>
          <w:tab w:leader="none" w:pos="4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aggregate grant date fair value of phantom unit awards issued during 2019 was $190.2 million based on a grant date market price of EPD common units ranging from $26.32 to $29.29 per unit. An estimated annual forfeiture rate of 3.0% was applied to these awards.</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phantom unit awards were granted under the 2008 Plan, which is a long-term incentive plan under which any employee or consultant of EPCO, us or our affiliates that provides services to us, directly or indirectly, may receive incentive compensation awards in the form of phantom units, options, restricted common units, unit appreciation rights, unit awards, other unit-based awards or substitute awards. Non-employee directors of our general partner may also participate in the 2008 Plan. The maximum number of EPD common units authorized for issuance under the 2008 Plan was 50,000,000 at December 31, 2019. This amount automatically increased under the terms of the 2008 Plan by 5,000,000 common units on January 1, 2020 and will continue to automatically increase annually on January 1 thereafter during the term of the 2008 Plan; provided, however, that in no event shall the maximum aggregate number exceed 70,000,000 common units. The 2008 Plan is effective until September 30, 2023 or, if earlier, until (i) the time that all available common units under the 2008 Plan have been delivered to participants or (ii) the time of termination of the 2008 Plan by the Board of Directors of EPCO or by the Incentive Plan Administration Subcommittee of the Governance Committee of Enterprise GP. After giving effect to awards granted under the 2008 Plan through December 31, 2019, a total of 17,106,486 additional common units were available for issuance. After taking into account tax withholding requirements, we issued 2,720,603, 2,442,436 and 1,687,692 common units in connection with the vesting of phantom unit awards in the years ended December 31, 2019, 2018 and 2017, respectively.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1" w:name="page202"/>
    <w:bookmarkEnd w:id="20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2008 Plan provides for the issuance of DERs in connection with phantom unit awards. A DER entitles the participant to nonforfeitable cash payments equal to the product of the number of phantom unit awards outstanding for the participant and the cash distribution per common unit paid by EPD to its common unitholders. Cash payments made in connection with DERs are charged to partners’ equity when the phantom unit award is expected to result in the issuance of common units; otherwise, such amounts are expensed.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information regarding phantom unit awards for the years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7"/>
              </w:rPr>
              <w:t>For the Year Ended 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440" w:type="dxa"/>
            <w:vAlign w:val="bottom"/>
          </w:tcPr>
          <w:p>
            <w:pPr>
              <w:spacing w:after="0"/>
              <w:rPr>
                <w:sz w:val="19"/>
                <w:szCs w:val="19"/>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Cash payments made in connection with DERs</w:t>
            </w:r>
          </w:p>
        </w:tc>
        <w:tc>
          <w:tcPr>
            <w:tcW w:w="780" w:type="dxa"/>
            <w:vAlign w:val="bottom"/>
            <w:shd w:val="clear" w:color="auto" w:fill="CCEEFF"/>
          </w:tcPr>
          <w:p>
            <w:pPr>
              <w:jc w:val="right"/>
              <w:ind w:right="662"/>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22.1</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17.7</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15.1</w:t>
            </w:r>
          </w:p>
        </w:tc>
      </w:tr>
      <w:tr>
        <w:trPr>
          <w:trHeight w:val="231"/>
        </w:trPr>
        <w:tc>
          <w:tcPr>
            <w:tcW w:w="7440" w:type="dxa"/>
            <w:vAlign w:val="bottom"/>
          </w:tcPr>
          <w:p>
            <w:pPr>
              <w:spacing w:after="0"/>
              <w:rPr>
                <w:sz w:val="20"/>
                <w:szCs w:val="20"/>
                <w:color w:val="auto"/>
              </w:rPr>
            </w:pPr>
            <w:r>
              <w:rPr>
                <w:rFonts w:ascii="Arial" w:cs="Arial" w:eastAsia="Arial" w:hAnsi="Arial"/>
                <w:sz w:val="14"/>
                <w:szCs w:val="14"/>
                <w:color w:val="auto"/>
              </w:rPr>
              <w:t>Total intrinsic value of phantom unit awards that vested during period</w:t>
            </w:r>
          </w:p>
        </w:tc>
        <w:tc>
          <w:tcPr>
            <w:tcW w:w="780" w:type="dxa"/>
            <w:vAlign w:val="bottom"/>
          </w:tcPr>
          <w:p>
            <w:pPr>
              <w:jc w:val="right"/>
              <w:ind w:right="662"/>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111.1</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90.7</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69.8</w:t>
            </w: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EPCO group of companies, the unrecognized compensation cost associated with phantom unit awards was $138.1 million at December 31, 2019, of which our share of such cost is currently estimated to be $113.3 million. Due to the graded vesting provisions of these awards, we expect to recognize our share of the unrecognized compensation cost for these awards over a weighted-average period of 2.1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Profits Interest Awards</w:t>
      </w:r>
    </w:p>
    <w:p>
      <w:pPr>
        <w:spacing w:after="0" w:line="252"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In 2016 and 2018, EPCO Holdings Inc. (“EPCO Holdings”), a privately held affiliate of EPCO, contributed a portion of the EPD common units it owned to form limited partnerships (referred to as “Employee Partnerships”) that serve as long-term incentive arrangements for key employees of EPCO by providing them a “profits interest” in an Employee Partnership. The Employee Partnerships named (i) EPD PubCo Unit I L.P. (“PubCo I”), (ii) EPD PubCo Unit II L.P. (“PubCo II”), and (iii) EPD PrivCo Unit I L.P. (“PrivCo I”) were formed by EPCO Holdings in 2016. The Employee Partnerships named (i) EPD 2018 Unit IV L.P. (“EPD IV”) and (ii) EPCO Unit II L.P. (“EPCO II”) were formed by EPCO Holdings in 2018.</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exchange for the contributions of EPD common units, EPCO Holdings was admitted as the Class A limited partner of each Employee Partnership. Also on the applicable contribution date, certain key EPCO employees were issued Class B limited partner interests (i.e., profits interest awards) and admitted as Class B limited partners of each Employee Partnership, all without any capital contribution by such employees. EPCO serves as the general partner of each Employee Partnership.</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Each quarter, the Employee Partnerships, as owners of EPD common units, receive a cash distribution from EPD as do EPD’s other common unitholders. The cash received by the Employee Partnership is first used to pay the Class A limited partner a cash distribution equal to the product of (i) the number of EPD common units owned by the Employee Partnership and (ii) the Class A Preference Return (subject to equitable adjustment in order to reflect any equity split, equity distribution or dividend, reverse split, combination, reclassification, recapitalization or other similar event affecting such common units). To the extent that the Employee Partnership has cash remaining after making this quarterly payment to the Class A limited partner, the residual cash is distributed to the Class B limited partners on a quarterly basis as a distribution.</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liquidation of an Employee Partnership, assets having a then current fair market value equal to the Class A limited partner’s capital base in such Employee Partnership will be distributed to the Class A limited partner. Any remaining assets of such Employee Partnership will be distributed to the Class B limited partners of such Employee Partnership as a residual profits interest, which represents the appreciation in value of the Employee Partnership’s assets since the date of EPCO Holdings’ contribution to it, as described above.</w:t>
      </w:r>
    </w:p>
    <w:p>
      <w:pPr>
        <w:spacing w:after="0" w:line="21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Unless otherwise agreed to by EPCO and a majority in interest of the limited partners of each Employee Partnership, such Employee Partnership will terminate at the earliest to occur of (i) 30 days following its vesting date, (ii) a change of control or (iii) a dissolution of the Employee Partnership.</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2" w:name="page203"/>
    <w:bookmarkEnd w:id="20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Individually, each Class B limited partner interest is subject to forfeiture if the participating employee’s employment with EPCO is terminated prior to vesting, with customary exceptions for death, disability and certain retirements. The risk of forfeiture will also lapse upon certain change of control events. Forfeited individual Class B limited partner interests are allocated to the remaining Class B limited partners.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elements of each Employee Partnership as of December 31, 2019:</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7"/>
              </w:rPr>
              <w:t>EPD</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Expected</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 Units</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1520" w:type="dxa"/>
            <w:vAlign w:val="bottom"/>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Unrecognized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Employee</w:t>
            </w: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Contributed to</w:t>
            </w:r>
          </w:p>
        </w:tc>
        <w:tc>
          <w:tcPr>
            <w:tcW w:w="162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Vesting/</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Employee Partnership</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Capital</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Preference</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Liquidation</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Profits Interest</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Partnership</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by EPCO Holdings</w:t>
            </w:r>
          </w:p>
        </w:tc>
        <w:tc>
          <w:tcPr>
            <w:tcW w:w="16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 xml:space="preserve">Base </w:t>
            </w:r>
            <w:r>
              <w:rPr>
                <w:rFonts w:ascii="Arial" w:cs="Arial" w:eastAsia="Arial" w:hAnsi="Arial"/>
                <w:sz w:val="14"/>
                <w:szCs w:val="14"/>
                <w:color w:val="auto"/>
              </w:rPr>
              <w:t>(1)</w:t>
            </w:r>
          </w:p>
        </w:tc>
        <w:tc>
          <w:tcPr>
            <w:tcW w:w="14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7"/>
              </w:rPr>
              <w:t>Return</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5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color w:val="auto"/>
              </w:rPr>
              <w:t>(2)</w:t>
            </w:r>
          </w:p>
        </w:tc>
        <w:tc>
          <w:tcPr>
            <w:tcW w:w="15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PubCo I</w:t>
            </w: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2,723,052</w:t>
            </w:r>
          </w:p>
        </w:tc>
        <w:tc>
          <w:tcPr>
            <w:tcW w:w="1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$63.7 million</w:t>
            </w:r>
          </w:p>
        </w:tc>
        <w:tc>
          <w:tcPr>
            <w:tcW w:w="140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3"/>
              </w:rPr>
              <w:t>0.3900</w:t>
            </w:r>
          </w:p>
        </w:tc>
        <w:tc>
          <w:tcPr>
            <w:tcW w:w="1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February 2020</w:t>
            </w: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$12.9 million</w:t>
            </w: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$0.8 million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PubCo II</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93"/>
              </w:rPr>
              <w:t>2,834,198</w:t>
            </w: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9"/>
              </w:rPr>
              <w:t>$66.3 million</w:t>
            </w:r>
          </w:p>
        </w:tc>
        <w:tc>
          <w:tcPr>
            <w:tcW w:w="1400" w:type="dxa"/>
            <w:vAlign w:val="bottom"/>
          </w:tcPr>
          <w:p>
            <w:pPr>
              <w:jc w:val="center"/>
              <w:ind w:left="8"/>
              <w:spacing w:after="0" w:line="149" w:lineRule="exact"/>
              <w:rPr>
                <w:sz w:val="20"/>
                <w:szCs w:val="20"/>
                <w:color w:val="auto"/>
              </w:rPr>
            </w:pPr>
            <w:r>
              <w:rPr>
                <w:rFonts w:ascii="Arial" w:cs="Arial" w:eastAsia="Arial" w:hAnsi="Arial"/>
                <w:sz w:val="14"/>
                <w:szCs w:val="14"/>
                <w:color w:val="auto"/>
                <w:w w:val="93"/>
              </w:rPr>
              <w:t>0.3900</w:t>
            </w: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92"/>
              </w:rPr>
              <w:t>February 2021</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9"/>
              </w:rPr>
              <w:t>$14.9 million</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8"/>
              </w:rPr>
              <w:t>$4.0 million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PrivCo I</w:t>
            </w: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1,111,438</w:t>
            </w:r>
          </w:p>
        </w:tc>
        <w:tc>
          <w:tcPr>
            <w:tcW w:w="1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$26.0 million</w:t>
            </w:r>
          </w:p>
        </w:tc>
        <w:tc>
          <w:tcPr>
            <w:tcW w:w="140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3"/>
              </w:rPr>
              <w:t>0.3900</w:t>
            </w:r>
          </w:p>
        </w:tc>
        <w:tc>
          <w:tcPr>
            <w:tcW w:w="1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February 2021</w:t>
            </w: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$5.8 million</w:t>
            </w: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$0.3 million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EPD IV</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93"/>
              </w:rPr>
              <w:t>6,400,000</w:t>
            </w: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7"/>
              </w:rPr>
              <w:t>$172.9 million</w:t>
            </w:r>
          </w:p>
        </w:tc>
        <w:tc>
          <w:tcPr>
            <w:tcW w:w="1400" w:type="dxa"/>
            <w:vAlign w:val="bottom"/>
          </w:tcPr>
          <w:p>
            <w:pPr>
              <w:jc w:val="center"/>
              <w:ind w:left="8"/>
              <w:spacing w:after="0" w:line="149" w:lineRule="exact"/>
              <w:rPr>
                <w:sz w:val="20"/>
                <w:szCs w:val="20"/>
                <w:color w:val="auto"/>
              </w:rPr>
            </w:pPr>
            <w:r>
              <w:rPr>
                <w:rFonts w:ascii="Arial" w:cs="Arial" w:eastAsia="Arial" w:hAnsi="Arial"/>
                <w:sz w:val="14"/>
                <w:szCs w:val="14"/>
                <w:color w:val="auto"/>
                <w:w w:val="93"/>
              </w:rPr>
              <w:t>0.4325</w:t>
            </w: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92"/>
              </w:rPr>
              <w:t>December 2023</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9"/>
              </w:rPr>
              <w:t>$26.7 million</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9"/>
              </w:rPr>
              <w:t>$18.4 million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EPCO II</w:t>
            </w: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1,600,000</w:t>
            </w:r>
          </w:p>
        </w:tc>
        <w:tc>
          <w:tcPr>
            <w:tcW w:w="1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$43.2 million</w:t>
            </w:r>
          </w:p>
        </w:tc>
        <w:tc>
          <w:tcPr>
            <w:tcW w:w="140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3"/>
              </w:rPr>
              <w:t>0.4325</w:t>
            </w:r>
          </w:p>
        </w:tc>
        <w:tc>
          <w:tcPr>
            <w:tcW w:w="1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December 2023</w:t>
            </w: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$6.6 million</w:t>
            </w: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$0.5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Represents the fair market value of EPD common units contributed to each Employee Partnership at the applicable contribution date.</w:t>
      </w:r>
    </w:p>
    <w:p>
      <w:pPr>
        <w:ind w:left="460" w:hanging="452"/>
        <w:spacing w:after="0" w:line="221" w:lineRule="auto"/>
        <w:tabs>
          <w:tab w:leader="none" w:pos="46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Represents the total grant date fair value of the profits interest awards awarded to the Class B limited partners of each Employee Partnership irrespective of how such costs will be allocated between us and EPCO and its privately held affiliates.</w:t>
      </w:r>
    </w:p>
    <w:p>
      <w:pPr>
        <w:jc w:val="both"/>
        <w:ind w:left="460" w:hanging="452"/>
        <w:spacing w:after="0" w:line="232" w:lineRule="auto"/>
        <w:tabs>
          <w:tab w:leader="none" w:pos="46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Represents our expected share of the unrecognized compensation cost at December 31, 2019. We expect to recognize our share of the unrecognized compensation cost for PubCo II, PrivCo I, EPD IV and EPCO II over a weighted-average period of 1.1 years, 1.1 years, 3.9 years and 3.9 years, respectively. The Class B limited partner interests of PubCo I vested on February 22, 2020.</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grant date fair value of each Employee Partnership is based on (i) the estimated value (as determined using a Black-Scholes option pricing model) of such Employee Partnership’s assets that would be distributed to the Class B limited partners thereof upon liquidation and (ii) the value, based on a discounted cash flow analysis, of the residual quarterly cash amounts that such Class B limited partners are expected to receive over the life of the Employee Partnership.</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assumptions we used in applying a Black-Scholes option pricing model to derive that portion of the estimated grant date fair value of the profits interest awards for each Employee Partnership:</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Employee</w:t>
            </w:r>
          </w:p>
        </w:tc>
        <w:tc>
          <w:tcPr>
            <w:tcW w:w="222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Expected</w:t>
            </w:r>
          </w:p>
        </w:tc>
        <w:tc>
          <w:tcPr>
            <w:tcW w:w="2240" w:type="dxa"/>
            <w:vAlign w:val="bottom"/>
          </w:tcPr>
          <w:p>
            <w:pPr>
              <w:jc w:val="center"/>
              <w:ind w:left="28"/>
              <w:spacing w:after="0"/>
              <w:rPr>
                <w:sz w:val="20"/>
                <w:szCs w:val="20"/>
                <w:color w:val="auto"/>
              </w:rPr>
            </w:pPr>
            <w:r>
              <w:rPr>
                <w:rFonts w:ascii="Arial" w:cs="Arial" w:eastAsia="Arial" w:hAnsi="Arial"/>
                <w:sz w:val="14"/>
                <w:szCs w:val="14"/>
                <w:b w:val="1"/>
                <w:bCs w:val="1"/>
                <w:color w:val="auto"/>
                <w:w w:val="97"/>
              </w:rPr>
              <w:t>Risk-Free</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89"/>
              </w:rPr>
              <w:t>Expected</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4"/>
              </w:rPr>
              <w:t>Expected Unit</w:t>
            </w:r>
          </w:p>
        </w:tc>
        <w:tc>
          <w:tcPr>
            <w:tcW w:w="0" w:type="dxa"/>
            <w:vAlign w:val="bottom"/>
          </w:tcPr>
          <w:p>
            <w:pPr>
              <w:spacing w:after="0"/>
              <w:rPr>
                <w:sz w:val="1"/>
                <w:szCs w:val="1"/>
                <w:color w:val="auto"/>
              </w:rPr>
            </w:pPr>
          </w:p>
        </w:tc>
      </w:tr>
      <w:tr>
        <w:trPr>
          <w:trHeight w:val="149"/>
        </w:trPr>
        <w:tc>
          <w:tcPr>
            <w:tcW w:w="2560" w:type="dxa"/>
            <w:vAlign w:val="bottom"/>
            <w:vMerge w:val="continue"/>
          </w:tcPr>
          <w:p>
            <w:pPr>
              <w:spacing w:after="0"/>
              <w:rPr>
                <w:sz w:val="12"/>
                <w:szCs w:val="12"/>
                <w:color w:val="auto"/>
              </w:rPr>
            </w:pPr>
          </w:p>
        </w:tc>
        <w:tc>
          <w:tcPr>
            <w:tcW w:w="222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rPr>
              <w:t>Life</w:t>
            </w:r>
          </w:p>
        </w:tc>
        <w:tc>
          <w:tcPr>
            <w:tcW w:w="224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0"/>
              </w:rPr>
              <w:t>Interest</w:t>
            </w: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Distribution</w:t>
            </w: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256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Partnership</w:t>
            </w:r>
          </w:p>
        </w:tc>
        <w:tc>
          <w:tcPr>
            <w:tcW w:w="22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6"/>
              </w:rPr>
              <w:t>of Award</w:t>
            </w:r>
          </w:p>
        </w:tc>
        <w:tc>
          <w:tcPr>
            <w:tcW w:w="22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8"/>
              </w:rPr>
              <w:t>Rate</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Volatility</w:t>
            </w:r>
          </w:p>
        </w:tc>
        <w:tc>
          <w:tcPr>
            <w:tcW w:w="0" w:type="dxa"/>
            <w:vAlign w:val="bottom"/>
          </w:tcPr>
          <w:p>
            <w:pPr>
              <w:spacing w:after="0"/>
              <w:rPr>
                <w:sz w:val="1"/>
                <w:szCs w:val="1"/>
                <w:color w:val="auto"/>
              </w:rPr>
            </w:pPr>
          </w:p>
        </w:tc>
      </w:tr>
      <w:tr>
        <w:trPr>
          <w:trHeight w:val="149"/>
        </w:trPr>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PubCo I</w:t>
            </w:r>
          </w:p>
        </w:tc>
        <w:tc>
          <w:tcPr>
            <w:tcW w:w="222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0"/>
              </w:rPr>
              <w:t>4.0 years</w:t>
            </w:r>
          </w:p>
        </w:tc>
        <w:tc>
          <w:tcPr>
            <w:tcW w:w="224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0.9% to 2.7%</w:t>
            </w: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5.9% to 7.0%</w:t>
            </w:r>
          </w:p>
        </w:tc>
        <w:tc>
          <w:tcPr>
            <w:tcW w:w="2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15% to 40%</w:t>
            </w: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PubCo II</w:t>
            </w:r>
          </w:p>
        </w:tc>
        <w:tc>
          <w:tcPr>
            <w:tcW w:w="222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0"/>
              </w:rPr>
              <w:t>5.0 years</w:t>
            </w:r>
          </w:p>
        </w:tc>
        <w:tc>
          <w:tcPr>
            <w:tcW w:w="224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3"/>
              </w:rPr>
              <w:t>1.1% to 3.0%</w:t>
            </w: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93"/>
              </w:rPr>
              <w:t>5.9% to 7.0%</w:t>
            </w:r>
          </w:p>
        </w:tc>
        <w:tc>
          <w:tcPr>
            <w:tcW w:w="2260" w:type="dxa"/>
            <w:vAlign w:val="bottom"/>
          </w:tcPr>
          <w:p>
            <w:pPr>
              <w:jc w:val="center"/>
              <w:spacing w:after="0" w:line="149" w:lineRule="exact"/>
              <w:rPr>
                <w:sz w:val="20"/>
                <w:szCs w:val="20"/>
                <w:color w:val="auto"/>
              </w:rPr>
            </w:pPr>
            <w:r>
              <w:rPr>
                <w:rFonts w:ascii="Arial" w:cs="Arial" w:eastAsia="Arial" w:hAnsi="Arial"/>
                <w:sz w:val="14"/>
                <w:szCs w:val="14"/>
                <w:color w:val="auto"/>
                <w:w w:val="95"/>
              </w:rPr>
              <w:t>19% to 40%</w:t>
            </w:r>
          </w:p>
        </w:tc>
        <w:tc>
          <w:tcPr>
            <w:tcW w:w="0" w:type="dxa"/>
            <w:vAlign w:val="bottom"/>
          </w:tcPr>
          <w:p>
            <w:pPr>
              <w:spacing w:after="0"/>
              <w:rPr>
                <w:sz w:val="1"/>
                <w:szCs w:val="1"/>
                <w:color w:val="auto"/>
              </w:rPr>
            </w:pPr>
          </w:p>
        </w:tc>
      </w:tr>
      <w:tr>
        <w:trPr>
          <w:trHeight w:val="149"/>
        </w:trPr>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PrivCo I</w:t>
            </w:r>
          </w:p>
        </w:tc>
        <w:tc>
          <w:tcPr>
            <w:tcW w:w="222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0"/>
              </w:rPr>
              <w:t>5.0 years</w:t>
            </w:r>
          </w:p>
        </w:tc>
        <w:tc>
          <w:tcPr>
            <w:tcW w:w="224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1.2% to 1.6%</w:t>
            </w: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6.1% to 6.7%</w:t>
            </w:r>
          </w:p>
        </w:tc>
        <w:tc>
          <w:tcPr>
            <w:tcW w:w="2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28% to 40%</w:t>
            </w: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EPD IV</w:t>
            </w:r>
          </w:p>
        </w:tc>
        <w:tc>
          <w:tcPr>
            <w:tcW w:w="222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0"/>
              </w:rPr>
              <w:t>5.0 years</w:t>
            </w:r>
          </w:p>
        </w:tc>
        <w:tc>
          <w:tcPr>
            <w:tcW w:w="224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3"/>
              </w:rPr>
              <w:t>2.8%</w:t>
            </w: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93"/>
              </w:rPr>
              <w:t>6.5%</w:t>
            </w:r>
          </w:p>
        </w:tc>
        <w:tc>
          <w:tcPr>
            <w:tcW w:w="2260" w:type="dxa"/>
            <w:vAlign w:val="bottom"/>
          </w:tcPr>
          <w:p>
            <w:pPr>
              <w:jc w:val="center"/>
              <w:spacing w:after="0" w:line="149" w:lineRule="exact"/>
              <w:rPr>
                <w:sz w:val="20"/>
                <w:szCs w:val="20"/>
                <w:color w:val="auto"/>
              </w:rPr>
            </w:pPr>
            <w:r>
              <w:rPr>
                <w:rFonts w:ascii="Arial" w:cs="Arial" w:eastAsia="Arial" w:hAnsi="Arial"/>
                <w:sz w:val="14"/>
                <w:szCs w:val="14"/>
                <w:color w:val="auto"/>
                <w:w w:val="99"/>
              </w:rPr>
              <w:t>27%</w:t>
            </w:r>
          </w:p>
        </w:tc>
        <w:tc>
          <w:tcPr>
            <w:tcW w:w="0" w:type="dxa"/>
            <w:vAlign w:val="bottom"/>
          </w:tcPr>
          <w:p>
            <w:pPr>
              <w:spacing w:after="0"/>
              <w:rPr>
                <w:sz w:val="1"/>
                <w:szCs w:val="1"/>
                <w:color w:val="auto"/>
              </w:rPr>
            </w:pPr>
          </w:p>
        </w:tc>
      </w:tr>
      <w:tr>
        <w:trPr>
          <w:trHeight w:val="149"/>
        </w:trPr>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EPCO II</w:t>
            </w:r>
          </w:p>
        </w:tc>
        <w:tc>
          <w:tcPr>
            <w:tcW w:w="222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0"/>
              </w:rPr>
              <w:t>5.0 years</w:t>
            </w:r>
          </w:p>
        </w:tc>
        <w:tc>
          <w:tcPr>
            <w:tcW w:w="224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1.6% to 2.8%</w:t>
            </w: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6.3% to 6.8%</w:t>
            </w:r>
          </w:p>
        </w:tc>
        <w:tc>
          <w:tcPr>
            <w:tcW w:w="22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24% to 27%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expense attributable to the profits interest awards is based on the estimated grant date fair value of each award. A portion of the fair value of these equity-based awards is allocated to us under the ASA as a non-cash expense. We are not responsible for reimbursing EPCO for any expenses of the Employee Partnerships, including the value of any contributions of units made by EPCO Holdings.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Unit Awards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Restricted common unit awards allowed recipients to acquire EPD common units (at no cost to the recipient apart from fulfilling service and other conditions) once a defined vesting period expired, subject to customary forfeiture provisions. There have been no restricted common unit awards outstanding since 2017.</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4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3" w:name="page204"/>
    <w:bookmarkEnd w:id="20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 Instruments, Hedging Activities and Fair Value Measurements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normal course of our business operations, we are exposed to certain risks, including changes in interest rates and commodity prices. In order to manage risks associated with assets, liabilities and certain anticipated future transactions, we use derivative instruments such as futures, forward contracts, swaps, options and other instruments with similar characteristics. Substantially all of our derivatives are used for non-trading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utilize interest rate swaps, forward-starting swaps, options to enter into forward-starting swaps (“swaptions”), and similar derivative instruments to manage our exposure to changes in interest rates charged on borrowings under certain consolidated debt agreements. This strategy may be used in controlling our overall cost of capital associated with such borrowings.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Swaptions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2019 and 2018, we sold options to be put into forward-starting swaps, or swaptions, if the market rate of interest fell below the strike rate of the option upon expiration of the derivative instrument. The premiums we realized upon sale of the swaptions are reflected as a $23.1 million and $29.4 million reduction in interest expense for the year ended December 31, 2019 and 2018, respectively.</w:t>
      </w:r>
    </w:p>
    <w:p>
      <w:pPr>
        <w:spacing w:after="0" w:line="2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Due to declining interest rates, the counterparties to swaptions we sold in July 2019 exercised their right to put us into ten forward-starting swaps on September 30, 2019 having an aggregate notional value of $1.0 billion. Since the swaptions were not designated as hedging instruments and were subject to mark-to-market accounting, we incurred an unrealized, mark-to-market loss at inception of the forward-starting swaps totaling $94.9 million that is reflected as an increase in interest expense for the year ended December 31, 2019. The ten forward-starting swaps resulting from the swaption exercise on September 30, 2019 were designated as hedging instruments and are subject to cash flow hedge accounting.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Forward-Starting Swaps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Forward-starting swaps hedge the risk of an increase in underlying benchmark interest rates during the period of time between the inception date of the swap agreement and the future date of a debt issuance. Under the terms of the forward-starting swaps, we pay to the counterparties (at the expected settlement dates of the instruments) amounts based on a fixed interest rate applied to a notional amount and receive from the counterparties an amount equal to a variable interest rate (based on LIBOR or an equivalent index rate) on the same notional amount.</w:t>
      </w:r>
    </w:p>
    <w:p>
      <w:pPr>
        <w:spacing w:after="0" w:line="2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portfolio of 30-year forward-starting swaps at December 31, 2019, all of which are associated with the expected future issuance of senior notes.</w:t>
      </w:r>
    </w:p>
    <w:p>
      <w:pPr>
        <w:spacing w:after="0" w:line="17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2480" w:type="dxa"/>
            <w:vAlign w:val="bottom"/>
          </w:tcPr>
          <w:p>
            <w:pPr>
              <w:jc w:val="center"/>
              <w:ind w:left="128"/>
              <w:spacing w:after="0"/>
              <w:rPr>
                <w:sz w:val="20"/>
                <w:szCs w:val="20"/>
                <w:color w:val="auto"/>
              </w:rPr>
            </w:pPr>
            <w:r>
              <w:rPr>
                <w:rFonts w:ascii="Arial" w:cs="Arial" w:eastAsia="Arial" w:hAnsi="Arial"/>
                <w:sz w:val="14"/>
                <w:szCs w:val="14"/>
                <w:b w:val="1"/>
                <w:bCs w:val="1"/>
                <w:color w:val="auto"/>
                <w:w w:val="94"/>
              </w:rPr>
              <w:t>Number and Type</w:t>
            </w:r>
          </w:p>
        </w:tc>
        <w:tc>
          <w:tcPr>
            <w:tcW w:w="14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Notional</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Expected</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104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49"/>
        </w:trPr>
        <w:tc>
          <w:tcPr>
            <w:tcW w:w="2020" w:type="dxa"/>
            <w:vAlign w:val="bottom"/>
            <w:vMerge w:val="restart"/>
          </w:tcPr>
          <w:p>
            <w:pPr>
              <w:spacing w:after="0"/>
              <w:rPr>
                <w:sz w:val="20"/>
                <w:szCs w:val="20"/>
                <w:color w:val="auto"/>
              </w:rPr>
            </w:pPr>
            <w:r>
              <w:rPr>
                <w:rFonts w:ascii="Arial" w:cs="Arial" w:eastAsia="Arial" w:hAnsi="Arial"/>
                <w:sz w:val="14"/>
                <w:szCs w:val="14"/>
                <w:b w:val="1"/>
                <w:bCs w:val="1"/>
                <w:color w:val="auto"/>
              </w:rPr>
              <w:t>Hedged Transaction</w:t>
            </w:r>
          </w:p>
        </w:tc>
        <w:tc>
          <w:tcPr>
            <w:tcW w:w="248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1"/>
              </w:rPr>
              <w:t>of Derivatives</w:t>
            </w:r>
          </w:p>
        </w:tc>
        <w:tc>
          <w:tcPr>
            <w:tcW w:w="1480" w:type="dxa"/>
            <w:vAlign w:val="bottom"/>
            <w:vMerge w:val="continue"/>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Settlement</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Fixed Rate</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20" w:type="dxa"/>
            <w:vAlign w:val="bottom"/>
            <w:vMerge w:val="continue"/>
          </w:tcPr>
          <w:p>
            <w:pPr>
              <w:spacing w:after="0"/>
              <w:rPr>
                <w:sz w:val="16"/>
                <w:szCs w:val="16"/>
                <w:color w:val="auto"/>
              </w:rPr>
            </w:pPr>
          </w:p>
        </w:tc>
        <w:tc>
          <w:tcPr>
            <w:tcW w:w="248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Outstanding</w:t>
            </w:r>
          </w:p>
        </w:tc>
        <w:tc>
          <w:tcPr>
            <w:tcW w:w="1480" w:type="dxa"/>
            <w:vAlign w:val="bottom"/>
          </w:tcPr>
          <w:p>
            <w:pPr>
              <w:ind w:left="580"/>
              <w:spacing w:after="0"/>
              <w:rPr>
                <w:sz w:val="20"/>
                <w:szCs w:val="20"/>
                <w:color w:val="auto"/>
              </w:rPr>
            </w:pPr>
            <w:r>
              <w:rPr>
                <w:rFonts w:ascii="Arial" w:cs="Arial" w:eastAsia="Arial" w:hAnsi="Arial"/>
                <w:sz w:val="14"/>
                <w:szCs w:val="14"/>
                <w:b w:val="1"/>
                <w:bCs w:val="1"/>
                <w:color w:val="auto"/>
              </w:rPr>
              <w:t>Amount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Locked</w:t>
            </w:r>
          </w:p>
        </w:tc>
        <w:tc>
          <w:tcPr>
            <w:tcW w:w="104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117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401">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rPr>
          <w:sz w:val="20"/>
          <w:szCs w:val="20"/>
          <w:color w:val="auto"/>
        </w:rPr>
      </w:pPr>
      <w:r>
        <w:rPr>
          <w:rFonts w:ascii="Arial" w:cs="Arial" w:eastAsia="Arial" w:hAnsi="Arial"/>
          <w:sz w:val="13"/>
          <w:szCs w:val="13"/>
          <w:color w:val="auto"/>
        </w:rPr>
        <w:t>Future long-term debt offering</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Future long-term debt offering</w:t>
      </w:r>
    </w:p>
    <w:p>
      <w:pPr>
        <w:spacing w:after="0"/>
        <w:rPr>
          <w:sz w:val="20"/>
          <w:szCs w:val="20"/>
          <w:color w:val="auto"/>
        </w:rPr>
      </w:pPr>
      <w:r>
        <w:rPr>
          <w:rFonts w:ascii="Arial" w:cs="Arial" w:eastAsia="Arial" w:hAnsi="Arial"/>
          <w:sz w:val="13"/>
          <w:szCs w:val="13"/>
          <w:color w:val="auto"/>
        </w:rPr>
        <w:t>Future long-term debt offering</w:t>
      </w:r>
    </w:p>
    <w:p>
      <w:pPr>
        <w:spacing w:after="0"/>
        <w:rPr>
          <w:sz w:val="20"/>
          <w:szCs w:val="20"/>
          <w:color w:val="auto"/>
        </w:rPr>
      </w:pPr>
      <w:r>
        <w:rPr>
          <w:rFonts w:ascii="Arial" w:cs="Arial" w:eastAsia="Arial" w:hAnsi="Arial"/>
          <w:sz w:val="13"/>
          <w:szCs w:val="13"/>
          <w:color w:val="auto"/>
        </w:rPr>
        <w:t>Future long-term debt offering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2120" w:type="dxa"/>
            <w:vAlign w:val="bottom"/>
          </w:tcPr>
          <w:p>
            <w:pPr>
              <w:jc w:val="center"/>
              <w:ind w:right="408"/>
              <w:spacing w:after="0" w:line="142" w:lineRule="exact"/>
              <w:rPr>
                <w:sz w:val="20"/>
                <w:szCs w:val="20"/>
                <w:color w:val="auto"/>
              </w:rPr>
            </w:pPr>
            <w:r>
              <w:rPr>
                <w:rFonts w:ascii="Arial" w:cs="Arial" w:eastAsia="Arial" w:hAnsi="Arial"/>
                <w:sz w:val="14"/>
                <w:szCs w:val="14"/>
                <w:color w:val="auto"/>
                <w:w w:val="93"/>
              </w:rPr>
              <w:t>1 forward-starting swap (1)</w:t>
            </w:r>
          </w:p>
        </w:tc>
        <w:tc>
          <w:tcPr>
            <w:tcW w:w="1340" w:type="dxa"/>
            <w:vAlign w:val="bottom"/>
          </w:tcPr>
          <w:p>
            <w:pPr>
              <w:jc w:val="center"/>
              <w:spacing w:after="0" w:line="142" w:lineRule="exact"/>
              <w:rPr>
                <w:sz w:val="20"/>
                <w:szCs w:val="20"/>
                <w:color w:val="auto"/>
              </w:rPr>
            </w:pPr>
            <w:r>
              <w:rPr>
                <w:rFonts w:ascii="Arial" w:cs="Arial" w:eastAsia="Arial" w:hAnsi="Arial"/>
                <w:sz w:val="14"/>
                <w:szCs w:val="14"/>
                <w:color w:val="auto"/>
                <w:w w:val="96"/>
              </w:rPr>
              <w:t>$75.0</w:t>
            </w:r>
          </w:p>
        </w:tc>
        <w:tc>
          <w:tcPr>
            <w:tcW w:w="1500" w:type="dxa"/>
            <w:vAlign w:val="bottom"/>
          </w:tcPr>
          <w:p>
            <w:pPr>
              <w:jc w:val="right"/>
              <w:ind w:right="548"/>
              <w:spacing w:after="0" w:line="142" w:lineRule="exact"/>
              <w:rPr>
                <w:sz w:val="20"/>
                <w:szCs w:val="20"/>
                <w:color w:val="auto"/>
              </w:rPr>
            </w:pPr>
            <w:r>
              <w:rPr>
                <w:rFonts w:ascii="Arial" w:cs="Arial" w:eastAsia="Arial" w:hAnsi="Arial"/>
                <w:sz w:val="14"/>
                <w:szCs w:val="14"/>
                <w:color w:val="auto"/>
              </w:rPr>
              <w:t>9/2020</w:t>
            </w:r>
          </w:p>
        </w:tc>
        <w:tc>
          <w:tcPr>
            <w:tcW w:w="1460" w:type="dxa"/>
            <w:vAlign w:val="bottom"/>
          </w:tcPr>
          <w:p>
            <w:pPr>
              <w:jc w:val="right"/>
              <w:ind w:right="408"/>
              <w:spacing w:after="0" w:line="142" w:lineRule="exact"/>
              <w:rPr>
                <w:sz w:val="20"/>
                <w:szCs w:val="20"/>
                <w:color w:val="auto"/>
              </w:rPr>
            </w:pPr>
            <w:r>
              <w:rPr>
                <w:rFonts w:ascii="Arial" w:cs="Arial" w:eastAsia="Arial" w:hAnsi="Arial"/>
                <w:sz w:val="14"/>
                <w:szCs w:val="14"/>
                <w:color w:val="auto"/>
              </w:rPr>
              <w:t>2.39%</w:t>
            </w:r>
          </w:p>
        </w:tc>
        <w:tc>
          <w:tcPr>
            <w:tcW w:w="1440" w:type="dxa"/>
            <w:vAlign w:val="bottom"/>
          </w:tcPr>
          <w:p>
            <w:pPr>
              <w:ind w:left="480"/>
              <w:spacing w:after="0" w:line="142" w:lineRule="exact"/>
              <w:rPr>
                <w:sz w:val="20"/>
                <w:szCs w:val="20"/>
                <w:color w:val="auto"/>
              </w:rPr>
            </w:pPr>
            <w:r>
              <w:rPr>
                <w:rFonts w:ascii="Arial" w:cs="Arial" w:eastAsia="Arial" w:hAnsi="Arial"/>
                <w:sz w:val="14"/>
                <w:szCs w:val="14"/>
                <w:color w:val="auto"/>
                <w:w w:val="90"/>
              </w:rPr>
              <w:t>Cash flow hedge</w:t>
            </w:r>
          </w:p>
        </w:tc>
      </w:tr>
      <w:tr>
        <w:trPr>
          <w:trHeight w:val="149"/>
        </w:trPr>
        <w:tc>
          <w:tcPr>
            <w:tcW w:w="2120" w:type="dxa"/>
            <w:vAlign w:val="bottom"/>
          </w:tcPr>
          <w:p>
            <w:pPr>
              <w:jc w:val="center"/>
              <w:ind w:right="408"/>
              <w:spacing w:after="0" w:line="149" w:lineRule="exact"/>
              <w:rPr>
                <w:sz w:val="20"/>
                <w:szCs w:val="20"/>
                <w:color w:val="auto"/>
              </w:rPr>
            </w:pPr>
            <w:r>
              <w:rPr>
                <w:rFonts w:ascii="Arial" w:cs="Arial" w:eastAsia="Arial" w:hAnsi="Arial"/>
                <w:sz w:val="14"/>
                <w:szCs w:val="14"/>
                <w:color w:val="auto"/>
                <w:w w:val="93"/>
              </w:rPr>
              <w:t>1 forward-starting swap (1)</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6"/>
              </w:rPr>
              <w:t>$75.0</w:t>
            </w:r>
          </w:p>
        </w:tc>
        <w:tc>
          <w:tcPr>
            <w:tcW w:w="150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4/2021</w:t>
            </w:r>
          </w:p>
        </w:tc>
        <w:tc>
          <w:tcPr>
            <w:tcW w:w="146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2.41%</w:t>
            </w:r>
          </w:p>
        </w:tc>
        <w:tc>
          <w:tcPr>
            <w:tcW w:w="1440" w:type="dxa"/>
            <w:vAlign w:val="bottom"/>
          </w:tcPr>
          <w:p>
            <w:pPr>
              <w:ind w:left="480"/>
              <w:spacing w:after="0" w:line="149" w:lineRule="exact"/>
              <w:rPr>
                <w:sz w:val="20"/>
                <w:szCs w:val="20"/>
                <w:color w:val="auto"/>
              </w:rPr>
            </w:pPr>
            <w:r>
              <w:rPr>
                <w:rFonts w:ascii="Arial" w:cs="Arial" w:eastAsia="Arial" w:hAnsi="Arial"/>
                <w:sz w:val="14"/>
                <w:szCs w:val="14"/>
                <w:color w:val="auto"/>
                <w:w w:val="90"/>
              </w:rPr>
              <w:t>Cash flow hedge</w:t>
            </w:r>
          </w:p>
        </w:tc>
      </w:tr>
      <w:tr>
        <w:trPr>
          <w:trHeight w:val="149"/>
        </w:trPr>
        <w:tc>
          <w:tcPr>
            <w:tcW w:w="2120" w:type="dxa"/>
            <w:vAlign w:val="bottom"/>
          </w:tcPr>
          <w:p>
            <w:pPr>
              <w:jc w:val="center"/>
              <w:ind w:right="408"/>
              <w:spacing w:after="0" w:line="149" w:lineRule="exact"/>
              <w:rPr>
                <w:sz w:val="20"/>
                <w:szCs w:val="20"/>
                <w:color w:val="auto"/>
              </w:rPr>
            </w:pPr>
            <w:r>
              <w:rPr>
                <w:rFonts w:ascii="Arial" w:cs="Arial" w:eastAsia="Arial" w:hAnsi="Arial"/>
                <w:sz w:val="14"/>
                <w:szCs w:val="14"/>
                <w:color w:val="auto"/>
                <w:w w:val="94"/>
              </w:rPr>
              <w:t>5 forward-starting swaps (2)</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88"/>
              </w:rPr>
              <w:t>$500.0</w:t>
            </w:r>
          </w:p>
        </w:tc>
        <w:tc>
          <w:tcPr>
            <w:tcW w:w="150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9/2020</w:t>
            </w:r>
          </w:p>
        </w:tc>
        <w:tc>
          <w:tcPr>
            <w:tcW w:w="146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2.12%</w:t>
            </w:r>
          </w:p>
        </w:tc>
        <w:tc>
          <w:tcPr>
            <w:tcW w:w="1440" w:type="dxa"/>
            <w:vAlign w:val="bottom"/>
          </w:tcPr>
          <w:p>
            <w:pPr>
              <w:ind w:left="480"/>
              <w:spacing w:after="0" w:line="149" w:lineRule="exact"/>
              <w:rPr>
                <w:sz w:val="20"/>
                <w:szCs w:val="20"/>
                <w:color w:val="auto"/>
              </w:rPr>
            </w:pPr>
            <w:r>
              <w:rPr>
                <w:rFonts w:ascii="Arial" w:cs="Arial" w:eastAsia="Arial" w:hAnsi="Arial"/>
                <w:sz w:val="14"/>
                <w:szCs w:val="14"/>
                <w:color w:val="auto"/>
                <w:w w:val="90"/>
              </w:rPr>
              <w:t>Cash flow hedge</w:t>
            </w:r>
          </w:p>
        </w:tc>
      </w:tr>
      <w:tr>
        <w:trPr>
          <w:trHeight w:val="182"/>
        </w:trPr>
        <w:tc>
          <w:tcPr>
            <w:tcW w:w="2120" w:type="dxa"/>
            <w:vAlign w:val="bottom"/>
          </w:tcPr>
          <w:p>
            <w:pPr>
              <w:jc w:val="center"/>
              <w:ind w:right="408"/>
              <w:spacing w:after="0"/>
              <w:rPr>
                <w:sz w:val="20"/>
                <w:szCs w:val="20"/>
                <w:color w:val="auto"/>
              </w:rPr>
            </w:pPr>
            <w:r>
              <w:rPr>
                <w:rFonts w:ascii="Arial" w:cs="Arial" w:eastAsia="Arial" w:hAnsi="Arial"/>
                <w:sz w:val="14"/>
                <w:szCs w:val="14"/>
                <w:color w:val="auto"/>
                <w:w w:val="94"/>
              </w:rPr>
              <w:t>5 forward-starting swaps (2)</w:t>
            </w:r>
          </w:p>
        </w:tc>
        <w:tc>
          <w:tcPr>
            <w:tcW w:w="1340" w:type="dxa"/>
            <w:vAlign w:val="bottom"/>
          </w:tcPr>
          <w:p>
            <w:pPr>
              <w:jc w:val="center"/>
              <w:spacing w:after="0"/>
              <w:rPr>
                <w:sz w:val="20"/>
                <w:szCs w:val="20"/>
                <w:color w:val="auto"/>
              </w:rPr>
            </w:pPr>
            <w:r>
              <w:rPr>
                <w:rFonts w:ascii="Arial" w:cs="Arial" w:eastAsia="Arial" w:hAnsi="Arial"/>
                <w:sz w:val="14"/>
                <w:szCs w:val="14"/>
                <w:color w:val="auto"/>
                <w:w w:val="88"/>
              </w:rPr>
              <w:t>$500.0</w:t>
            </w:r>
          </w:p>
        </w:tc>
        <w:tc>
          <w:tcPr>
            <w:tcW w:w="1500" w:type="dxa"/>
            <w:vAlign w:val="bottom"/>
          </w:tcPr>
          <w:p>
            <w:pPr>
              <w:jc w:val="right"/>
              <w:ind w:right="548"/>
              <w:spacing w:after="0"/>
              <w:rPr>
                <w:sz w:val="20"/>
                <w:szCs w:val="20"/>
                <w:color w:val="auto"/>
              </w:rPr>
            </w:pPr>
            <w:r>
              <w:rPr>
                <w:rFonts w:ascii="Arial" w:cs="Arial" w:eastAsia="Arial" w:hAnsi="Arial"/>
                <w:sz w:val="14"/>
                <w:szCs w:val="14"/>
                <w:color w:val="auto"/>
              </w:rPr>
              <w:t>4/2021</w:t>
            </w:r>
          </w:p>
        </w:tc>
        <w:tc>
          <w:tcPr>
            <w:tcW w:w="1460" w:type="dxa"/>
            <w:vAlign w:val="bottom"/>
          </w:tcPr>
          <w:p>
            <w:pPr>
              <w:jc w:val="right"/>
              <w:ind w:right="408"/>
              <w:spacing w:after="0"/>
              <w:rPr>
                <w:sz w:val="20"/>
                <w:szCs w:val="20"/>
                <w:color w:val="auto"/>
              </w:rPr>
            </w:pPr>
            <w:r>
              <w:rPr>
                <w:rFonts w:ascii="Arial" w:cs="Arial" w:eastAsia="Arial" w:hAnsi="Arial"/>
                <w:sz w:val="14"/>
                <w:szCs w:val="14"/>
                <w:color w:val="auto"/>
              </w:rPr>
              <w:t>2.13%</w:t>
            </w:r>
          </w:p>
        </w:tc>
        <w:tc>
          <w:tcPr>
            <w:tcW w:w="1440" w:type="dxa"/>
            <w:vAlign w:val="bottom"/>
          </w:tcPr>
          <w:p>
            <w:pPr>
              <w:ind w:left="480"/>
              <w:spacing w:after="0"/>
              <w:rPr>
                <w:sz w:val="20"/>
                <w:szCs w:val="20"/>
                <w:color w:val="auto"/>
              </w:rPr>
            </w:pPr>
            <w:r>
              <w:rPr>
                <w:rFonts w:ascii="Arial" w:cs="Arial" w:eastAsia="Arial" w:hAnsi="Arial"/>
                <w:sz w:val="14"/>
                <w:szCs w:val="14"/>
                <w:color w:val="auto"/>
                <w:w w:val="90"/>
              </w:rPr>
              <w:t>Cash flow hedge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-197485</wp:posOffset>
            </wp:positionV>
            <wp:extent cx="7246620" cy="946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40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144780</wp:posOffset>
            </wp:positionV>
            <wp:extent cx="72466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720"/>
            <w:col w:w="8180"/>
          </w:cols>
          <w:pgMar w:left="240" w:top="122" w:right="239" w:bottom="1440" w:gutter="0" w:footer="0" w:header="0"/>
          <w:type w:val="continuous"/>
        </w:sectPr>
      </w:pPr>
    </w:p>
    <w:p>
      <w:pPr>
        <w:spacing w:after="0" w:line="36" w:lineRule="exact"/>
        <w:rPr>
          <w:sz w:val="20"/>
          <w:szCs w:val="20"/>
          <w:color w:val="auto"/>
        </w:rPr>
      </w:pP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These swaps were entered into in May 2019.</w:t>
      </w: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These swaps were entered into in September 2019 as a result of the exercise of swaptions.</w:t>
      </w:r>
    </w:p>
    <w:p>
      <w:pPr>
        <w:spacing w:after="0" w:line="22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total, the notional amount of forward-starting swaps outstanding at December 31, 2019 was $1.15 billion. The weighted-average fixed interest rate of these derivative instruments is 2.16%.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4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04" w:name="page205"/>
    <w:bookmarkEnd w:id="20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a result of market conditions, we terminated an aggregate $275 million notional amount of forward-starting swaps in 2017, which resulted in cash proceeds totaling $30.6 million. As cash flow hedges, gains on these derivative instruments are reflected as a component of accumulated other comprehensive income and are being amortized to earnings (as a decrease in interest expense) over the 30-year life of the associated debt through February 2048. Likewise, in 2018, we terminated an aggregate $275 million notional amount of forward-starting swaps (cash flow hedges), which resulted in cash proceeds totaling $22.1 million that are being amortized to earnings (as a decrease in interest expense) over a 30-year period through February 2049.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Hedging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prices of natural gas, NGLs, crude oil, petrochemicals and refined products are subject to fluctuations in response to changes in supply and demand, market conditions and a variety of additional factors that are beyond our control. In order to manage such price risks, we enter into commodity derivative instruments such as physical forward contracts, futures contracts, fixed-for-float swaps and basis swaps.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2019, our predominant commodity hedging strategies consisted of (i) hedging anticipated future purchases and sales of commodity products associated with transportation, storage and blending activities, (ii) hedging natural gas processing margins and (iii) hedging the fair value of commodity products held in inventory.</w:t>
      </w:r>
    </w:p>
    <w:p>
      <w:pPr>
        <w:spacing w:after="0" w:line="208" w:lineRule="exact"/>
        <w:rPr>
          <w:sz w:val="20"/>
          <w:szCs w:val="20"/>
          <w:color w:val="auto"/>
        </w:rPr>
      </w:pPr>
    </w:p>
    <w:p>
      <w:pPr>
        <w:ind w:left="340" w:hanging="332"/>
        <w:spacing w:after="0" w:line="308" w:lineRule="auto"/>
        <w:tabs>
          <w:tab w:leader="none" w:pos="3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objective of our anticipated future commodity purchases and sales hedging program is to hedge the margins of certain transportation, storage, blending and operational activities by locking in purchase and sale prices through the use of derivative instruments and related contracts.</w:t>
      </w:r>
    </w:p>
    <w:p>
      <w:pPr>
        <w:spacing w:after="0" w:line="173"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objective of our natural gas processing hedging program is to hedge an amount of earnings associated with these activities. We achieve this objective by executing fixed-price sales for a portion of our expected equity NGL production using derivative instruments and related contracts. For certain natural gas processing contracts, the hedging of expected equity NGL production also involves the purchase of natural gas for shrinkage, which is hedged using derivative instruments and related contracts.</w:t>
      </w:r>
    </w:p>
    <w:p>
      <w:pPr>
        <w:spacing w:after="0" w:line="21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objective of our inventory hedging program is to hedge the fair value of commodity products currently held in inventory by locking in the sales price of the inventory through the use of derivative instruments and related contracts.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4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5" w:name="page206"/>
    <w:bookmarkEnd w:id="20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portfolio of commodity derivative instruments outstanding at December 31, 2019 (volume measures as noted):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Volume </w:t>
            </w:r>
            <w:r>
              <w:rPr>
                <w:rFonts w:ascii="Arial" w:cs="Arial" w:eastAsia="Arial" w:hAnsi="Arial"/>
                <w:sz w:val="14"/>
                <w:szCs w:val="14"/>
                <w:color w:val="auto"/>
              </w:rPr>
              <w:t>(1)</w:t>
            </w:r>
          </w:p>
        </w:tc>
        <w:tc>
          <w:tcPr>
            <w:tcW w:w="1720" w:type="dxa"/>
            <w:vAlign w:val="bottom"/>
          </w:tcPr>
          <w:p>
            <w:pPr>
              <w:jc w:val="center"/>
              <w:ind w:left="68"/>
              <w:spacing w:after="0"/>
              <w:rPr>
                <w:sz w:val="20"/>
                <w:szCs w:val="20"/>
                <w:color w:val="auto"/>
              </w:rPr>
            </w:pPr>
            <w:r>
              <w:rPr>
                <w:rFonts w:ascii="Arial" w:cs="Arial" w:eastAsia="Arial" w:hAnsi="Arial"/>
                <w:sz w:val="14"/>
                <w:szCs w:val="14"/>
                <w:b w:val="1"/>
                <w:bCs w:val="1"/>
                <w:color w:val="auto"/>
                <w:w w:val="90"/>
              </w:rPr>
              <w:t>Accounting</w:t>
            </w:r>
          </w:p>
        </w:tc>
      </w:tr>
      <w:tr>
        <w:trPr>
          <w:trHeight w:val="156"/>
        </w:trPr>
        <w:tc>
          <w:tcPr>
            <w:tcW w:w="20" w:type="dxa"/>
            <w:vAlign w:val="bottom"/>
          </w:tcPr>
          <w:p>
            <w:pPr>
              <w:spacing w:after="0"/>
              <w:rPr>
                <w:sz w:val="13"/>
                <w:szCs w:val="13"/>
                <w:color w:val="auto"/>
              </w:rPr>
            </w:pPr>
          </w:p>
        </w:tc>
        <w:tc>
          <w:tcPr>
            <w:tcW w:w="7020" w:type="dxa"/>
            <w:vAlign w:val="bottom"/>
            <w:tcBorders>
              <w:bottom w:val="single" w:sz="8" w:color="auto"/>
            </w:tcBorders>
          </w:tcPr>
          <w:p>
            <w:pPr>
              <w:ind w:left="2900"/>
              <w:spacing w:after="0" w:line="149" w:lineRule="exact"/>
              <w:rPr>
                <w:sz w:val="20"/>
                <w:szCs w:val="20"/>
                <w:color w:val="auto"/>
              </w:rPr>
            </w:pPr>
            <w:r>
              <w:rPr>
                <w:rFonts w:ascii="Arial" w:cs="Arial" w:eastAsia="Arial" w:hAnsi="Arial"/>
                <w:sz w:val="14"/>
                <w:szCs w:val="14"/>
                <w:b w:val="1"/>
                <w:bCs w:val="1"/>
                <w:color w:val="auto"/>
              </w:rPr>
              <w:t>Derivative Purpose</w:t>
            </w:r>
          </w:p>
        </w:tc>
        <w:tc>
          <w:tcPr>
            <w:tcW w:w="96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b w:val="1"/>
                <w:bCs w:val="1"/>
                <w:color w:val="auto"/>
              </w:rPr>
              <w:t xml:space="preserve">Current </w:t>
            </w:r>
            <w:r>
              <w:rPr>
                <w:rFonts w:ascii="Arial" w:cs="Arial" w:eastAsia="Arial" w:hAnsi="Arial"/>
                <w:sz w:val="14"/>
                <w:szCs w:val="14"/>
                <w:color w:val="auto"/>
              </w:rPr>
              <w:t>(2)</w:t>
            </w:r>
          </w:p>
        </w:tc>
        <w:tc>
          <w:tcPr>
            <w:tcW w:w="1700" w:type="dxa"/>
            <w:vAlign w:val="bottom"/>
            <w:tcBorders>
              <w:bottom w:val="single" w:sz="8" w:color="auto"/>
            </w:tcBorders>
          </w:tcPr>
          <w:p>
            <w:pPr>
              <w:ind w:left="560"/>
              <w:spacing w:after="0" w:line="149" w:lineRule="exact"/>
              <w:rPr>
                <w:sz w:val="20"/>
                <w:szCs w:val="20"/>
                <w:color w:val="auto"/>
              </w:rPr>
            </w:pPr>
            <w:r>
              <w:rPr>
                <w:rFonts w:ascii="Arial" w:cs="Arial" w:eastAsia="Arial" w:hAnsi="Arial"/>
                <w:sz w:val="14"/>
                <w:szCs w:val="14"/>
                <w:b w:val="1"/>
                <w:bCs w:val="1"/>
                <w:color w:val="auto"/>
              </w:rPr>
              <w:t xml:space="preserve">Long-Term </w:t>
            </w:r>
            <w:r>
              <w:rPr>
                <w:rFonts w:ascii="Arial" w:cs="Arial" w:eastAsia="Arial" w:hAnsi="Arial"/>
                <w:sz w:val="14"/>
                <w:szCs w:val="14"/>
                <w:color w:val="auto"/>
              </w:rPr>
              <w:t>(2)</w:t>
            </w:r>
          </w:p>
        </w:tc>
        <w:tc>
          <w:tcPr>
            <w:tcW w:w="1720" w:type="dxa"/>
            <w:vAlign w:val="bottom"/>
            <w:tcBorders>
              <w:bottom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Treatment</w:t>
            </w:r>
          </w:p>
        </w:tc>
      </w:tr>
      <w:tr>
        <w:trPr>
          <w:trHeight w:val="156"/>
        </w:trPr>
        <w:tc>
          <w:tcPr>
            <w:tcW w:w="20" w:type="dxa"/>
            <w:vAlign w:val="bottom"/>
          </w:tcPr>
          <w:p>
            <w:pPr>
              <w:spacing w:after="0"/>
              <w:rPr>
                <w:sz w:val="13"/>
                <w:szCs w:val="13"/>
                <w:color w:val="auto"/>
              </w:rPr>
            </w:pPr>
          </w:p>
        </w:tc>
        <w:tc>
          <w:tcPr>
            <w:tcW w:w="70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Derivatives designated as hedging instruments:</w:t>
            </w:r>
          </w:p>
        </w:tc>
        <w:tc>
          <w:tcPr>
            <w:tcW w:w="9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7020" w:type="dxa"/>
            <w:vAlign w:val="bottom"/>
          </w:tcPr>
          <w:p>
            <w:pPr>
              <w:ind w:left="160"/>
              <w:spacing w:after="0"/>
              <w:rPr>
                <w:sz w:val="20"/>
                <w:szCs w:val="20"/>
                <w:color w:val="auto"/>
              </w:rPr>
            </w:pPr>
            <w:r>
              <w:rPr>
                <w:rFonts w:ascii="Arial" w:cs="Arial" w:eastAsia="Arial" w:hAnsi="Arial"/>
                <w:sz w:val="14"/>
                <w:szCs w:val="14"/>
                <w:color w:val="auto"/>
              </w:rPr>
              <w:t>Natural gas processing:</w:t>
            </w: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Forecasted natural gas purchases for plant thermal reduction (Bcf)</w:t>
            </w:r>
          </w:p>
        </w:tc>
        <w:tc>
          <w:tcPr>
            <w:tcW w:w="960" w:type="dxa"/>
            <w:vAlign w:val="bottom"/>
            <w:shd w:val="clear" w:color="auto" w:fill="CCEEFF"/>
          </w:tcPr>
          <w:p>
            <w:pPr>
              <w:jc w:val="center"/>
              <w:ind w:left="388"/>
              <w:spacing w:after="0"/>
              <w:rPr>
                <w:sz w:val="20"/>
                <w:szCs w:val="20"/>
                <w:color w:val="auto"/>
              </w:rPr>
            </w:pPr>
            <w:r>
              <w:rPr>
                <w:rFonts w:ascii="Arial" w:cs="Arial" w:eastAsia="Arial" w:hAnsi="Arial"/>
                <w:sz w:val="14"/>
                <w:szCs w:val="14"/>
                <w:color w:val="auto"/>
                <w:w w:val="92"/>
              </w:rPr>
              <w:t>3.9</w:t>
            </w:r>
          </w:p>
        </w:tc>
        <w:tc>
          <w:tcPr>
            <w:tcW w:w="170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n/a</w:t>
            </w:r>
          </w:p>
        </w:tc>
        <w:tc>
          <w:tcPr>
            <w:tcW w:w="172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2"/>
              </w:rPr>
              <w:t>Cash flow hedge</w:t>
            </w:r>
          </w:p>
        </w:tc>
      </w:tr>
      <w:tr>
        <w:trPr>
          <w:trHeight w:val="216"/>
        </w:trPr>
        <w:tc>
          <w:tcPr>
            <w:tcW w:w="2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4"/>
                <w:szCs w:val="14"/>
                <w:color w:val="auto"/>
              </w:rPr>
              <w:t>Forecasted sales of NGLs (MMBbls)</w:t>
            </w:r>
          </w:p>
        </w:tc>
        <w:tc>
          <w:tcPr>
            <w:tcW w:w="960" w:type="dxa"/>
            <w:vAlign w:val="bottom"/>
          </w:tcPr>
          <w:p>
            <w:pPr>
              <w:jc w:val="center"/>
              <w:ind w:left="388"/>
              <w:spacing w:after="0"/>
              <w:rPr>
                <w:sz w:val="20"/>
                <w:szCs w:val="20"/>
                <w:color w:val="auto"/>
              </w:rPr>
            </w:pPr>
            <w:r>
              <w:rPr>
                <w:rFonts w:ascii="Arial" w:cs="Arial" w:eastAsia="Arial" w:hAnsi="Arial"/>
                <w:sz w:val="14"/>
                <w:szCs w:val="14"/>
                <w:color w:val="auto"/>
                <w:w w:val="92"/>
              </w:rPr>
              <w:t>0.8</w:t>
            </w:r>
          </w:p>
        </w:tc>
        <w:tc>
          <w:tcPr>
            <w:tcW w:w="1700" w:type="dxa"/>
            <w:vAlign w:val="bottom"/>
          </w:tcPr>
          <w:p>
            <w:pPr>
              <w:ind w:left="1120"/>
              <w:spacing w:after="0"/>
              <w:rPr>
                <w:sz w:val="20"/>
                <w:szCs w:val="20"/>
                <w:color w:val="auto"/>
              </w:rPr>
            </w:pPr>
            <w:r>
              <w:rPr>
                <w:rFonts w:ascii="Arial" w:cs="Arial" w:eastAsia="Arial" w:hAnsi="Arial"/>
                <w:sz w:val="14"/>
                <w:szCs w:val="14"/>
                <w:color w:val="auto"/>
              </w:rPr>
              <w:t>n/a</w:t>
            </w:r>
          </w:p>
        </w:tc>
        <w:tc>
          <w:tcPr>
            <w:tcW w:w="1720" w:type="dxa"/>
            <w:vAlign w:val="bottom"/>
          </w:tcPr>
          <w:p>
            <w:pPr>
              <w:jc w:val="center"/>
              <w:ind w:left="48"/>
              <w:spacing w:after="0"/>
              <w:rPr>
                <w:sz w:val="20"/>
                <w:szCs w:val="20"/>
                <w:color w:val="auto"/>
              </w:rPr>
            </w:pPr>
            <w:r>
              <w:rPr>
                <w:rFonts w:ascii="Arial" w:cs="Arial" w:eastAsia="Arial" w:hAnsi="Arial"/>
                <w:sz w:val="14"/>
                <w:szCs w:val="14"/>
                <w:color w:val="auto"/>
                <w:w w:val="92"/>
              </w:rPr>
              <w:t>Cash flow hedge</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Octane enhancement:</w:t>
            </w:r>
          </w:p>
        </w:tc>
        <w:tc>
          <w:tcPr>
            <w:tcW w:w="9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4"/>
                <w:szCs w:val="14"/>
                <w:color w:val="auto"/>
              </w:rPr>
              <w:t>Forecasted purchase of NGLs (MMBbls)</w:t>
            </w:r>
          </w:p>
        </w:tc>
        <w:tc>
          <w:tcPr>
            <w:tcW w:w="960" w:type="dxa"/>
            <w:vAlign w:val="bottom"/>
          </w:tcPr>
          <w:p>
            <w:pPr>
              <w:jc w:val="center"/>
              <w:ind w:left="388"/>
              <w:spacing w:after="0"/>
              <w:rPr>
                <w:sz w:val="20"/>
                <w:szCs w:val="20"/>
                <w:color w:val="auto"/>
              </w:rPr>
            </w:pPr>
            <w:r>
              <w:rPr>
                <w:rFonts w:ascii="Arial" w:cs="Arial" w:eastAsia="Arial" w:hAnsi="Arial"/>
                <w:sz w:val="14"/>
                <w:szCs w:val="14"/>
                <w:color w:val="auto"/>
                <w:w w:val="92"/>
              </w:rPr>
              <w:t>0.6</w:t>
            </w:r>
          </w:p>
        </w:tc>
        <w:tc>
          <w:tcPr>
            <w:tcW w:w="1700" w:type="dxa"/>
            <w:vAlign w:val="bottom"/>
          </w:tcPr>
          <w:p>
            <w:pPr>
              <w:ind w:left="1120"/>
              <w:spacing w:after="0"/>
              <w:rPr>
                <w:sz w:val="20"/>
                <w:szCs w:val="20"/>
                <w:color w:val="auto"/>
              </w:rPr>
            </w:pPr>
            <w:r>
              <w:rPr>
                <w:rFonts w:ascii="Arial" w:cs="Arial" w:eastAsia="Arial" w:hAnsi="Arial"/>
                <w:sz w:val="14"/>
                <w:szCs w:val="14"/>
                <w:color w:val="auto"/>
              </w:rPr>
              <w:t>n/a</w:t>
            </w:r>
          </w:p>
        </w:tc>
        <w:tc>
          <w:tcPr>
            <w:tcW w:w="1720" w:type="dxa"/>
            <w:vAlign w:val="bottom"/>
          </w:tcPr>
          <w:p>
            <w:pPr>
              <w:jc w:val="center"/>
              <w:ind w:left="48"/>
              <w:spacing w:after="0"/>
              <w:rPr>
                <w:sz w:val="20"/>
                <w:szCs w:val="20"/>
                <w:color w:val="auto"/>
              </w:rPr>
            </w:pPr>
            <w:r>
              <w:rPr>
                <w:rFonts w:ascii="Arial" w:cs="Arial" w:eastAsia="Arial" w:hAnsi="Arial"/>
                <w:sz w:val="14"/>
                <w:szCs w:val="14"/>
                <w:color w:val="auto"/>
                <w:w w:val="92"/>
              </w:rPr>
              <w:t>Cash flow hedge</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Forecasted sales of octane enhancement products (MMBbls)</w:t>
            </w:r>
          </w:p>
        </w:tc>
        <w:tc>
          <w:tcPr>
            <w:tcW w:w="960" w:type="dxa"/>
            <w:vAlign w:val="bottom"/>
            <w:shd w:val="clear" w:color="auto" w:fill="CCEEFF"/>
          </w:tcPr>
          <w:p>
            <w:pPr>
              <w:jc w:val="center"/>
              <w:ind w:left="368"/>
              <w:spacing w:after="0"/>
              <w:rPr>
                <w:sz w:val="20"/>
                <w:szCs w:val="20"/>
                <w:color w:val="auto"/>
              </w:rPr>
            </w:pPr>
            <w:r>
              <w:rPr>
                <w:rFonts w:ascii="Arial" w:cs="Arial" w:eastAsia="Arial" w:hAnsi="Arial"/>
                <w:sz w:val="14"/>
                <w:szCs w:val="14"/>
                <w:color w:val="auto"/>
                <w:w w:val="87"/>
              </w:rPr>
              <w:t>11.2</w:t>
            </w:r>
          </w:p>
        </w:tc>
        <w:tc>
          <w:tcPr>
            <w:tcW w:w="1700" w:type="dxa"/>
            <w:vAlign w:val="bottom"/>
            <w:shd w:val="clear" w:color="auto" w:fill="CCEEFF"/>
          </w:tcPr>
          <w:p>
            <w:pPr>
              <w:jc w:val="center"/>
              <w:ind w:left="608"/>
              <w:spacing w:after="0"/>
              <w:rPr>
                <w:sz w:val="20"/>
                <w:szCs w:val="20"/>
                <w:color w:val="auto"/>
              </w:rPr>
            </w:pPr>
            <w:r>
              <w:rPr>
                <w:rFonts w:ascii="Arial" w:cs="Arial" w:eastAsia="Arial" w:hAnsi="Arial"/>
                <w:sz w:val="14"/>
                <w:szCs w:val="14"/>
                <w:color w:val="auto"/>
                <w:w w:val="92"/>
              </w:rPr>
              <w:t>0.1</w:t>
            </w:r>
          </w:p>
        </w:tc>
        <w:tc>
          <w:tcPr>
            <w:tcW w:w="172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2"/>
              </w:rPr>
              <w:t>Cash flow hedge</w:t>
            </w: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4"/>
                <w:szCs w:val="14"/>
                <w:color w:val="auto"/>
              </w:rPr>
              <w:t>Natural gas marketing:</w:t>
            </w:r>
          </w:p>
        </w:tc>
        <w:tc>
          <w:tcPr>
            <w:tcW w:w="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Forecasted purchases of natural gas (Bcf)</w:t>
            </w:r>
          </w:p>
        </w:tc>
        <w:tc>
          <w:tcPr>
            <w:tcW w:w="960" w:type="dxa"/>
            <w:vAlign w:val="bottom"/>
            <w:shd w:val="clear" w:color="auto" w:fill="CCEEFF"/>
          </w:tcPr>
          <w:p>
            <w:pPr>
              <w:jc w:val="center"/>
              <w:ind w:left="388"/>
              <w:spacing w:after="0"/>
              <w:rPr>
                <w:sz w:val="20"/>
                <w:szCs w:val="20"/>
                <w:color w:val="auto"/>
              </w:rPr>
            </w:pPr>
            <w:r>
              <w:rPr>
                <w:rFonts w:ascii="Arial" w:cs="Arial" w:eastAsia="Arial" w:hAnsi="Arial"/>
                <w:sz w:val="14"/>
                <w:szCs w:val="14"/>
                <w:color w:val="auto"/>
                <w:w w:val="92"/>
              </w:rPr>
              <w:t>1.1</w:t>
            </w:r>
          </w:p>
        </w:tc>
        <w:tc>
          <w:tcPr>
            <w:tcW w:w="170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n/a</w:t>
            </w:r>
          </w:p>
        </w:tc>
        <w:tc>
          <w:tcPr>
            <w:tcW w:w="172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2"/>
              </w:rPr>
              <w:t>Cash flow hedge</w:t>
            </w:r>
          </w:p>
        </w:tc>
      </w:tr>
      <w:tr>
        <w:trPr>
          <w:trHeight w:val="149"/>
        </w:trPr>
        <w:tc>
          <w:tcPr>
            <w:tcW w:w="20" w:type="dxa"/>
            <w:vAlign w:val="bottom"/>
          </w:tcPr>
          <w:p>
            <w:pPr>
              <w:spacing w:after="0"/>
              <w:rPr>
                <w:sz w:val="12"/>
                <w:szCs w:val="12"/>
                <w:color w:val="auto"/>
              </w:rPr>
            </w:pPr>
          </w:p>
        </w:tc>
        <w:tc>
          <w:tcPr>
            <w:tcW w:w="7020" w:type="dxa"/>
            <w:vAlign w:val="bottom"/>
          </w:tcPr>
          <w:p>
            <w:pPr>
              <w:ind w:left="320"/>
              <w:spacing w:after="0" w:line="149" w:lineRule="exact"/>
              <w:rPr>
                <w:sz w:val="20"/>
                <w:szCs w:val="20"/>
                <w:color w:val="auto"/>
              </w:rPr>
            </w:pPr>
            <w:r>
              <w:rPr>
                <w:rFonts w:ascii="Arial" w:cs="Arial" w:eastAsia="Arial" w:hAnsi="Arial"/>
                <w:sz w:val="14"/>
                <w:szCs w:val="14"/>
                <w:color w:val="auto"/>
              </w:rPr>
              <w:t>Natural gas storage inventory management activities (Bcf)</w:t>
            </w:r>
          </w:p>
        </w:tc>
        <w:tc>
          <w:tcPr>
            <w:tcW w:w="960" w:type="dxa"/>
            <w:vAlign w:val="bottom"/>
          </w:tcPr>
          <w:p>
            <w:pPr>
              <w:jc w:val="center"/>
              <w:ind w:left="388"/>
              <w:spacing w:after="0" w:line="149" w:lineRule="exact"/>
              <w:rPr>
                <w:sz w:val="20"/>
                <w:szCs w:val="20"/>
                <w:color w:val="auto"/>
              </w:rPr>
            </w:pPr>
            <w:r>
              <w:rPr>
                <w:rFonts w:ascii="Arial" w:cs="Arial" w:eastAsia="Arial" w:hAnsi="Arial"/>
                <w:sz w:val="14"/>
                <w:szCs w:val="14"/>
                <w:color w:val="auto"/>
                <w:w w:val="92"/>
              </w:rPr>
              <w:t>3.0</w:t>
            </w:r>
          </w:p>
        </w:tc>
        <w:tc>
          <w:tcPr>
            <w:tcW w:w="1700" w:type="dxa"/>
            <w:vAlign w:val="bottom"/>
          </w:tcPr>
          <w:p>
            <w:pPr>
              <w:ind w:left="1120"/>
              <w:spacing w:after="0" w:line="149" w:lineRule="exact"/>
              <w:rPr>
                <w:sz w:val="20"/>
                <w:szCs w:val="20"/>
                <w:color w:val="auto"/>
              </w:rPr>
            </w:pPr>
            <w:r>
              <w:rPr>
                <w:rFonts w:ascii="Arial" w:cs="Arial" w:eastAsia="Arial" w:hAnsi="Arial"/>
                <w:sz w:val="14"/>
                <w:szCs w:val="14"/>
                <w:color w:val="auto"/>
              </w:rPr>
              <w:t>n/a</w:t>
            </w:r>
          </w:p>
        </w:tc>
        <w:tc>
          <w:tcPr>
            <w:tcW w:w="172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2"/>
              </w:rPr>
              <w:t>Fair value hedge</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NGL marketing:</w:t>
            </w:r>
          </w:p>
        </w:tc>
        <w:tc>
          <w:tcPr>
            <w:tcW w:w="9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149"/>
        </w:trPr>
        <w:tc>
          <w:tcPr>
            <w:tcW w:w="20" w:type="dxa"/>
            <w:vAlign w:val="bottom"/>
          </w:tcPr>
          <w:p>
            <w:pPr>
              <w:spacing w:after="0"/>
              <w:rPr>
                <w:sz w:val="12"/>
                <w:szCs w:val="12"/>
                <w:color w:val="auto"/>
              </w:rPr>
            </w:pPr>
          </w:p>
        </w:tc>
        <w:tc>
          <w:tcPr>
            <w:tcW w:w="7020" w:type="dxa"/>
            <w:vAlign w:val="bottom"/>
          </w:tcPr>
          <w:p>
            <w:pPr>
              <w:ind w:left="320"/>
              <w:spacing w:after="0" w:line="149" w:lineRule="exact"/>
              <w:rPr>
                <w:sz w:val="20"/>
                <w:szCs w:val="20"/>
                <w:color w:val="auto"/>
              </w:rPr>
            </w:pPr>
            <w:r>
              <w:rPr>
                <w:rFonts w:ascii="Arial" w:cs="Arial" w:eastAsia="Arial" w:hAnsi="Arial"/>
                <w:sz w:val="14"/>
                <w:szCs w:val="14"/>
                <w:color w:val="auto"/>
              </w:rPr>
              <w:t>Forecasted purchases of NGLs and related hydrocarbon products (MMBbls)</w:t>
            </w:r>
          </w:p>
        </w:tc>
        <w:tc>
          <w:tcPr>
            <w:tcW w:w="960" w:type="dxa"/>
            <w:vAlign w:val="bottom"/>
          </w:tcPr>
          <w:p>
            <w:pPr>
              <w:jc w:val="center"/>
              <w:ind w:left="368"/>
              <w:spacing w:after="0" w:line="149" w:lineRule="exact"/>
              <w:rPr>
                <w:sz w:val="20"/>
                <w:szCs w:val="20"/>
                <w:color w:val="auto"/>
              </w:rPr>
            </w:pPr>
            <w:r>
              <w:rPr>
                <w:rFonts w:ascii="Arial" w:cs="Arial" w:eastAsia="Arial" w:hAnsi="Arial"/>
                <w:sz w:val="14"/>
                <w:szCs w:val="14"/>
                <w:color w:val="auto"/>
                <w:w w:val="91"/>
              </w:rPr>
              <w:t>103.5</w:t>
            </w:r>
          </w:p>
        </w:tc>
        <w:tc>
          <w:tcPr>
            <w:tcW w:w="1700" w:type="dxa"/>
            <w:vAlign w:val="bottom"/>
          </w:tcPr>
          <w:p>
            <w:pPr>
              <w:ind w:left="1120"/>
              <w:spacing w:after="0" w:line="149" w:lineRule="exact"/>
              <w:rPr>
                <w:sz w:val="20"/>
                <w:szCs w:val="20"/>
                <w:color w:val="auto"/>
              </w:rPr>
            </w:pPr>
            <w:r>
              <w:rPr>
                <w:rFonts w:ascii="Arial" w:cs="Arial" w:eastAsia="Arial" w:hAnsi="Arial"/>
                <w:sz w:val="14"/>
                <w:szCs w:val="14"/>
                <w:color w:val="auto"/>
              </w:rPr>
              <w:t>n/a</w:t>
            </w:r>
          </w:p>
        </w:tc>
        <w:tc>
          <w:tcPr>
            <w:tcW w:w="172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2"/>
              </w:rPr>
              <w:t>Cash flow hedge</w:t>
            </w:r>
          </w:p>
        </w:tc>
      </w:tr>
      <w:tr>
        <w:trPr>
          <w:trHeight w:val="149"/>
        </w:trPr>
        <w:tc>
          <w:tcPr>
            <w:tcW w:w="20" w:type="dxa"/>
            <w:vAlign w:val="bottom"/>
          </w:tcPr>
          <w:p>
            <w:pPr>
              <w:spacing w:after="0"/>
              <w:rPr>
                <w:sz w:val="12"/>
                <w:szCs w:val="12"/>
                <w:color w:val="auto"/>
              </w:rPr>
            </w:pPr>
          </w:p>
        </w:tc>
        <w:tc>
          <w:tcPr>
            <w:tcW w:w="70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Forecasted sales of NGLs and related hydrocarbon products (MMBbls)</w:t>
            </w:r>
          </w:p>
        </w:tc>
        <w:tc>
          <w:tcPr>
            <w:tcW w:w="960" w:type="dxa"/>
            <w:vAlign w:val="bottom"/>
            <w:shd w:val="clear" w:color="auto" w:fill="CCEEFF"/>
          </w:tcPr>
          <w:p>
            <w:pPr>
              <w:jc w:val="center"/>
              <w:ind w:left="368"/>
              <w:spacing w:after="0" w:line="149" w:lineRule="exact"/>
              <w:rPr>
                <w:sz w:val="20"/>
                <w:szCs w:val="20"/>
                <w:color w:val="auto"/>
              </w:rPr>
            </w:pPr>
            <w:r>
              <w:rPr>
                <w:rFonts w:ascii="Arial" w:cs="Arial" w:eastAsia="Arial" w:hAnsi="Arial"/>
                <w:sz w:val="14"/>
                <w:szCs w:val="14"/>
                <w:color w:val="auto"/>
                <w:w w:val="91"/>
              </w:rPr>
              <w:t>128.1</w:t>
            </w:r>
          </w:p>
        </w:tc>
        <w:tc>
          <w:tcPr>
            <w:tcW w:w="1700" w:type="dxa"/>
            <w:vAlign w:val="bottom"/>
            <w:shd w:val="clear" w:color="auto" w:fill="CCEEFF"/>
          </w:tcPr>
          <w:p>
            <w:pPr>
              <w:ind w:left="1120"/>
              <w:spacing w:after="0" w:line="149" w:lineRule="exact"/>
              <w:rPr>
                <w:sz w:val="20"/>
                <w:szCs w:val="20"/>
                <w:color w:val="auto"/>
              </w:rPr>
            </w:pPr>
            <w:r>
              <w:rPr>
                <w:rFonts w:ascii="Arial" w:cs="Arial" w:eastAsia="Arial" w:hAnsi="Arial"/>
                <w:sz w:val="14"/>
                <w:szCs w:val="14"/>
                <w:color w:val="auto"/>
              </w:rPr>
              <w:t>n/a</w:t>
            </w:r>
          </w:p>
        </w:tc>
        <w:tc>
          <w:tcPr>
            <w:tcW w:w="1720" w:type="dxa"/>
            <w:vAlign w:val="bottom"/>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2"/>
              </w:rPr>
              <w:t>Cash flow hedge</w:t>
            </w:r>
          </w:p>
        </w:tc>
      </w:tr>
      <w:tr>
        <w:trPr>
          <w:trHeight w:val="216"/>
        </w:trPr>
        <w:tc>
          <w:tcPr>
            <w:tcW w:w="2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4"/>
                <w:szCs w:val="14"/>
                <w:color w:val="auto"/>
              </w:rPr>
              <w:t>NGLs inventory management activities (MMBbls)</w:t>
            </w:r>
          </w:p>
        </w:tc>
        <w:tc>
          <w:tcPr>
            <w:tcW w:w="960" w:type="dxa"/>
            <w:vAlign w:val="bottom"/>
          </w:tcPr>
          <w:p>
            <w:pPr>
              <w:jc w:val="center"/>
              <w:ind w:left="388"/>
              <w:spacing w:after="0"/>
              <w:rPr>
                <w:sz w:val="20"/>
                <w:szCs w:val="20"/>
                <w:color w:val="auto"/>
              </w:rPr>
            </w:pPr>
            <w:r>
              <w:rPr>
                <w:rFonts w:ascii="Arial" w:cs="Arial" w:eastAsia="Arial" w:hAnsi="Arial"/>
                <w:sz w:val="14"/>
                <w:szCs w:val="14"/>
                <w:color w:val="auto"/>
                <w:w w:val="92"/>
              </w:rPr>
              <w:t>0.5</w:t>
            </w:r>
          </w:p>
        </w:tc>
        <w:tc>
          <w:tcPr>
            <w:tcW w:w="1700" w:type="dxa"/>
            <w:vAlign w:val="bottom"/>
          </w:tcPr>
          <w:p>
            <w:pPr>
              <w:ind w:left="1120"/>
              <w:spacing w:after="0"/>
              <w:rPr>
                <w:sz w:val="20"/>
                <w:szCs w:val="20"/>
                <w:color w:val="auto"/>
              </w:rPr>
            </w:pPr>
            <w:r>
              <w:rPr>
                <w:rFonts w:ascii="Arial" w:cs="Arial" w:eastAsia="Arial" w:hAnsi="Arial"/>
                <w:sz w:val="14"/>
                <w:szCs w:val="14"/>
                <w:color w:val="auto"/>
              </w:rPr>
              <w:t>n/a</w:t>
            </w:r>
          </w:p>
        </w:tc>
        <w:tc>
          <w:tcPr>
            <w:tcW w:w="1720" w:type="dxa"/>
            <w:vAlign w:val="bottom"/>
          </w:tcPr>
          <w:p>
            <w:pPr>
              <w:jc w:val="center"/>
              <w:ind w:left="48"/>
              <w:spacing w:after="0"/>
              <w:rPr>
                <w:sz w:val="20"/>
                <w:szCs w:val="20"/>
                <w:color w:val="auto"/>
              </w:rPr>
            </w:pPr>
            <w:r>
              <w:rPr>
                <w:rFonts w:ascii="Arial" w:cs="Arial" w:eastAsia="Arial" w:hAnsi="Arial"/>
                <w:sz w:val="14"/>
                <w:szCs w:val="14"/>
                <w:color w:val="auto"/>
                <w:w w:val="92"/>
              </w:rPr>
              <w:t>Fair value hedge</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Refined products marketing:</w:t>
            </w:r>
          </w:p>
        </w:tc>
        <w:tc>
          <w:tcPr>
            <w:tcW w:w="9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149"/>
        </w:trPr>
        <w:tc>
          <w:tcPr>
            <w:tcW w:w="20" w:type="dxa"/>
            <w:vAlign w:val="bottom"/>
          </w:tcPr>
          <w:p>
            <w:pPr>
              <w:spacing w:after="0"/>
              <w:rPr>
                <w:sz w:val="12"/>
                <w:szCs w:val="12"/>
                <w:color w:val="auto"/>
              </w:rPr>
            </w:pPr>
          </w:p>
        </w:tc>
        <w:tc>
          <w:tcPr>
            <w:tcW w:w="7020" w:type="dxa"/>
            <w:vAlign w:val="bottom"/>
          </w:tcPr>
          <w:p>
            <w:pPr>
              <w:ind w:left="320"/>
              <w:spacing w:after="0" w:line="149" w:lineRule="exact"/>
              <w:rPr>
                <w:sz w:val="20"/>
                <w:szCs w:val="20"/>
                <w:color w:val="auto"/>
              </w:rPr>
            </w:pPr>
            <w:r>
              <w:rPr>
                <w:rFonts w:ascii="Arial" w:cs="Arial" w:eastAsia="Arial" w:hAnsi="Arial"/>
                <w:sz w:val="14"/>
                <w:szCs w:val="14"/>
                <w:color w:val="auto"/>
              </w:rPr>
              <w:t>Forecasted purchases of refined products (MMBbls)</w:t>
            </w:r>
          </w:p>
        </w:tc>
        <w:tc>
          <w:tcPr>
            <w:tcW w:w="960" w:type="dxa"/>
            <w:vAlign w:val="bottom"/>
          </w:tcPr>
          <w:p>
            <w:pPr>
              <w:jc w:val="center"/>
              <w:ind w:left="388"/>
              <w:spacing w:after="0" w:line="149" w:lineRule="exact"/>
              <w:rPr>
                <w:sz w:val="20"/>
                <w:szCs w:val="20"/>
                <w:color w:val="auto"/>
              </w:rPr>
            </w:pPr>
            <w:r>
              <w:rPr>
                <w:rFonts w:ascii="Arial" w:cs="Arial" w:eastAsia="Arial" w:hAnsi="Arial"/>
                <w:sz w:val="14"/>
                <w:szCs w:val="14"/>
                <w:color w:val="auto"/>
                <w:w w:val="92"/>
              </w:rPr>
              <w:t>0.2</w:t>
            </w:r>
          </w:p>
        </w:tc>
        <w:tc>
          <w:tcPr>
            <w:tcW w:w="1700" w:type="dxa"/>
            <w:vAlign w:val="bottom"/>
          </w:tcPr>
          <w:p>
            <w:pPr>
              <w:ind w:left="1120"/>
              <w:spacing w:after="0" w:line="149" w:lineRule="exact"/>
              <w:rPr>
                <w:sz w:val="20"/>
                <w:szCs w:val="20"/>
                <w:color w:val="auto"/>
              </w:rPr>
            </w:pPr>
            <w:r>
              <w:rPr>
                <w:rFonts w:ascii="Arial" w:cs="Arial" w:eastAsia="Arial" w:hAnsi="Arial"/>
                <w:sz w:val="14"/>
                <w:szCs w:val="14"/>
                <w:color w:val="auto"/>
              </w:rPr>
              <w:t>n/a</w:t>
            </w:r>
          </w:p>
        </w:tc>
        <w:tc>
          <w:tcPr>
            <w:tcW w:w="172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2"/>
              </w:rPr>
              <w:t>Cash flow hedge</w:t>
            </w:r>
          </w:p>
        </w:tc>
      </w:tr>
      <w:tr>
        <w:trPr>
          <w:trHeight w:val="149"/>
        </w:trPr>
        <w:tc>
          <w:tcPr>
            <w:tcW w:w="20" w:type="dxa"/>
            <w:vAlign w:val="bottom"/>
          </w:tcPr>
          <w:p>
            <w:pPr>
              <w:spacing w:after="0"/>
              <w:rPr>
                <w:sz w:val="12"/>
                <w:szCs w:val="12"/>
                <w:color w:val="auto"/>
              </w:rPr>
            </w:pPr>
          </w:p>
        </w:tc>
        <w:tc>
          <w:tcPr>
            <w:tcW w:w="70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Forecasted sales of refined products (MMBbls)</w:t>
            </w:r>
          </w:p>
        </w:tc>
        <w:tc>
          <w:tcPr>
            <w:tcW w:w="960" w:type="dxa"/>
            <w:vAlign w:val="bottom"/>
            <w:shd w:val="clear" w:color="auto" w:fill="CCEEFF"/>
          </w:tcPr>
          <w:p>
            <w:pPr>
              <w:jc w:val="center"/>
              <w:ind w:left="388"/>
              <w:spacing w:after="0" w:line="149" w:lineRule="exact"/>
              <w:rPr>
                <w:sz w:val="20"/>
                <w:szCs w:val="20"/>
                <w:color w:val="auto"/>
              </w:rPr>
            </w:pPr>
            <w:r>
              <w:rPr>
                <w:rFonts w:ascii="Arial" w:cs="Arial" w:eastAsia="Arial" w:hAnsi="Arial"/>
                <w:sz w:val="14"/>
                <w:szCs w:val="14"/>
                <w:color w:val="auto"/>
                <w:w w:val="92"/>
              </w:rPr>
              <w:t>0.2</w:t>
            </w:r>
          </w:p>
        </w:tc>
        <w:tc>
          <w:tcPr>
            <w:tcW w:w="1700" w:type="dxa"/>
            <w:vAlign w:val="bottom"/>
            <w:shd w:val="clear" w:color="auto" w:fill="CCEEFF"/>
          </w:tcPr>
          <w:p>
            <w:pPr>
              <w:ind w:left="1120"/>
              <w:spacing w:after="0" w:line="149" w:lineRule="exact"/>
              <w:rPr>
                <w:sz w:val="20"/>
                <w:szCs w:val="20"/>
                <w:color w:val="auto"/>
              </w:rPr>
            </w:pPr>
            <w:r>
              <w:rPr>
                <w:rFonts w:ascii="Arial" w:cs="Arial" w:eastAsia="Arial" w:hAnsi="Arial"/>
                <w:sz w:val="14"/>
                <w:szCs w:val="14"/>
                <w:color w:val="auto"/>
              </w:rPr>
              <w:t>n/a</w:t>
            </w:r>
          </w:p>
        </w:tc>
        <w:tc>
          <w:tcPr>
            <w:tcW w:w="1720" w:type="dxa"/>
            <w:vAlign w:val="bottom"/>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2"/>
              </w:rPr>
              <w:t>Cash flow hedge</w:t>
            </w: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4"/>
                <w:szCs w:val="14"/>
                <w:color w:val="auto"/>
              </w:rPr>
              <w:t>Crude oil marketing:</w:t>
            </w:r>
          </w:p>
        </w:tc>
        <w:tc>
          <w:tcPr>
            <w:tcW w:w="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49"/>
        </w:trPr>
        <w:tc>
          <w:tcPr>
            <w:tcW w:w="20" w:type="dxa"/>
            <w:vAlign w:val="bottom"/>
          </w:tcPr>
          <w:p>
            <w:pPr>
              <w:spacing w:after="0"/>
              <w:rPr>
                <w:sz w:val="12"/>
                <w:szCs w:val="12"/>
                <w:color w:val="auto"/>
              </w:rPr>
            </w:pPr>
          </w:p>
        </w:tc>
        <w:tc>
          <w:tcPr>
            <w:tcW w:w="70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Forecasted purchases of crude oil (MMBbls)</w:t>
            </w:r>
          </w:p>
        </w:tc>
        <w:tc>
          <w:tcPr>
            <w:tcW w:w="960" w:type="dxa"/>
            <w:vAlign w:val="bottom"/>
            <w:shd w:val="clear" w:color="auto" w:fill="CCEEFF"/>
          </w:tcPr>
          <w:p>
            <w:pPr>
              <w:jc w:val="center"/>
              <w:ind w:left="388"/>
              <w:spacing w:after="0" w:line="149" w:lineRule="exact"/>
              <w:rPr>
                <w:sz w:val="20"/>
                <w:szCs w:val="20"/>
                <w:color w:val="auto"/>
              </w:rPr>
            </w:pPr>
            <w:r>
              <w:rPr>
                <w:rFonts w:ascii="Arial" w:cs="Arial" w:eastAsia="Arial" w:hAnsi="Arial"/>
                <w:sz w:val="14"/>
                <w:szCs w:val="14"/>
                <w:color w:val="auto"/>
                <w:w w:val="95"/>
              </w:rPr>
              <w:t>15.3</w:t>
            </w:r>
          </w:p>
        </w:tc>
        <w:tc>
          <w:tcPr>
            <w:tcW w:w="1700" w:type="dxa"/>
            <w:vAlign w:val="bottom"/>
            <w:shd w:val="clear" w:color="auto" w:fill="CCEEFF"/>
          </w:tcPr>
          <w:p>
            <w:pPr>
              <w:ind w:left="1120"/>
              <w:spacing w:after="0" w:line="149" w:lineRule="exact"/>
              <w:rPr>
                <w:sz w:val="20"/>
                <w:szCs w:val="20"/>
                <w:color w:val="auto"/>
              </w:rPr>
            </w:pPr>
            <w:r>
              <w:rPr>
                <w:rFonts w:ascii="Arial" w:cs="Arial" w:eastAsia="Arial" w:hAnsi="Arial"/>
                <w:sz w:val="14"/>
                <w:szCs w:val="14"/>
                <w:color w:val="auto"/>
              </w:rPr>
              <w:t>n/a</w:t>
            </w:r>
          </w:p>
        </w:tc>
        <w:tc>
          <w:tcPr>
            <w:tcW w:w="1720" w:type="dxa"/>
            <w:vAlign w:val="bottom"/>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2"/>
              </w:rPr>
              <w:t>Cash flow hedge</w:t>
            </w:r>
          </w:p>
        </w:tc>
      </w:tr>
      <w:tr>
        <w:trPr>
          <w:trHeight w:val="149"/>
        </w:trPr>
        <w:tc>
          <w:tcPr>
            <w:tcW w:w="20" w:type="dxa"/>
            <w:vAlign w:val="bottom"/>
          </w:tcPr>
          <w:p>
            <w:pPr>
              <w:spacing w:after="0"/>
              <w:rPr>
                <w:sz w:val="12"/>
                <w:szCs w:val="12"/>
                <w:color w:val="auto"/>
              </w:rPr>
            </w:pPr>
          </w:p>
        </w:tc>
        <w:tc>
          <w:tcPr>
            <w:tcW w:w="7020" w:type="dxa"/>
            <w:vAlign w:val="bottom"/>
          </w:tcPr>
          <w:p>
            <w:pPr>
              <w:ind w:left="320"/>
              <w:spacing w:after="0" w:line="149" w:lineRule="exact"/>
              <w:rPr>
                <w:sz w:val="20"/>
                <w:szCs w:val="20"/>
                <w:color w:val="auto"/>
              </w:rPr>
            </w:pPr>
            <w:r>
              <w:rPr>
                <w:rFonts w:ascii="Arial" w:cs="Arial" w:eastAsia="Arial" w:hAnsi="Arial"/>
                <w:sz w:val="14"/>
                <w:szCs w:val="14"/>
                <w:color w:val="auto"/>
              </w:rPr>
              <w:t>Forecasted sales of crude oil (MMBbls)</w:t>
            </w:r>
          </w:p>
        </w:tc>
        <w:tc>
          <w:tcPr>
            <w:tcW w:w="960" w:type="dxa"/>
            <w:vAlign w:val="bottom"/>
          </w:tcPr>
          <w:p>
            <w:pPr>
              <w:jc w:val="center"/>
              <w:ind w:left="388"/>
              <w:spacing w:after="0" w:line="149" w:lineRule="exact"/>
              <w:rPr>
                <w:sz w:val="20"/>
                <w:szCs w:val="20"/>
                <w:color w:val="auto"/>
              </w:rPr>
            </w:pPr>
            <w:r>
              <w:rPr>
                <w:rFonts w:ascii="Arial" w:cs="Arial" w:eastAsia="Arial" w:hAnsi="Arial"/>
                <w:sz w:val="14"/>
                <w:szCs w:val="14"/>
                <w:color w:val="auto"/>
                <w:w w:val="95"/>
              </w:rPr>
              <w:t>19.9</w:t>
            </w:r>
          </w:p>
        </w:tc>
        <w:tc>
          <w:tcPr>
            <w:tcW w:w="1700" w:type="dxa"/>
            <w:vAlign w:val="bottom"/>
          </w:tcPr>
          <w:p>
            <w:pPr>
              <w:ind w:left="1120"/>
              <w:spacing w:after="0" w:line="149" w:lineRule="exact"/>
              <w:rPr>
                <w:sz w:val="20"/>
                <w:szCs w:val="20"/>
                <w:color w:val="auto"/>
              </w:rPr>
            </w:pPr>
            <w:r>
              <w:rPr>
                <w:rFonts w:ascii="Arial" w:cs="Arial" w:eastAsia="Arial" w:hAnsi="Arial"/>
                <w:sz w:val="14"/>
                <w:szCs w:val="14"/>
                <w:color w:val="auto"/>
              </w:rPr>
              <w:t>n/a</w:t>
            </w:r>
          </w:p>
        </w:tc>
        <w:tc>
          <w:tcPr>
            <w:tcW w:w="172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2"/>
              </w:rPr>
              <w:t>Cash flow hedge</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Propylene marketing:</w:t>
            </w:r>
          </w:p>
        </w:tc>
        <w:tc>
          <w:tcPr>
            <w:tcW w:w="9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4"/>
                <w:szCs w:val="14"/>
                <w:color w:val="auto"/>
              </w:rPr>
              <w:t>Forecasted sales of NGLs for propylene marketing activities (MMBbls)</w:t>
            </w:r>
          </w:p>
        </w:tc>
        <w:tc>
          <w:tcPr>
            <w:tcW w:w="960" w:type="dxa"/>
            <w:vAlign w:val="bottom"/>
          </w:tcPr>
          <w:p>
            <w:pPr>
              <w:jc w:val="center"/>
              <w:ind w:left="388"/>
              <w:spacing w:after="0"/>
              <w:rPr>
                <w:sz w:val="20"/>
                <w:szCs w:val="20"/>
                <w:color w:val="auto"/>
              </w:rPr>
            </w:pPr>
            <w:r>
              <w:rPr>
                <w:rFonts w:ascii="Arial" w:cs="Arial" w:eastAsia="Arial" w:hAnsi="Arial"/>
                <w:sz w:val="14"/>
                <w:szCs w:val="14"/>
                <w:color w:val="auto"/>
                <w:w w:val="92"/>
              </w:rPr>
              <w:t>0.5</w:t>
            </w:r>
          </w:p>
        </w:tc>
        <w:tc>
          <w:tcPr>
            <w:tcW w:w="1700" w:type="dxa"/>
            <w:vAlign w:val="bottom"/>
          </w:tcPr>
          <w:p>
            <w:pPr>
              <w:ind w:left="1120"/>
              <w:spacing w:after="0"/>
              <w:rPr>
                <w:sz w:val="20"/>
                <w:szCs w:val="20"/>
                <w:color w:val="auto"/>
              </w:rPr>
            </w:pPr>
            <w:r>
              <w:rPr>
                <w:rFonts w:ascii="Arial" w:cs="Arial" w:eastAsia="Arial" w:hAnsi="Arial"/>
                <w:sz w:val="14"/>
                <w:szCs w:val="14"/>
                <w:color w:val="auto"/>
              </w:rPr>
              <w:t>n/a</w:t>
            </w:r>
          </w:p>
        </w:tc>
        <w:tc>
          <w:tcPr>
            <w:tcW w:w="1720" w:type="dxa"/>
            <w:vAlign w:val="bottom"/>
          </w:tcPr>
          <w:p>
            <w:pPr>
              <w:jc w:val="center"/>
              <w:ind w:left="48"/>
              <w:spacing w:after="0"/>
              <w:rPr>
                <w:sz w:val="20"/>
                <w:szCs w:val="20"/>
                <w:color w:val="auto"/>
              </w:rPr>
            </w:pPr>
            <w:r>
              <w:rPr>
                <w:rFonts w:ascii="Arial" w:cs="Arial" w:eastAsia="Arial" w:hAnsi="Arial"/>
                <w:sz w:val="14"/>
                <w:szCs w:val="14"/>
                <w:color w:val="auto"/>
                <w:w w:val="92"/>
              </w:rPr>
              <w:t>Cash flow hedge</w:t>
            </w:r>
          </w:p>
        </w:tc>
      </w:tr>
      <w:tr>
        <w:trPr>
          <w:trHeight w:val="223"/>
        </w:trPr>
        <w:tc>
          <w:tcPr>
            <w:tcW w:w="20" w:type="dxa"/>
            <w:vAlign w:val="bottom"/>
          </w:tcPr>
          <w:p>
            <w:pPr>
              <w:spacing w:after="0"/>
              <w:rPr>
                <w:sz w:val="19"/>
                <w:szCs w:val="19"/>
                <w:color w:val="auto"/>
              </w:rPr>
            </w:pPr>
          </w:p>
        </w:tc>
        <w:tc>
          <w:tcPr>
            <w:tcW w:w="7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96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r>
      <w:tr>
        <w:trPr>
          <w:trHeight w:val="136"/>
        </w:trPr>
        <w:tc>
          <w:tcPr>
            <w:tcW w:w="20" w:type="dxa"/>
            <w:vAlign w:val="bottom"/>
          </w:tcPr>
          <w:p>
            <w:pPr>
              <w:spacing w:after="0"/>
              <w:rPr>
                <w:sz w:val="11"/>
                <w:szCs w:val="11"/>
                <w:color w:val="auto"/>
              </w:rPr>
            </w:pPr>
          </w:p>
        </w:tc>
        <w:tc>
          <w:tcPr>
            <w:tcW w:w="7020" w:type="dxa"/>
            <w:vAlign w:val="bottom"/>
          </w:tcPr>
          <w:p>
            <w:pPr>
              <w:ind w:left="160"/>
              <w:spacing w:after="0" w:line="136" w:lineRule="exact"/>
              <w:rPr>
                <w:sz w:val="20"/>
                <w:szCs w:val="20"/>
                <w:color w:val="auto"/>
              </w:rPr>
            </w:pPr>
            <w:r>
              <w:rPr>
                <w:rFonts w:ascii="Arial" w:cs="Arial" w:eastAsia="Arial" w:hAnsi="Arial"/>
                <w:sz w:val="14"/>
                <w:szCs w:val="14"/>
                <w:color w:val="auto"/>
              </w:rPr>
              <w:t>Natural gas risk management activities (Bcf) (3)</w:t>
            </w:r>
          </w:p>
        </w:tc>
        <w:tc>
          <w:tcPr>
            <w:tcW w:w="960" w:type="dxa"/>
            <w:vAlign w:val="bottom"/>
          </w:tcPr>
          <w:p>
            <w:pPr>
              <w:jc w:val="center"/>
              <w:ind w:left="388"/>
              <w:spacing w:after="0" w:line="136" w:lineRule="exact"/>
              <w:rPr>
                <w:sz w:val="20"/>
                <w:szCs w:val="20"/>
                <w:color w:val="auto"/>
              </w:rPr>
            </w:pPr>
            <w:r>
              <w:rPr>
                <w:rFonts w:ascii="Arial" w:cs="Arial" w:eastAsia="Arial" w:hAnsi="Arial"/>
                <w:sz w:val="14"/>
                <w:szCs w:val="14"/>
                <w:color w:val="auto"/>
                <w:w w:val="95"/>
              </w:rPr>
              <w:t>52.3</w:t>
            </w:r>
          </w:p>
        </w:tc>
        <w:tc>
          <w:tcPr>
            <w:tcW w:w="1700" w:type="dxa"/>
            <w:vAlign w:val="bottom"/>
          </w:tcPr>
          <w:p>
            <w:pPr>
              <w:jc w:val="center"/>
              <w:ind w:left="608"/>
              <w:spacing w:after="0" w:line="136" w:lineRule="exact"/>
              <w:rPr>
                <w:sz w:val="20"/>
                <w:szCs w:val="20"/>
                <w:color w:val="auto"/>
              </w:rPr>
            </w:pPr>
            <w:r>
              <w:rPr>
                <w:rFonts w:ascii="Arial" w:cs="Arial" w:eastAsia="Arial" w:hAnsi="Arial"/>
                <w:sz w:val="14"/>
                <w:szCs w:val="14"/>
                <w:color w:val="auto"/>
                <w:w w:val="92"/>
              </w:rPr>
              <w:t>0.2</w:t>
            </w:r>
          </w:p>
        </w:tc>
        <w:tc>
          <w:tcPr>
            <w:tcW w:w="1720" w:type="dxa"/>
            <w:vAlign w:val="bottom"/>
          </w:tcPr>
          <w:p>
            <w:pPr>
              <w:jc w:val="center"/>
              <w:ind w:left="48"/>
              <w:spacing w:after="0" w:line="136" w:lineRule="exact"/>
              <w:rPr>
                <w:sz w:val="20"/>
                <w:szCs w:val="20"/>
                <w:color w:val="auto"/>
              </w:rPr>
            </w:pPr>
            <w:r>
              <w:rPr>
                <w:rFonts w:ascii="Arial" w:cs="Arial" w:eastAsia="Arial" w:hAnsi="Arial"/>
                <w:sz w:val="14"/>
                <w:szCs w:val="14"/>
                <w:color w:val="auto"/>
                <w:w w:val="96"/>
              </w:rPr>
              <w:t>Mark-to-market</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NGL risk management activities (MMBbls) (3)</w:t>
            </w:r>
          </w:p>
        </w:tc>
        <w:tc>
          <w:tcPr>
            <w:tcW w:w="960" w:type="dxa"/>
            <w:vAlign w:val="bottom"/>
            <w:shd w:val="clear" w:color="auto" w:fill="CCEEFF"/>
          </w:tcPr>
          <w:p>
            <w:pPr>
              <w:jc w:val="center"/>
              <w:ind w:left="388"/>
              <w:spacing w:after="0"/>
              <w:rPr>
                <w:sz w:val="20"/>
                <w:szCs w:val="20"/>
                <w:color w:val="auto"/>
              </w:rPr>
            </w:pPr>
            <w:r>
              <w:rPr>
                <w:rFonts w:ascii="Arial" w:cs="Arial" w:eastAsia="Arial" w:hAnsi="Arial"/>
                <w:sz w:val="14"/>
                <w:szCs w:val="14"/>
                <w:color w:val="auto"/>
                <w:w w:val="92"/>
              </w:rPr>
              <w:t>6.5</w:t>
            </w:r>
          </w:p>
        </w:tc>
        <w:tc>
          <w:tcPr>
            <w:tcW w:w="170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n/a</w:t>
            </w:r>
          </w:p>
        </w:tc>
        <w:tc>
          <w:tcPr>
            <w:tcW w:w="172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6"/>
              </w:rPr>
              <w:t>Mark-to-market</w:t>
            </w: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4"/>
                <w:szCs w:val="14"/>
                <w:color w:val="auto"/>
              </w:rPr>
              <w:t>Refined products risk management activities (MMBbls) (3)</w:t>
            </w:r>
          </w:p>
        </w:tc>
        <w:tc>
          <w:tcPr>
            <w:tcW w:w="960" w:type="dxa"/>
            <w:vAlign w:val="bottom"/>
          </w:tcPr>
          <w:p>
            <w:pPr>
              <w:jc w:val="center"/>
              <w:ind w:left="388"/>
              <w:spacing w:after="0"/>
              <w:rPr>
                <w:sz w:val="20"/>
                <w:szCs w:val="20"/>
                <w:color w:val="auto"/>
              </w:rPr>
            </w:pPr>
            <w:r>
              <w:rPr>
                <w:rFonts w:ascii="Arial" w:cs="Arial" w:eastAsia="Arial" w:hAnsi="Arial"/>
                <w:sz w:val="14"/>
                <w:szCs w:val="14"/>
                <w:color w:val="auto"/>
                <w:w w:val="92"/>
              </w:rPr>
              <w:t>9.4</w:t>
            </w:r>
          </w:p>
        </w:tc>
        <w:tc>
          <w:tcPr>
            <w:tcW w:w="1700" w:type="dxa"/>
            <w:vAlign w:val="bottom"/>
          </w:tcPr>
          <w:p>
            <w:pPr>
              <w:ind w:left="1120"/>
              <w:spacing w:after="0"/>
              <w:rPr>
                <w:sz w:val="20"/>
                <w:szCs w:val="20"/>
                <w:color w:val="auto"/>
              </w:rPr>
            </w:pPr>
            <w:r>
              <w:rPr>
                <w:rFonts w:ascii="Arial" w:cs="Arial" w:eastAsia="Arial" w:hAnsi="Arial"/>
                <w:sz w:val="14"/>
                <w:szCs w:val="14"/>
                <w:color w:val="auto"/>
              </w:rPr>
              <w:t>n/a</w:t>
            </w:r>
          </w:p>
        </w:tc>
        <w:tc>
          <w:tcPr>
            <w:tcW w:w="1720" w:type="dxa"/>
            <w:vAlign w:val="bottom"/>
          </w:tcPr>
          <w:p>
            <w:pPr>
              <w:jc w:val="center"/>
              <w:ind w:left="48"/>
              <w:spacing w:after="0"/>
              <w:rPr>
                <w:sz w:val="20"/>
                <w:szCs w:val="20"/>
                <w:color w:val="auto"/>
              </w:rPr>
            </w:pPr>
            <w:r>
              <w:rPr>
                <w:rFonts w:ascii="Arial" w:cs="Arial" w:eastAsia="Arial" w:hAnsi="Arial"/>
                <w:sz w:val="14"/>
                <w:szCs w:val="14"/>
                <w:color w:val="auto"/>
                <w:w w:val="96"/>
              </w:rPr>
              <w:t>Mark-to-market</w:t>
            </w:r>
          </w:p>
        </w:tc>
      </w:tr>
      <w:tr>
        <w:trPr>
          <w:trHeight w:val="149"/>
        </w:trPr>
        <w:tc>
          <w:tcPr>
            <w:tcW w:w="20" w:type="dxa"/>
            <w:vAlign w:val="bottom"/>
          </w:tcPr>
          <w:p>
            <w:pPr>
              <w:spacing w:after="0"/>
              <w:rPr>
                <w:sz w:val="12"/>
                <w:szCs w:val="12"/>
                <w:color w:val="auto"/>
              </w:rPr>
            </w:pPr>
          </w:p>
        </w:tc>
        <w:tc>
          <w:tcPr>
            <w:tcW w:w="70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Crude oil risk management activities (MMBbls) (3)</w:t>
            </w:r>
          </w:p>
        </w:tc>
        <w:tc>
          <w:tcPr>
            <w:tcW w:w="960" w:type="dxa"/>
            <w:vAlign w:val="bottom"/>
            <w:shd w:val="clear" w:color="auto" w:fill="CCEEFF"/>
          </w:tcPr>
          <w:p>
            <w:pPr>
              <w:jc w:val="center"/>
              <w:ind w:left="388"/>
              <w:spacing w:after="0" w:line="149" w:lineRule="exact"/>
              <w:rPr>
                <w:sz w:val="20"/>
                <w:szCs w:val="20"/>
                <w:color w:val="auto"/>
              </w:rPr>
            </w:pPr>
            <w:r>
              <w:rPr>
                <w:rFonts w:ascii="Arial" w:cs="Arial" w:eastAsia="Arial" w:hAnsi="Arial"/>
                <w:sz w:val="14"/>
                <w:szCs w:val="14"/>
                <w:color w:val="auto"/>
                <w:w w:val="95"/>
              </w:rPr>
              <w:t>27.3</w:t>
            </w:r>
          </w:p>
        </w:tc>
        <w:tc>
          <w:tcPr>
            <w:tcW w:w="1700" w:type="dxa"/>
            <w:vAlign w:val="bottom"/>
            <w:shd w:val="clear" w:color="auto" w:fill="CCEEFF"/>
          </w:tcPr>
          <w:p>
            <w:pPr>
              <w:jc w:val="center"/>
              <w:ind w:left="628"/>
              <w:spacing w:after="0" w:line="149" w:lineRule="exact"/>
              <w:rPr>
                <w:sz w:val="20"/>
                <w:szCs w:val="20"/>
                <w:color w:val="auto"/>
              </w:rPr>
            </w:pPr>
            <w:r>
              <w:rPr>
                <w:rFonts w:ascii="Arial" w:cs="Arial" w:eastAsia="Arial" w:hAnsi="Arial"/>
                <w:sz w:val="14"/>
                <w:szCs w:val="14"/>
                <w:color w:val="auto"/>
                <w:w w:val="87"/>
              </w:rPr>
              <w:t>11.0</w:t>
            </w:r>
          </w:p>
        </w:tc>
        <w:tc>
          <w:tcPr>
            <w:tcW w:w="1720" w:type="dxa"/>
            <w:vAlign w:val="bottom"/>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6"/>
              </w:rPr>
              <w:t>Mark-to-market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4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420" w:right="20" w:hanging="412"/>
        <w:spacing w:after="0" w:line="230" w:lineRule="auto"/>
        <w:tabs>
          <w:tab w:leader="none" w:pos="4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Volume for derivatives designated as hedging instruments reflects the total amount of volumes hedged whereas volume for derivatives not designated as hedging instruments reflects the absolute value of derivative notional volumes.</w:t>
      </w:r>
    </w:p>
    <w:p>
      <w:pPr>
        <w:ind w:left="420" w:hanging="412"/>
        <w:spacing w:after="0" w:line="221" w:lineRule="auto"/>
        <w:tabs>
          <w:tab w:leader="none" w:pos="4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The maximum term for derivatives designated as cash flow hedges, derivatives designated as fair value hedges and derivatives not designated as hedging instruments is January 2021, April 2020 and December 2022, respectively.</w:t>
      </w:r>
    </w:p>
    <w:p>
      <w:pPr>
        <w:ind w:left="420" w:hanging="412"/>
        <w:spacing w:after="0"/>
        <w:tabs>
          <w:tab w:leader="none" w:pos="4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Reflects the use of derivative instruments to manage risks associated with transportation, processing and storage assets.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 of our inventories subject to fair value hedges was $31.7 million and $50.2 million at December 31, 2019 and 2018, respectively.</w:t>
      </w:r>
    </w:p>
    <w:p>
      <w:pPr>
        <w:spacing w:after="0" w:line="2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basis swaps, basis spread options and other derivative instruments not designated as hedging instruments are used to manage market risks associated with anticipated purchases and sales of commodity products. There is some uncertainty involved in the timing of these transactions often due to the development of more favorable profit opportunities or when spreads are insufficient to cover variable costs thus reducing the likelihood that the transactions will occur during the periods originally forecasted. In accordance with derivatives accounting guidance, these instruments do not qualify for hedge accounting even though they are effective at managing the risk exposures of the underlying assets. Due to volatility in commodity prices, any non-cash, mark-to-market earnings variability cannot be predicted.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4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6" w:name="page207"/>
    <w:bookmarkEnd w:id="20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Tabular Presentation of Fair Value Amounts, and Gains and Losses 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Derivative Instruments and Related Hedged Items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balance sheet overview of our derivative assets and liabilities at the dates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Asset Derivatives</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Liability Derivatives</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184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Pr>
          <w:p>
            <w:pPr>
              <w:spacing w:after="0"/>
              <w:rPr>
                <w:sz w:val="17"/>
                <w:szCs w:val="17"/>
                <w:color w:val="auto"/>
              </w:rPr>
            </w:pPr>
          </w:p>
        </w:tc>
        <w:tc>
          <w:tcPr>
            <w:tcW w:w="19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7"/>
                <w:szCs w:val="17"/>
                <w:color w:val="auto"/>
              </w:rPr>
            </w:pPr>
          </w:p>
        </w:tc>
        <w:tc>
          <w:tcPr>
            <w:tcW w:w="192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7"/>
                <w:szCs w:val="17"/>
                <w:color w:val="auto"/>
              </w:rPr>
            </w:pPr>
          </w:p>
        </w:tc>
        <w:tc>
          <w:tcPr>
            <w:tcW w:w="202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26"/>
        </w:trPr>
        <w:tc>
          <w:tcPr>
            <w:tcW w:w="3420" w:type="dxa"/>
            <w:vAlign w:val="bottom"/>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3"/>
              </w:rPr>
              <w:t>Balance</w:t>
            </w:r>
          </w:p>
        </w:tc>
        <w:tc>
          <w:tcPr>
            <w:tcW w:w="140" w:type="dxa"/>
            <w:vAlign w:val="bottom"/>
          </w:tcPr>
          <w:p>
            <w:pPr>
              <w:spacing w:after="0"/>
              <w:rPr>
                <w:sz w:val="10"/>
                <w:szCs w:val="10"/>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1220" w:type="dxa"/>
            <w:vAlign w:val="bottom"/>
            <w:gridSpan w:val="2"/>
          </w:tcPr>
          <w:p>
            <w:pPr>
              <w:jc w:val="center"/>
              <w:ind w:right="160"/>
              <w:spacing w:after="0" w:line="126" w:lineRule="exact"/>
              <w:rPr>
                <w:sz w:val="20"/>
                <w:szCs w:val="20"/>
                <w:color w:val="auto"/>
              </w:rPr>
            </w:pPr>
            <w:r>
              <w:rPr>
                <w:rFonts w:ascii="Arial" w:cs="Arial" w:eastAsia="Arial" w:hAnsi="Arial"/>
                <w:sz w:val="14"/>
                <w:szCs w:val="14"/>
                <w:b w:val="1"/>
                <w:bCs w:val="1"/>
                <w:color w:val="auto"/>
                <w:w w:val="93"/>
              </w:rPr>
              <w:t>Balance</w:t>
            </w: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10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0"/>
                <w:szCs w:val="10"/>
                <w:color w:val="auto"/>
              </w:rPr>
            </w:pP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11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0"/>
                <w:szCs w:val="10"/>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Sheet</w:t>
            </w: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Sheet</w:t>
            </w:r>
          </w:p>
        </w:tc>
        <w:tc>
          <w:tcPr>
            <w:tcW w:w="82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Sheet</w:t>
            </w: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Sheet</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12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2"/>
              </w:rPr>
              <w:t>Location</w:t>
            </w:r>
          </w:p>
        </w:tc>
        <w:tc>
          <w:tcPr>
            <w:tcW w:w="8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0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3420" w:type="dxa"/>
            <w:vAlign w:val="bottom"/>
            <w:shd w:val="clear" w:color="auto" w:fill="CCEEFF"/>
          </w:tcPr>
          <w:p>
            <w:pPr>
              <w:spacing w:after="0"/>
              <w:rPr>
                <w:sz w:val="10"/>
                <w:szCs w:val="10"/>
                <w:color w:val="auto"/>
              </w:rPr>
            </w:pPr>
          </w:p>
        </w:tc>
        <w:tc>
          <w:tcPr>
            <w:tcW w:w="10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jc w:val="center"/>
              <w:spacing w:after="0" w:line="116" w:lineRule="exact"/>
              <w:rPr>
                <w:sz w:val="20"/>
                <w:szCs w:val="20"/>
                <w:color w:val="auto"/>
              </w:rPr>
            </w:pPr>
            <w:r>
              <w:rPr>
                <w:rFonts w:ascii="Arial" w:cs="Arial" w:eastAsia="Arial" w:hAnsi="Arial"/>
                <w:sz w:val="13"/>
                <w:szCs w:val="13"/>
                <w:color w:val="auto"/>
              </w:rPr>
              <w:t>Current</w:t>
            </w: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tcBorders>
              <w:right w:val="single" w:sz="8" w:color="CCEEFF"/>
            </w:tcBorders>
            <w:shd w:val="clear" w:color="auto" w:fill="CCEEFF"/>
          </w:tcPr>
          <w:p>
            <w:pPr>
              <w:jc w:val="center"/>
              <w:spacing w:after="0" w:line="116" w:lineRule="exact"/>
              <w:rPr>
                <w:sz w:val="20"/>
                <w:szCs w:val="20"/>
                <w:color w:val="auto"/>
              </w:rPr>
            </w:pPr>
            <w:r>
              <w:rPr>
                <w:rFonts w:ascii="Arial" w:cs="Arial" w:eastAsia="Arial" w:hAnsi="Arial"/>
                <w:sz w:val="13"/>
                <w:szCs w:val="13"/>
                <w:color w:val="auto"/>
              </w:rPr>
              <w:t>Current</w:t>
            </w: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Interest rate derivatives</w:t>
            </w:r>
          </w:p>
        </w:tc>
        <w:tc>
          <w:tcPr>
            <w:tcW w:w="10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Current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Current assets  $</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liabilities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4"/>
                <w:szCs w:val="14"/>
                <w:color w:val="auto"/>
              </w:rPr>
              <w:t>Interest rate derivatives</w:t>
            </w:r>
          </w:p>
        </w:tc>
        <w:tc>
          <w:tcPr>
            <w:tcW w:w="1060" w:type="dxa"/>
            <w:vAlign w:val="bottom"/>
          </w:tcPr>
          <w:p>
            <w:pPr>
              <w:jc w:val="center"/>
              <w:spacing w:after="0"/>
              <w:rPr>
                <w:sz w:val="20"/>
                <w:szCs w:val="20"/>
                <w:color w:val="auto"/>
              </w:rPr>
            </w:pPr>
            <w:r>
              <w:rPr>
                <w:rFonts w:ascii="Arial" w:cs="Arial" w:eastAsia="Arial" w:hAnsi="Arial"/>
                <w:sz w:val="14"/>
                <w:szCs w:val="14"/>
                <w:color w:val="auto"/>
                <w:w w:val="88"/>
              </w:rPr>
              <w:t>Other assets</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color w:val="auto"/>
                <w:w w:val="88"/>
              </w:rPr>
              <w:t>Other assets</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7"/>
              </w:rPr>
              <w:t>Other liabilities</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6.8</w:t>
            </w: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Other liabilities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10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Total interest rate derivatives</w:t>
            </w:r>
          </w:p>
        </w:tc>
        <w:tc>
          <w:tcPr>
            <w:tcW w:w="10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w:t>
            </w:r>
          </w:p>
        </w:tc>
        <w:tc>
          <w:tcPr>
            <w:tcW w:w="1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Arial" w:cs="Arial" w:eastAsia="Arial" w:hAnsi="Arial"/>
                <w:sz w:val="14"/>
                <w:szCs w:val="14"/>
                <w:color w:val="auto"/>
                <w:w w:val="94"/>
              </w:rPr>
              <w:t>Current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spacing w:after="0" w:line="130" w:lineRule="exact"/>
              <w:rPr>
                <w:sz w:val="20"/>
                <w:szCs w:val="20"/>
                <w:color w:val="auto"/>
              </w:rPr>
            </w:pPr>
            <w:r>
              <w:rPr>
                <w:rFonts w:ascii="Arial" w:cs="Arial" w:eastAsia="Arial" w:hAnsi="Arial"/>
                <w:sz w:val="14"/>
                <w:szCs w:val="14"/>
                <w:color w:val="auto"/>
                <w:w w:val="94"/>
              </w:rPr>
              <w:t>Current</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20" w:type="dxa"/>
            <w:vAlign w:val="bottom"/>
          </w:tcPr>
          <w:p>
            <w:pPr>
              <w:spacing w:after="0"/>
              <w:rPr>
                <w:sz w:val="20"/>
                <w:szCs w:val="20"/>
                <w:color w:val="auto"/>
              </w:rPr>
            </w:pPr>
            <w:r>
              <w:rPr>
                <w:rFonts w:ascii="Arial" w:cs="Arial" w:eastAsia="Arial" w:hAnsi="Arial"/>
                <w:sz w:val="14"/>
                <w:szCs w:val="14"/>
                <w:color w:val="auto"/>
              </w:rPr>
              <w:t>Commodity derivatives</w:t>
            </w:r>
          </w:p>
        </w:tc>
        <w:tc>
          <w:tcPr>
            <w:tcW w:w="1060" w:type="dxa"/>
            <w:vAlign w:val="bottom"/>
          </w:tcPr>
          <w:p>
            <w:pPr>
              <w:jc w:val="center"/>
              <w:spacing w:after="0"/>
              <w:rPr>
                <w:sz w:val="20"/>
                <w:szCs w:val="20"/>
                <w:color w:val="auto"/>
              </w:rPr>
            </w:pPr>
            <w:r>
              <w:rPr>
                <w:rFonts w:ascii="Arial" w:cs="Arial" w:eastAsia="Arial" w:hAnsi="Arial"/>
                <w:sz w:val="14"/>
                <w:szCs w:val="14"/>
                <w:color w:val="auto"/>
                <w:w w:val="90"/>
              </w:rPr>
              <w:t>Current assets</w:t>
            </w:r>
          </w:p>
        </w:tc>
        <w:tc>
          <w:tcPr>
            <w:tcW w:w="1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116.5</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Current assets</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138.5</w:t>
            </w: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liabilities</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107.1</w:t>
            </w:r>
          </w:p>
        </w:tc>
        <w:tc>
          <w:tcPr>
            <w:tcW w:w="1100" w:type="dxa"/>
            <w:vAlign w:val="bottom"/>
          </w:tcPr>
          <w:p>
            <w:pPr>
              <w:jc w:val="center"/>
              <w:spacing w:after="0"/>
              <w:rPr>
                <w:sz w:val="20"/>
                <w:szCs w:val="20"/>
                <w:color w:val="auto"/>
              </w:rPr>
            </w:pPr>
            <w:r>
              <w:rPr>
                <w:rFonts w:ascii="Arial" w:cs="Arial" w:eastAsia="Arial" w:hAnsi="Arial"/>
                <w:sz w:val="14"/>
                <w:szCs w:val="14"/>
                <w:color w:val="auto"/>
              </w:rPr>
              <w:t>liabilities</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115.0</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Commodity derivatives</w:t>
            </w:r>
          </w:p>
        </w:tc>
        <w:tc>
          <w:tcPr>
            <w:tcW w:w="106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assets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Other assets</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Other liabilities</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Other liabilities</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10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4"/>
                <w:szCs w:val="14"/>
                <w:color w:val="auto"/>
              </w:rPr>
              <w:t>Total commodity derivatives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116.5</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144.1</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107.1</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126.1</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10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4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w w:val="97"/>
              </w:rPr>
              <w:t>Total derivatives designated as hedging instruments</w:t>
            </w:r>
          </w:p>
        </w:tc>
        <w:tc>
          <w:tcPr>
            <w:tcW w:w="10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116.5</w:t>
            </w:r>
          </w:p>
        </w:tc>
        <w:tc>
          <w:tcPr>
            <w:tcW w:w="122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144.1</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120.6</w:t>
            </w:r>
          </w:p>
        </w:tc>
        <w:tc>
          <w:tcPr>
            <w:tcW w:w="1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126.1</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9"/>
              </w:rPr>
              <w:t>Derivatives not designated as hedging instruments</w:t>
            </w:r>
          </w:p>
        </w:tc>
        <w:tc>
          <w:tcPr>
            <w:tcW w:w="106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34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jc w:val="center"/>
              <w:spacing w:after="0" w:line="104" w:lineRule="exact"/>
              <w:rPr>
                <w:sz w:val="20"/>
                <w:szCs w:val="20"/>
                <w:color w:val="auto"/>
              </w:rPr>
            </w:pPr>
            <w:r>
              <w:rPr>
                <w:rFonts w:ascii="Arial" w:cs="Arial" w:eastAsia="Arial" w:hAnsi="Arial"/>
                <w:sz w:val="11"/>
                <w:szCs w:val="11"/>
                <w:color w:val="auto"/>
              </w:rPr>
              <w:t>Current</w:t>
            </w: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jc w:val="center"/>
              <w:spacing w:after="0" w:line="104" w:lineRule="exact"/>
              <w:rPr>
                <w:sz w:val="20"/>
                <w:szCs w:val="20"/>
                <w:color w:val="auto"/>
              </w:rPr>
            </w:pPr>
            <w:r>
              <w:rPr>
                <w:rFonts w:ascii="Arial" w:cs="Arial" w:eastAsia="Arial" w:hAnsi="Arial"/>
                <w:sz w:val="11"/>
                <w:szCs w:val="11"/>
                <w:color w:val="auto"/>
              </w:rPr>
              <w:t>Current</w:t>
            </w: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420" w:type="dxa"/>
            <w:vAlign w:val="bottom"/>
          </w:tcPr>
          <w:p>
            <w:pPr>
              <w:spacing w:after="0"/>
              <w:rPr>
                <w:sz w:val="20"/>
                <w:szCs w:val="20"/>
                <w:color w:val="auto"/>
              </w:rPr>
            </w:pPr>
            <w:r>
              <w:rPr>
                <w:rFonts w:ascii="Arial" w:cs="Arial" w:eastAsia="Arial" w:hAnsi="Arial"/>
                <w:sz w:val="14"/>
                <w:szCs w:val="14"/>
                <w:color w:val="auto"/>
              </w:rPr>
              <w:t>Commodity derivatives</w:t>
            </w:r>
          </w:p>
        </w:tc>
        <w:tc>
          <w:tcPr>
            <w:tcW w:w="1060" w:type="dxa"/>
            <w:vAlign w:val="bottom"/>
          </w:tcPr>
          <w:p>
            <w:pPr>
              <w:jc w:val="center"/>
              <w:spacing w:after="0"/>
              <w:rPr>
                <w:sz w:val="20"/>
                <w:szCs w:val="20"/>
                <w:color w:val="auto"/>
              </w:rPr>
            </w:pPr>
            <w:r>
              <w:rPr>
                <w:rFonts w:ascii="Arial" w:cs="Arial" w:eastAsia="Arial" w:hAnsi="Arial"/>
                <w:sz w:val="14"/>
                <w:szCs w:val="14"/>
                <w:color w:val="auto"/>
                <w:w w:val="90"/>
              </w:rPr>
              <w:t>Current assets</w:t>
            </w:r>
          </w:p>
        </w:tc>
        <w:tc>
          <w:tcPr>
            <w:tcW w:w="1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10.7</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Current assets</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15.9</w:t>
            </w: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liabilities</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8.6</w:t>
            </w:r>
          </w:p>
        </w:tc>
        <w:tc>
          <w:tcPr>
            <w:tcW w:w="1100" w:type="dxa"/>
            <w:vAlign w:val="bottom"/>
          </w:tcPr>
          <w:p>
            <w:pPr>
              <w:jc w:val="center"/>
              <w:spacing w:after="0"/>
              <w:rPr>
                <w:sz w:val="20"/>
                <w:szCs w:val="20"/>
                <w:color w:val="auto"/>
              </w:rPr>
            </w:pPr>
            <w:r>
              <w:rPr>
                <w:rFonts w:ascii="Arial" w:cs="Arial" w:eastAsia="Arial" w:hAnsi="Arial"/>
                <w:sz w:val="14"/>
                <w:szCs w:val="14"/>
                <w:color w:val="auto"/>
              </w:rPr>
              <w:t>liabilities</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Commodity derivatives</w:t>
            </w:r>
          </w:p>
        </w:tc>
        <w:tc>
          <w:tcPr>
            <w:tcW w:w="10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8"/>
              </w:rPr>
              <w:t>Other assets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0.6</w:t>
            </w:r>
          </w:p>
        </w:tc>
        <w:tc>
          <w:tcPr>
            <w:tcW w:w="12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8"/>
              </w:rPr>
              <w:t>Other assets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Other liabilities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0.5</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7"/>
              </w:rPr>
              <w:t>Other liabilities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10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4"/>
                <w:szCs w:val="14"/>
                <w:color w:val="auto"/>
              </w:rPr>
              <w:t>Total commodity derivatives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11.3</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17.8</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9.1</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10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4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w w:val="90"/>
              </w:rPr>
              <w:t>Total derivatives not designated as hedging instruments</w:t>
            </w:r>
          </w:p>
        </w:tc>
        <w:tc>
          <w:tcPr>
            <w:tcW w:w="10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11.3</w:t>
            </w:r>
          </w:p>
        </w:tc>
        <w:tc>
          <w:tcPr>
            <w:tcW w:w="122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17.8</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9.1</w:t>
            </w:r>
          </w:p>
        </w:tc>
        <w:tc>
          <w:tcPr>
            <w:tcW w:w="1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commodity derivative instruments are subject to master netting arrangements or similar agreements. The following tables present our derivative instruments subject to such arrangements at the dates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7"/>
          </w:tcPr>
          <w:p>
            <w:pPr>
              <w:jc w:val="right"/>
              <w:ind w:right="68"/>
              <w:spacing w:after="0"/>
              <w:rPr>
                <w:sz w:val="20"/>
                <w:szCs w:val="20"/>
                <w:color w:val="auto"/>
              </w:rPr>
            </w:pPr>
            <w:r>
              <w:rPr>
                <w:rFonts w:ascii="Arial" w:cs="Arial" w:eastAsia="Arial" w:hAnsi="Arial"/>
                <w:sz w:val="14"/>
                <w:szCs w:val="14"/>
                <w:b w:val="1"/>
                <w:bCs w:val="1"/>
                <w:color w:val="auto"/>
                <w:w w:val="95"/>
              </w:rPr>
              <w:t>Offsetting of Financial Assets and Derivative Assets</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80" w:type="dxa"/>
            <w:vAlign w:val="bottom"/>
            <w:gridSpan w:val="7"/>
          </w:tcPr>
          <w:p>
            <w:pPr>
              <w:jc w:val="center"/>
              <w:ind w:left="848"/>
              <w:spacing w:after="0" w:line="126" w:lineRule="exact"/>
              <w:rPr>
                <w:sz w:val="20"/>
                <w:szCs w:val="20"/>
                <w:color w:val="auto"/>
              </w:rPr>
            </w:pPr>
            <w:r>
              <w:rPr>
                <w:rFonts w:ascii="Arial" w:cs="Arial" w:eastAsia="Arial" w:hAnsi="Arial"/>
                <w:sz w:val="14"/>
                <w:szCs w:val="14"/>
                <w:b w:val="1"/>
                <w:bCs w:val="1"/>
                <w:color w:val="auto"/>
                <w:w w:val="91"/>
              </w:rPr>
              <w:t>Gross Amounts Not Offset</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Amounts</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1"/>
              </w:rPr>
              <w:t>in the Balance Sheet</w:t>
            </w: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0"/>
                <w:szCs w:val="10"/>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Amounts That</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of Assets</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87"/>
              </w:rPr>
              <w:t>Cash</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3"/>
              </w:rPr>
              <w:t>Cash</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Amounts of</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Amounts</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Presented</w:t>
            </w:r>
          </w:p>
        </w:tc>
        <w:tc>
          <w:tcPr>
            <w:tcW w:w="22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Financial</w:t>
            </w:r>
          </w:p>
        </w:tc>
        <w:tc>
          <w:tcPr>
            <w:tcW w:w="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Would Have</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Recognized</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in the</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7"/>
              </w:rPr>
              <w:t>Collateral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3"/>
              </w:rPr>
              <w:t>Collateral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Been Presented</w:t>
            </w: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4"/>
              </w:rPr>
              <w:t>Instruments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4"/>
              </w:rPr>
              <w:t>Paid</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1"/>
              </w:rPr>
              <w:t>Received</w:t>
            </w: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1"/>
              </w:rPr>
              <w:t>On Net Basis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color w:val="auto"/>
              </w:rPr>
              <w:t>(i)</w:t>
            </w:r>
          </w:p>
        </w:tc>
        <w:tc>
          <w:tcPr>
            <w:tcW w:w="2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color w:val="auto"/>
              </w:rPr>
              <w:t>(ii)</w:t>
            </w:r>
          </w:p>
        </w:tc>
        <w:tc>
          <w:tcPr>
            <w:tcW w:w="18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color w:val="auto"/>
              </w:rPr>
              <w:t>(iii) = (i) – (ii)</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color w:val="auto"/>
              </w:rPr>
              <w:t>(iv)</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color w:val="auto"/>
              </w:rPr>
              <w:t>(v) = (iii) + (iv)</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4"/>
                <w:szCs w:val="14"/>
                <w:b w:val="1"/>
                <w:bCs w:val="1"/>
                <w:color w:val="auto"/>
              </w:rPr>
              <w:t>As of December 31, 2019:</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Commodity derivatives</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127.8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(115.3)</w:t>
            </w:r>
          </w:p>
        </w:tc>
        <w:tc>
          <w:tcPr>
            <w:tcW w:w="960" w:type="dxa"/>
            <w:vAlign w:val="bottom"/>
            <w:gridSpan w:val="2"/>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2"/>
              </w:rPr>
              <w:t>(11.0)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4"/>
                <w:szCs w:val="14"/>
                <w:b w:val="1"/>
                <w:bCs w:val="1"/>
                <w:color w:val="auto"/>
              </w:rPr>
              <w:t>As of December 31, 2018:</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Commodity derivatives</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161.9</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161.9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(158.6)</w:t>
            </w:r>
          </w:p>
        </w:tc>
        <w:tc>
          <w:tcPr>
            <w:tcW w:w="960" w:type="dxa"/>
            <w:vAlign w:val="bottom"/>
            <w:gridSpan w:val="2"/>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4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7" w:name="page208"/>
    <w:bookmarkEnd w:id="20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80" w:type="dxa"/>
            <w:vAlign w:val="bottom"/>
            <w:tcBorders>
              <w:bottom w:val="single" w:sz="8" w:color="auto"/>
            </w:tcBorders>
            <w:gridSpan w:val="10"/>
          </w:tcPr>
          <w:p>
            <w:pPr>
              <w:ind w:left="620"/>
              <w:spacing w:after="0"/>
              <w:rPr>
                <w:sz w:val="20"/>
                <w:szCs w:val="20"/>
                <w:color w:val="auto"/>
              </w:rPr>
            </w:pPr>
            <w:r>
              <w:rPr>
                <w:rFonts w:ascii="Arial" w:cs="Arial" w:eastAsia="Arial" w:hAnsi="Arial"/>
                <w:sz w:val="14"/>
                <w:szCs w:val="14"/>
                <w:b w:val="1"/>
                <w:bCs w:val="1"/>
                <w:color w:val="auto"/>
              </w:rPr>
              <w:t>Offsetting of Financial Liabilities and Derivative Liabilities</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20" w:type="dxa"/>
            <w:vAlign w:val="bottom"/>
            <w:gridSpan w:val="4"/>
          </w:tcPr>
          <w:p>
            <w:pPr>
              <w:jc w:val="center"/>
              <w:spacing w:after="0" w:line="126" w:lineRule="exact"/>
              <w:rPr>
                <w:sz w:val="20"/>
                <w:szCs w:val="20"/>
                <w:color w:val="auto"/>
              </w:rPr>
            </w:pPr>
            <w:r>
              <w:rPr>
                <w:rFonts w:ascii="Arial" w:cs="Arial" w:eastAsia="Arial" w:hAnsi="Arial"/>
                <w:sz w:val="14"/>
                <w:szCs w:val="14"/>
                <w:b w:val="1"/>
                <w:bCs w:val="1"/>
                <w:color w:val="auto"/>
                <w:w w:val="91"/>
              </w:rPr>
              <w:t>Gross Amounts Not Offset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Amounts</w:t>
            </w:r>
          </w:p>
        </w:tc>
        <w:tc>
          <w:tcPr>
            <w:tcW w:w="2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in the Balance Sheet</w:t>
            </w: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0"/>
                <w:szCs w:val="10"/>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Amounts That</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of Liabilities</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w w:val="93"/>
              </w:rPr>
              <w:t>Cash</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Amounts of</w:t>
            </w: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Amounts</w:t>
            </w: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Presented</w:t>
            </w:r>
          </w:p>
        </w:tc>
        <w:tc>
          <w:tcPr>
            <w:tcW w:w="220" w:type="dxa"/>
            <w:vAlign w:val="bottom"/>
          </w:tcPr>
          <w:p>
            <w:pPr>
              <w:spacing w:after="0"/>
              <w:rPr>
                <w:sz w:val="12"/>
                <w:szCs w:val="12"/>
                <w:color w:val="auto"/>
              </w:rPr>
            </w:pPr>
          </w:p>
        </w:tc>
        <w:tc>
          <w:tcPr>
            <w:tcW w:w="12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Financial</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Would Have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Recognized</w:t>
            </w: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in the</w:t>
            </w:r>
          </w:p>
        </w:tc>
        <w:tc>
          <w:tcPr>
            <w:tcW w:w="2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90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Collateral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Been Presented</w:t>
            </w:r>
          </w:p>
        </w:tc>
        <w:tc>
          <w:tcPr>
            <w:tcW w:w="0" w:type="dxa"/>
            <w:vAlign w:val="bottom"/>
          </w:tcPr>
          <w:p>
            <w:pPr>
              <w:spacing w:after="0"/>
              <w:rPr>
                <w:sz w:val="1"/>
                <w:szCs w:val="1"/>
                <w:color w:val="auto"/>
              </w:rPr>
            </w:pPr>
          </w:p>
        </w:tc>
      </w:tr>
      <w:tr>
        <w:trPr>
          <w:trHeight w:val="178"/>
        </w:trPr>
        <w:tc>
          <w:tcPr>
            <w:tcW w:w="3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94"/>
              </w:rPr>
              <w:t>Paid</w:t>
            </w: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1"/>
              </w:rPr>
              <w:t>On Net Basis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color w:val="auto"/>
              </w:rPr>
              <w:t>(i)</w:t>
            </w:r>
          </w:p>
        </w:tc>
        <w:tc>
          <w:tcPr>
            <w:tcW w:w="20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color w:val="auto"/>
              </w:rPr>
              <w:t>(ii)</w:t>
            </w:r>
          </w:p>
        </w:tc>
        <w:tc>
          <w:tcPr>
            <w:tcW w:w="18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color w:val="auto"/>
              </w:rPr>
              <w:t>(iii) = (i) – (ii)</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ind w:left="868"/>
              <w:spacing w:after="0"/>
              <w:rPr>
                <w:sz w:val="20"/>
                <w:szCs w:val="20"/>
                <w:color w:val="auto"/>
              </w:rPr>
            </w:pPr>
            <w:r>
              <w:rPr>
                <w:rFonts w:ascii="Arial" w:cs="Arial" w:eastAsia="Arial" w:hAnsi="Arial"/>
                <w:sz w:val="14"/>
                <w:szCs w:val="14"/>
                <w:color w:val="auto"/>
              </w:rPr>
              <w:t>(iv)</w:t>
            </w:r>
          </w:p>
        </w:tc>
        <w:tc>
          <w:tcPr>
            <w:tcW w:w="9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color w:val="auto"/>
              </w:rPr>
              <w:t>(v) = (iii) + (iv)</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4"/>
                <w:szCs w:val="14"/>
                <w:b w:val="1"/>
                <w:bCs w:val="1"/>
                <w:color w:val="auto"/>
              </w:rPr>
              <w:t>As of December 31, 2019:</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derivatives</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4"/>
                <w:szCs w:val="14"/>
                <w:color w:val="auto"/>
              </w:rPr>
              <w:t>Commodity derivatives</w:t>
            </w: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116.2</w:t>
            </w:r>
          </w:p>
        </w:tc>
        <w:tc>
          <w:tcPr>
            <w:tcW w:w="200" w:type="dxa"/>
            <w:vAlign w:val="bottom"/>
          </w:tcPr>
          <w:p>
            <w:pPr>
              <w:spacing w:after="0"/>
              <w:rPr>
                <w:sz w:val="18"/>
                <w:szCs w:val="18"/>
                <w:color w:val="auto"/>
              </w:rPr>
            </w:pPr>
          </w:p>
        </w:tc>
        <w:tc>
          <w:tcPr>
            <w:tcW w:w="12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116.2</w:t>
            </w:r>
          </w:p>
        </w:tc>
        <w:tc>
          <w:tcPr>
            <w:tcW w:w="2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(115.3)</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December 31, 2018:</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200" w:type="dxa"/>
            <w:vAlign w:val="bottom"/>
          </w:tcPr>
          <w:p>
            <w:pPr>
              <w:ind w:left="180"/>
              <w:spacing w:after="0"/>
              <w:rPr>
                <w:sz w:val="20"/>
                <w:szCs w:val="20"/>
                <w:color w:val="auto"/>
              </w:rPr>
            </w:pPr>
            <w:r>
              <w:rPr>
                <w:rFonts w:ascii="Arial" w:cs="Arial" w:eastAsia="Arial" w:hAnsi="Arial"/>
                <w:sz w:val="14"/>
                <w:szCs w:val="14"/>
                <w:color w:val="auto"/>
              </w:rPr>
              <w:t>Commodity derivatives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162.4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162.4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(158.6)</w:t>
            </w:r>
          </w:p>
        </w:tc>
        <w:tc>
          <w:tcPr>
            <w:tcW w:w="80" w:type="dxa"/>
            <w:vAlign w:val="bottom"/>
          </w:tcPr>
          <w:p>
            <w:pPr>
              <w:spacing w:after="0"/>
              <w:rPr>
                <w:sz w:val="20"/>
                <w:szCs w:val="20"/>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(2.3)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Derivative assets and liabilities recorded on our Consolidated Balance Sheets are presented on a gross-basis and determined at the individual transaction level. This presentation method is applied regardless of whether the respective exchange clearing agreements, counterparty contracts or master netting agreements contain netting language often referred to as “rights of offset.” Although derivative amounts are presented on a gross-basis, having rights of offset enable the settlement of a net as opposed to gross receivable or payable amount under a counterparty default or liquidation scenario.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is paid and received as collateral under certain agreements, particularly for those associated with exchange transactions. For any cash collateral payments or receipts, corresponding assets or liabilities are recorded to reflect the variation margin deposits or receipts with exchange clearing brokers and customers. These balances are also presented on a gross-basis on our Consolidated Balance Sheets.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tabular presentation above provides a means for comparing the gross amount of derivative assets and liabilities, excluding associated accounts payable and receivable, to the net amount that would likely be receivable or payable under a default scenario based on the existence of rights of offset in the respective derivative agreements. Any cash collateral paid or received is reflected in these tables, but only to the extent that it represents variation margins. Any amounts associated with derivative prepayments or initial margins that are not influenced by the derivative asset or liability amounts or those that are determined solely on their volumetric notional amounts are excluded from these tables.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the effect of our derivative instruments designated as fair value hedges on our Statements of Consolidated Operations for the years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jc w:val="center"/>
              <w:ind w:left="488"/>
              <w:spacing w:after="0"/>
              <w:rPr>
                <w:sz w:val="20"/>
                <w:szCs w:val="20"/>
                <w:color w:val="auto"/>
              </w:rPr>
            </w:pPr>
            <w:r>
              <w:rPr>
                <w:rFonts w:ascii="Arial" w:cs="Arial" w:eastAsia="Arial" w:hAnsi="Arial"/>
                <w:sz w:val="14"/>
                <w:szCs w:val="14"/>
                <w:b w:val="1"/>
                <w:bCs w:val="1"/>
                <w:color w:val="auto"/>
                <w:w w:val="95"/>
              </w:rPr>
              <w:t>Derivatives in Fair Value</w:t>
            </w:r>
          </w:p>
        </w:tc>
        <w:tc>
          <w:tcPr>
            <w:tcW w:w="1780" w:type="dxa"/>
            <w:vAlign w:val="bottom"/>
          </w:tcPr>
          <w:p>
            <w:pPr>
              <w:spacing w:after="0"/>
              <w:rPr>
                <w:sz w:val="14"/>
                <w:szCs w:val="14"/>
                <w:color w:val="auto"/>
              </w:rPr>
            </w:pPr>
          </w:p>
        </w:tc>
        <w:tc>
          <w:tcPr>
            <w:tcW w:w="3340" w:type="dxa"/>
            <w:vAlign w:val="bottom"/>
            <w:gridSpan w:val="3"/>
            <w:vMerge w:val="restart"/>
          </w:tcPr>
          <w:p>
            <w:pPr>
              <w:jc w:val="right"/>
              <w:ind w:right="2428"/>
              <w:spacing w:after="0"/>
              <w:rPr>
                <w:sz w:val="20"/>
                <w:szCs w:val="20"/>
                <w:color w:val="auto"/>
              </w:rPr>
            </w:pPr>
            <w:r>
              <w:rPr>
                <w:rFonts w:ascii="Arial" w:cs="Arial" w:eastAsia="Arial" w:hAnsi="Arial"/>
                <w:sz w:val="14"/>
                <w:szCs w:val="14"/>
                <w:b w:val="1"/>
                <w:bCs w:val="1"/>
                <w:color w:val="auto"/>
              </w:rPr>
              <w:t>Location</w:t>
            </w:r>
          </w:p>
        </w:tc>
        <w:tc>
          <w:tcPr>
            <w:tcW w:w="22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0"/>
              </w:rPr>
              <w:t>Gain (Loss) Recognized in</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140" w:type="dxa"/>
            <w:vAlign w:val="bottom"/>
          </w:tcPr>
          <w:p>
            <w:pPr>
              <w:jc w:val="center"/>
              <w:ind w:left="468"/>
              <w:spacing w:after="0"/>
              <w:rPr>
                <w:sz w:val="20"/>
                <w:szCs w:val="20"/>
                <w:color w:val="auto"/>
              </w:rPr>
            </w:pPr>
            <w:r>
              <w:rPr>
                <w:rFonts w:ascii="Arial" w:cs="Arial" w:eastAsia="Arial" w:hAnsi="Arial"/>
                <w:sz w:val="14"/>
                <w:szCs w:val="14"/>
                <w:b w:val="1"/>
                <w:bCs w:val="1"/>
                <w:color w:val="auto"/>
                <w:w w:val="92"/>
              </w:rPr>
              <w:t>Hedging Relationships</w:t>
            </w:r>
          </w:p>
        </w:tc>
        <w:tc>
          <w:tcPr>
            <w:tcW w:w="1780" w:type="dxa"/>
            <w:vAlign w:val="bottom"/>
          </w:tcPr>
          <w:p>
            <w:pPr>
              <w:spacing w:after="0"/>
              <w:rPr>
                <w:sz w:val="15"/>
                <w:szCs w:val="15"/>
                <w:color w:val="auto"/>
              </w:rPr>
            </w:pPr>
          </w:p>
        </w:tc>
        <w:tc>
          <w:tcPr>
            <w:tcW w:w="334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Income on Derivative</w:t>
            </w: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2260" w:type="dxa"/>
            <w:vAlign w:val="bottom"/>
            <w:tcBorders>
              <w:top w:val="single" w:sz="8" w:color="auto"/>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For the Year Ended December 31,</w:t>
            </w: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520" w:type="dxa"/>
            <w:vAlign w:val="bottom"/>
            <w:gridSpan w:val="2"/>
          </w:tcPr>
          <w:p>
            <w:pPr>
              <w:spacing w:after="0"/>
              <w:rPr>
                <w:sz w:val="19"/>
                <w:szCs w:val="19"/>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Interest rate derivatives</w:t>
            </w:r>
          </w:p>
        </w:tc>
        <w:tc>
          <w:tcPr>
            <w:tcW w:w="17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Interest expense</w:t>
            </w:r>
          </w:p>
        </w:tc>
        <w:tc>
          <w:tcPr>
            <w:tcW w:w="3340" w:type="dxa"/>
            <w:vAlign w:val="bottom"/>
            <w:gridSpan w:val="3"/>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w:t>
            </w: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4"/>
                <w:szCs w:val="14"/>
                <w:color w:val="auto"/>
              </w:rPr>
              <w:t>Commodity derivatives</w:t>
            </w:r>
          </w:p>
        </w:tc>
        <w:tc>
          <w:tcPr>
            <w:tcW w:w="1780" w:type="dxa"/>
            <w:vAlign w:val="bottom"/>
          </w:tcPr>
          <w:p>
            <w:pPr>
              <w:ind w:left="520"/>
              <w:spacing w:after="0"/>
              <w:rPr>
                <w:sz w:val="20"/>
                <w:szCs w:val="20"/>
                <w:color w:val="auto"/>
              </w:rPr>
            </w:pPr>
            <w:r>
              <w:rPr>
                <w:rFonts w:ascii="Arial" w:cs="Arial" w:eastAsia="Arial" w:hAnsi="Arial"/>
                <w:sz w:val="14"/>
                <w:szCs w:val="14"/>
                <w:color w:val="auto"/>
              </w:rPr>
              <w:t>Revenue</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9.9</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520" w:type="dxa"/>
            <w:vAlign w:val="bottom"/>
            <w:gridSpan w:val="2"/>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78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spacing w:after="0"/>
              <w:rPr>
                <w:sz w:val="20"/>
                <w:szCs w:val="20"/>
                <w:color w:val="auto"/>
              </w:rPr>
            </w:pP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11.2</w:t>
            </w: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3140" w:type="dxa"/>
            <w:vAlign w:val="bottom"/>
          </w:tcPr>
          <w:p>
            <w:pPr>
              <w:jc w:val="center"/>
              <w:ind w:left="488"/>
              <w:spacing w:after="0"/>
              <w:rPr>
                <w:sz w:val="20"/>
                <w:szCs w:val="20"/>
                <w:color w:val="auto"/>
              </w:rPr>
            </w:pPr>
            <w:r>
              <w:rPr>
                <w:rFonts w:ascii="Arial" w:cs="Arial" w:eastAsia="Arial" w:hAnsi="Arial"/>
                <w:sz w:val="14"/>
                <w:szCs w:val="14"/>
                <w:b w:val="1"/>
                <w:bCs w:val="1"/>
                <w:color w:val="auto"/>
                <w:w w:val="95"/>
              </w:rPr>
              <w:t>Derivatives in Fair Value</w:t>
            </w:r>
          </w:p>
        </w:tc>
        <w:tc>
          <w:tcPr>
            <w:tcW w:w="1780" w:type="dxa"/>
            <w:vAlign w:val="bottom"/>
          </w:tcPr>
          <w:p>
            <w:pPr>
              <w:spacing w:after="0"/>
              <w:rPr>
                <w:sz w:val="24"/>
                <w:szCs w:val="24"/>
                <w:color w:val="auto"/>
              </w:rPr>
            </w:pPr>
          </w:p>
        </w:tc>
        <w:tc>
          <w:tcPr>
            <w:tcW w:w="2520" w:type="dxa"/>
            <w:vAlign w:val="bottom"/>
            <w:gridSpan w:val="2"/>
            <w:vMerge w:val="restart"/>
          </w:tcPr>
          <w:p>
            <w:pPr>
              <w:jc w:val="right"/>
              <w:ind w:right="1680"/>
              <w:spacing w:after="0"/>
              <w:rPr>
                <w:sz w:val="20"/>
                <w:szCs w:val="20"/>
                <w:color w:val="auto"/>
              </w:rPr>
            </w:pPr>
            <w:r>
              <w:rPr>
                <w:rFonts w:ascii="Arial" w:cs="Arial" w:eastAsia="Arial" w:hAnsi="Arial"/>
                <w:sz w:val="14"/>
                <w:szCs w:val="14"/>
                <w:b w:val="1"/>
                <w:bCs w:val="1"/>
                <w:color w:val="auto"/>
              </w:rPr>
              <w:t>Location</w:t>
            </w:r>
          </w:p>
        </w:tc>
        <w:tc>
          <w:tcPr>
            <w:tcW w:w="820" w:type="dxa"/>
            <w:vAlign w:val="bottom"/>
            <w:vMerge w:val="restart"/>
          </w:tcPr>
          <w:p>
            <w:pPr>
              <w:spacing w:after="0"/>
              <w:rPr>
                <w:sz w:val="24"/>
                <w:szCs w:val="24"/>
                <w:color w:val="auto"/>
              </w:rPr>
            </w:pPr>
          </w:p>
        </w:tc>
        <w:tc>
          <w:tcPr>
            <w:tcW w:w="22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0"/>
              </w:rPr>
              <w:t>Gain (Loss) Recognized in</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140" w:type="dxa"/>
            <w:vAlign w:val="bottom"/>
          </w:tcPr>
          <w:p>
            <w:pPr>
              <w:jc w:val="center"/>
              <w:ind w:left="468"/>
              <w:spacing w:after="0"/>
              <w:rPr>
                <w:sz w:val="20"/>
                <w:szCs w:val="20"/>
                <w:color w:val="auto"/>
              </w:rPr>
            </w:pPr>
            <w:r>
              <w:rPr>
                <w:rFonts w:ascii="Arial" w:cs="Arial" w:eastAsia="Arial" w:hAnsi="Arial"/>
                <w:sz w:val="14"/>
                <w:szCs w:val="14"/>
                <w:b w:val="1"/>
                <w:bCs w:val="1"/>
                <w:color w:val="auto"/>
                <w:w w:val="92"/>
              </w:rPr>
              <w:t>Hedging Relationships</w:t>
            </w:r>
          </w:p>
        </w:tc>
        <w:tc>
          <w:tcPr>
            <w:tcW w:w="1780" w:type="dxa"/>
            <w:vAlign w:val="bottom"/>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Income on Hedged Item</w:t>
            </w: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2260" w:type="dxa"/>
            <w:vAlign w:val="bottom"/>
            <w:tcBorders>
              <w:top w:val="single" w:sz="8" w:color="auto"/>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For the Year Ended December 31,</w:t>
            </w: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520" w:type="dxa"/>
            <w:vAlign w:val="bottom"/>
            <w:gridSpan w:val="2"/>
          </w:tcPr>
          <w:p>
            <w:pPr>
              <w:spacing w:after="0"/>
              <w:rPr>
                <w:sz w:val="19"/>
                <w:szCs w:val="19"/>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Interest rate derivatives</w:t>
            </w:r>
          </w:p>
        </w:tc>
        <w:tc>
          <w:tcPr>
            <w:tcW w:w="17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Interest expense</w:t>
            </w:r>
          </w:p>
        </w:tc>
        <w:tc>
          <w:tcPr>
            <w:tcW w:w="3340" w:type="dxa"/>
            <w:vAlign w:val="bottom"/>
            <w:gridSpan w:val="3"/>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w:t>
            </w: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4"/>
                <w:szCs w:val="14"/>
                <w:color w:val="auto"/>
              </w:rPr>
              <w:t>Commodity derivatives</w:t>
            </w:r>
          </w:p>
        </w:tc>
        <w:tc>
          <w:tcPr>
            <w:tcW w:w="1780" w:type="dxa"/>
            <w:vAlign w:val="bottom"/>
          </w:tcPr>
          <w:p>
            <w:pPr>
              <w:ind w:left="520"/>
              <w:spacing w:after="0"/>
              <w:rPr>
                <w:sz w:val="20"/>
                <w:szCs w:val="20"/>
                <w:color w:val="auto"/>
              </w:rPr>
            </w:pPr>
            <w:r>
              <w:rPr>
                <w:rFonts w:ascii="Arial" w:cs="Arial" w:eastAsia="Arial" w:hAnsi="Arial"/>
                <w:sz w:val="14"/>
                <w:szCs w:val="14"/>
                <w:color w:val="auto"/>
              </w:rPr>
              <w:t>Revenue</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(6.9)</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520" w:type="dxa"/>
            <w:vAlign w:val="bottom"/>
            <w:gridSpan w:val="2"/>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78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spacing w:after="0"/>
              <w:rPr>
                <w:sz w:val="20"/>
                <w:szCs w:val="20"/>
                <w:color w:val="auto"/>
              </w:rPr>
            </w:pP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(8.3)</w:t>
            </w: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8" w:name="page209"/>
    <w:bookmarkEnd w:id="20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effect of our derivative instruments designated as cash flow hedges on our Statements of Consolidated Operations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Statements of Consolidated Comprehensive Income for the years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Derivatives in Cash Flow</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91"/>
              </w:rPr>
              <w:t>Change in Value Recognized in</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60" w:type="dxa"/>
            <w:vAlign w:val="bottom"/>
            <w:gridSpan w:val="8"/>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Other Comprehensive Income (Loss)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Hedging Relationships</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5"/>
              </w:rPr>
              <w:t>On Derivative</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For the Year Ended December 31,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4"/>
                <w:szCs w:val="14"/>
                <w:color w:val="auto"/>
              </w:rPr>
              <w:t>Interest rate derivatives</w:t>
            </w: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22.2</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4"/>
                <w:szCs w:val="14"/>
                <w:color w:val="auto"/>
              </w:rPr>
              <w:t>Commodity derivatives – Revenue (1)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293.0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4"/>
                <w:szCs w:val="14"/>
                <w:color w:val="auto"/>
              </w:rPr>
              <w:t>Commodity derivatives – Operating costs and expenses (1)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ind w:left="200"/>
              <w:spacing w:after="0"/>
              <w:rPr>
                <w:sz w:val="20"/>
                <w:szCs w:val="20"/>
                <w:color w:val="auto"/>
              </w:rPr>
            </w:pPr>
            <w:r>
              <w:rPr>
                <w:rFonts w:ascii="Arial" w:cs="Arial" w:eastAsia="Arial" w:hAnsi="Arial"/>
                <w:sz w:val="14"/>
                <w:szCs w:val="14"/>
                <w:color w:val="auto"/>
              </w:rPr>
              <w:t>Total</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125.5</w:t>
            </w:r>
          </w:p>
        </w:tc>
        <w:tc>
          <w:tcPr>
            <w:tcW w:w="120" w:type="dxa"/>
            <w:vAlign w:val="bottom"/>
          </w:tcPr>
          <w:p>
            <w:pPr>
              <w:spacing w:after="0"/>
              <w:rPr>
                <w:sz w:val="18"/>
                <w:szCs w:val="18"/>
                <w:color w:val="auto"/>
              </w:rPr>
            </w:pP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315.4</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4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360" w:hanging="352"/>
        <w:spacing w:after="0" w:line="253" w:lineRule="auto"/>
        <w:tabs>
          <w:tab w:leader="none" w:pos="3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 fair value of these derivative instruments will be reclassified to their respective locations on the Statement of Consolidated Operations upon settlement of the underlying derivative transactions, as appropriate.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vMerge w:val="restart"/>
          </w:tcPr>
          <w:p>
            <w:pPr>
              <w:jc w:val="center"/>
              <w:ind w:left="448"/>
              <w:spacing w:after="0"/>
              <w:rPr>
                <w:sz w:val="20"/>
                <w:szCs w:val="20"/>
                <w:color w:val="auto"/>
              </w:rPr>
            </w:pPr>
            <w:r>
              <w:rPr>
                <w:rFonts w:ascii="Arial" w:cs="Arial" w:eastAsia="Arial" w:hAnsi="Arial"/>
                <w:sz w:val="14"/>
                <w:szCs w:val="14"/>
                <w:b w:val="1"/>
                <w:bCs w:val="1"/>
                <w:color w:val="auto"/>
                <w:w w:val="93"/>
              </w:rPr>
              <w:t>Derivatives in Cash Flow</w:t>
            </w:r>
          </w:p>
        </w:tc>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Gain (Loss) Reclassified from</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vMerge w:val="continue"/>
          </w:tcPr>
          <w:p>
            <w:pPr>
              <w:spacing w:after="0"/>
              <w:rPr>
                <w:sz w:val="12"/>
                <w:szCs w:val="12"/>
                <w:color w:val="auto"/>
              </w:rPr>
            </w:pPr>
          </w:p>
        </w:tc>
        <w:tc>
          <w:tcPr>
            <w:tcW w:w="418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2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2"/>
              </w:rPr>
              <w:t>Accumulated Other Comprehensive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14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2"/>
              </w:rPr>
              <w:t>Hedging Relationships</w:t>
            </w:r>
          </w:p>
        </w:tc>
        <w:tc>
          <w:tcPr>
            <w:tcW w:w="41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Income (Loss) to Income</w:t>
            </w: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For the Year Ended December 31,</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Interest rate derivatives</w:t>
            </w:r>
          </w:p>
        </w:tc>
        <w:tc>
          <w:tcPr>
            <w:tcW w:w="41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Interest expense</w:t>
            </w:r>
          </w:p>
        </w:tc>
        <w:tc>
          <w:tcPr>
            <w:tcW w:w="900" w:type="dxa"/>
            <w:vAlign w:val="bottom"/>
            <w:gridSpan w:val="2"/>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(37.3)</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(38.1)</w:t>
            </w: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4"/>
                <w:szCs w:val="14"/>
                <w:color w:val="auto"/>
              </w:rPr>
              <w:t>Commodity derivatives</w:t>
            </w:r>
          </w:p>
        </w:tc>
        <w:tc>
          <w:tcPr>
            <w:tcW w:w="4180" w:type="dxa"/>
            <w:vAlign w:val="bottom"/>
          </w:tcPr>
          <w:p>
            <w:pPr>
              <w:ind w:left="52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152.4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131.7</w:t>
            </w:r>
          </w:p>
        </w:tc>
        <w:tc>
          <w:tcPr>
            <w:tcW w:w="3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(111.6)</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Commodity derivatives</w:t>
            </w:r>
          </w:p>
        </w:tc>
        <w:tc>
          <w:tcPr>
            <w:tcW w:w="41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Operating costs and expenses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(10.7)</w:t>
            </w: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7"/>
        </w:trPr>
        <w:tc>
          <w:tcPr>
            <w:tcW w:w="314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tcPr>
          <w:p>
            <w:pPr>
              <w:ind w:left="180"/>
              <w:spacing w:after="0"/>
              <w:rPr>
                <w:sz w:val="20"/>
                <w:szCs w:val="20"/>
                <w:color w:val="auto"/>
              </w:rPr>
            </w:pPr>
            <w:r>
              <w:rPr>
                <w:rFonts w:ascii="Arial" w:cs="Arial" w:eastAsia="Arial" w:hAnsi="Arial"/>
                <w:sz w:val="14"/>
                <w:szCs w:val="14"/>
                <w:color w:val="auto"/>
              </w:rPr>
              <w:t>Total</w:t>
            </w: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628"/>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104.4</w:t>
            </w:r>
          </w:p>
        </w:tc>
        <w:tc>
          <w:tcPr>
            <w:tcW w:w="2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92.3</w:t>
            </w: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(152.6)</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 the next twelve months, we expect to reclassify $39.7 million of losses attributable to interest rate derivative instruments from accumulated other comprehensive loss to earnings as an increase in interest expense. Likewise, we expect to reclassify $55.7 million of gains attributable to commodity derivative instruments from accumulated other comprehensive income to earnings, $55.4 million as an increase in revenue and $0.3 million as a decrease to operating costs and expenses.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the effect of our derivative instruments not designated as hedging instruments on our Statements of Consolidated Operations for the years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jc w:val="center"/>
              <w:ind w:left="388"/>
              <w:spacing w:after="0"/>
              <w:rPr>
                <w:sz w:val="20"/>
                <w:szCs w:val="20"/>
                <w:color w:val="auto"/>
              </w:rPr>
            </w:pPr>
            <w:r>
              <w:rPr>
                <w:rFonts w:ascii="Arial" w:cs="Arial" w:eastAsia="Arial" w:hAnsi="Arial"/>
                <w:sz w:val="14"/>
                <w:szCs w:val="14"/>
                <w:b w:val="1"/>
                <w:bCs w:val="1"/>
                <w:color w:val="auto"/>
                <w:w w:val="91"/>
              </w:rPr>
              <w:t>Derivatives Not Designated as</w:t>
            </w:r>
          </w:p>
        </w:tc>
        <w:tc>
          <w:tcPr>
            <w:tcW w:w="410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80" w:type="dxa"/>
            <w:vAlign w:val="bottom"/>
            <w:gridSpan w:val="8"/>
          </w:tcPr>
          <w:p>
            <w:pPr>
              <w:jc w:val="center"/>
              <w:spacing w:after="0"/>
              <w:rPr>
                <w:sz w:val="20"/>
                <w:szCs w:val="20"/>
                <w:color w:val="auto"/>
              </w:rPr>
            </w:pPr>
            <w:r>
              <w:rPr>
                <w:rFonts w:ascii="Arial" w:cs="Arial" w:eastAsia="Arial" w:hAnsi="Arial"/>
                <w:sz w:val="14"/>
                <w:szCs w:val="14"/>
                <w:b w:val="1"/>
                <w:bCs w:val="1"/>
                <w:color w:val="auto"/>
                <w:w w:val="90"/>
              </w:rPr>
              <w:t>Gain (Loss) Recognized in</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22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4"/>
              </w:rPr>
              <w:t>Hedging Instruments</w:t>
            </w:r>
          </w:p>
        </w:tc>
        <w:tc>
          <w:tcPr>
            <w:tcW w:w="4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Income on Derivative</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For the Year Ended December 31,</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Interest rate derivatives</w:t>
            </w:r>
          </w:p>
        </w:tc>
        <w:tc>
          <w:tcPr>
            <w:tcW w:w="41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Interest expense</w:t>
            </w:r>
          </w:p>
        </w:tc>
        <w:tc>
          <w:tcPr>
            <w:tcW w:w="920" w:type="dxa"/>
            <w:vAlign w:val="bottom"/>
            <w:gridSpan w:val="2"/>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(94.9)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4"/>
                <w:szCs w:val="14"/>
                <w:color w:val="auto"/>
              </w:rPr>
              <w:t>Commodity derivatives</w:t>
            </w:r>
          </w:p>
        </w:tc>
        <w:tc>
          <w:tcPr>
            <w:tcW w:w="4100" w:type="dxa"/>
            <w:vAlign w:val="bottom"/>
          </w:tcPr>
          <w:p>
            <w:pPr>
              <w:ind w:left="44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102.2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(462.9)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Commodity derivatives</w:t>
            </w:r>
          </w:p>
        </w:tc>
        <w:tc>
          <w:tcPr>
            <w:tcW w:w="41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Operating costs and expenses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
        </w:trPr>
        <w:tc>
          <w:tcPr>
            <w:tcW w:w="32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tcPr>
          <w:p>
            <w:pPr>
              <w:ind w:left="180"/>
              <w:spacing w:after="0"/>
              <w:rPr>
                <w:sz w:val="20"/>
                <w:szCs w:val="20"/>
                <w:color w:val="auto"/>
              </w:rPr>
            </w:pPr>
            <w:r>
              <w:rPr>
                <w:rFonts w:ascii="Arial" w:cs="Arial" w:eastAsia="Arial" w:hAnsi="Arial"/>
                <w:sz w:val="14"/>
                <w:szCs w:val="14"/>
                <w:color w:val="auto"/>
              </w:rPr>
              <w:t>Total</w:t>
            </w: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(5.1)</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(454.7)</w:t>
            </w:r>
          </w:p>
        </w:tc>
        <w:tc>
          <w:tcPr>
            <w:tcW w:w="4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$5.1 million loss recognized for the year ended December 31, 2019 (as noted in the preceding table) from derivatives not designated as hedging instruments consists of (i) $24.2 million of realized gains and $65.6 million of net unrealized mark-to-market gains attributable to commodity derivatives and</w:t>
      </w:r>
    </w:p>
    <w:p>
      <w:pPr>
        <w:ind w:left="5540" w:right="4720" w:hanging="5532"/>
        <w:spacing w:after="0" w:line="570" w:lineRule="auto"/>
        <w:tabs>
          <w:tab w:leader="none" w:pos="26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$94.9 million of unrealized mark-to-market losses attributable to interest rate derivatives. 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4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9" w:name="page210"/>
    <w:bookmarkEnd w:id="20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total and inclusive of both fair value hedges and derivatives not designated as hedging instruments, unrealized mark-to-market gains (losses) included in gross operating margin and interest expense for the years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7"/>
              </w:rPr>
              <w:t>For the Year Ended 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440" w:type="dxa"/>
            <w:vAlign w:val="bottom"/>
          </w:tcPr>
          <w:p>
            <w:pPr>
              <w:spacing w:after="0"/>
              <w:rPr>
                <w:sz w:val="19"/>
                <w:szCs w:val="19"/>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4"/>
                <w:szCs w:val="14"/>
                <w:color w:val="auto"/>
              </w:rPr>
              <w:t>Mark-to-market gains (losses) in gross operating margin:</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NGL Pipelines &amp; Services</w:t>
            </w:r>
          </w:p>
        </w:tc>
        <w:tc>
          <w:tcPr>
            <w:tcW w:w="780" w:type="dxa"/>
            <w:vAlign w:val="bottom"/>
            <w:shd w:val="clear" w:color="auto" w:fill="CCEEFF"/>
          </w:tcPr>
          <w:p>
            <w:pPr>
              <w:jc w:val="right"/>
              <w:ind w:right="662"/>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(5.5)</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18.0</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(11.2)</w:t>
            </w: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Crude Oil Pipelines &amp; Services</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80.6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(4.8)</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Natural Gas Pipelines &amp; Services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w:t>
            </w: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Petrochemical &amp; Refined Products Services</w:t>
            </w:r>
          </w:p>
        </w:tc>
        <w:tc>
          <w:tcPr>
            <w:tcW w:w="7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(7.2)</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2.4</w:t>
            </w:r>
          </w:p>
        </w:tc>
      </w:tr>
      <w:tr>
        <w:trPr>
          <w:trHeight w:val="27"/>
        </w:trPr>
        <w:tc>
          <w:tcPr>
            <w:tcW w:w="7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mark-to-market impact on gross operating margin</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w:t>
            </w:r>
          </w:p>
        </w:tc>
        <w:tc>
          <w:tcPr>
            <w:tcW w:w="22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(23.0)</w:t>
            </w:r>
          </w:p>
        </w:tc>
      </w:tr>
      <w:tr>
        <w:trPr>
          <w:trHeight w:val="216"/>
        </w:trPr>
        <w:tc>
          <w:tcPr>
            <w:tcW w:w="7440" w:type="dxa"/>
            <w:vAlign w:val="bottom"/>
          </w:tcPr>
          <w:p>
            <w:pPr>
              <w:spacing w:after="0"/>
              <w:rPr>
                <w:sz w:val="20"/>
                <w:szCs w:val="20"/>
                <w:color w:val="auto"/>
              </w:rPr>
            </w:pPr>
            <w:r>
              <w:rPr>
                <w:rFonts w:ascii="Arial" w:cs="Arial" w:eastAsia="Arial" w:hAnsi="Arial"/>
                <w:sz w:val="14"/>
                <w:szCs w:val="14"/>
                <w:color w:val="auto"/>
              </w:rPr>
              <w:t>Mark-to-market gains (losses) in interest expense</w:t>
            </w:r>
          </w:p>
        </w:tc>
        <w:tc>
          <w:tcPr>
            <w:tcW w:w="7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(94.9)</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0.2</w:t>
            </w:r>
          </w:p>
        </w:tc>
      </w:tr>
      <w:tr>
        <w:trPr>
          <w:trHeight w:val="27"/>
        </w:trPr>
        <w:tc>
          <w:tcPr>
            <w:tcW w:w="7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780" w:type="dxa"/>
            <w:vAlign w:val="bottom"/>
            <w:shd w:val="clear" w:color="auto" w:fill="CCEEFF"/>
          </w:tcPr>
          <w:p>
            <w:pPr>
              <w:jc w:val="right"/>
              <w:ind w:right="662"/>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(27.2)</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(17.8)</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(22.8)</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set forth, by level within the Level 1, 2 and 3 fair value hierarchy (see Note 2), the carrying values of our financial assets and liabilities at the dates indicated. These assets and liabilities are measured on a recurring basis and are classified based on the lowest level of input used to estimate their fair value. Our assessment of the relative significance of such inputs requires judgment.</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values for commodity derivatives are presented before and after the application of Chicago Mercantile Exchange (“CME”) Rule 814, which deems that financial instruments cleared by the CME are settled daily in connection with variation margin payments. As a result of this exchange rule, CME-related derivatives are considered to have no fair value at the balance sheet date for financial reporting purposes; however, the derivatives remain outstanding and subject to future commodity price fluctuations until they are settled in accordance with their contractual terms. Derivative transactions cleared on exchanges other than the CME (e.g., the Intercontinental Exchange or ICE) continue to be reported on a gross basis.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3"/>
              </w:rPr>
              <w:t>At December 31, 2019</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00" w:type="dxa"/>
            <w:vAlign w:val="bottom"/>
            <w:gridSpan w:val="9"/>
          </w:tcPr>
          <w:p>
            <w:pPr>
              <w:jc w:val="right"/>
              <w:ind w:right="1060"/>
              <w:spacing w:after="0"/>
              <w:rPr>
                <w:sz w:val="20"/>
                <w:szCs w:val="20"/>
                <w:color w:val="auto"/>
              </w:rPr>
            </w:pPr>
            <w:r>
              <w:rPr>
                <w:rFonts w:ascii="Arial" w:cs="Arial" w:eastAsia="Arial" w:hAnsi="Arial"/>
                <w:sz w:val="14"/>
                <w:szCs w:val="14"/>
                <w:b w:val="1"/>
                <w:bCs w:val="1"/>
                <w:color w:val="auto"/>
              </w:rPr>
              <w:t>Fair Value Measurements Using</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3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180"/>
              <w:spacing w:after="0" w:line="126" w:lineRule="exact"/>
              <w:rPr>
                <w:sz w:val="20"/>
                <w:szCs w:val="20"/>
                <w:color w:val="auto"/>
              </w:rPr>
            </w:pPr>
            <w:r>
              <w:rPr>
                <w:rFonts w:ascii="Arial" w:cs="Arial" w:eastAsia="Arial" w:hAnsi="Arial"/>
                <w:sz w:val="14"/>
                <w:szCs w:val="14"/>
                <w:b w:val="1"/>
                <w:bCs w:val="1"/>
                <w:color w:val="auto"/>
                <w:w w:val="90"/>
              </w:rPr>
              <w:t>Quoted Prices</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and Liabilities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320" w:type="dxa"/>
            <w:vAlign w:val="bottom"/>
          </w:tcPr>
          <w:p>
            <w:pPr>
              <w:spacing w:after="0"/>
              <w:rPr>
                <w:sz w:val="20"/>
                <w:szCs w:val="20"/>
                <w:color w:val="auto"/>
              </w:rPr>
            </w:pPr>
            <w:r>
              <w:rPr>
                <w:rFonts w:ascii="Arial" w:cs="Arial" w:eastAsia="Arial" w:hAnsi="Arial"/>
                <w:sz w:val="14"/>
                <w:szCs w:val="14"/>
                <w:b w:val="1"/>
                <w:bCs w:val="1"/>
                <w:color w:val="auto"/>
              </w:rPr>
              <w:t>Financial assets:</w:t>
            </w:r>
          </w:p>
        </w:tc>
        <w:tc>
          <w:tcPr>
            <w:tcW w:w="17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320" w:type="dxa"/>
            <w:vAlign w:val="bottom"/>
          </w:tcPr>
          <w:p>
            <w:pPr>
              <w:spacing w:after="0"/>
              <w:rPr>
                <w:sz w:val="20"/>
                <w:szCs w:val="20"/>
                <w:color w:val="auto"/>
              </w:rPr>
            </w:pPr>
            <w:r>
              <w:rPr>
                <w:rFonts w:ascii="Arial" w:cs="Arial" w:eastAsia="Arial" w:hAnsi="Arial"/>
                <w:sz w:val="14"/>
                <w:szCs w:val="14"/>
                <w:color w:val="auto"/>
              </w:rPr>
              <w:t>Commodity derivatives:</w:t>
            </w: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Value before application of CME Rule 814</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343.7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397.2</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4"/>
                <w:szCs w:val="14"/>
                <w:color w:val="auto"/>
              </w:rPr>
              <w:t>Impact of CME Rule 814 change</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(47.0)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(222.4)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(269.4)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commodity derivatives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127.8</w:t>
            </w:r>
          </w:p>
        </w:tc>
        <w:tc>
          <w:tcPr>
            <w:tcW w:w="0" w:type="dxa"/>
            <w:vAlign w:val="bottom"/>
          </w:tcPr>
          <w:p>
            <w:pPr>
              <w:spacing w:after="0"/>
              <w:rPr>
                <w:sz w:val="1"/>
                <w:szCs w:val="1"/>
                <w:color w:val="auto"/>
              </w:rPr>
            </w:pPr>
          </w:p>
        </w:tc>
      </w:tr>
      <w:tr>
        <w:trPr>
          <w:trHeight w:val="27"/>
        </w:trPr>
        <w:tc>
          <w:tcPr>
            <w:tcW w:w="43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tcPr>
          <w:p>
            <w:pPr>
              <w:ind w:left="200"/>
              <w:spacing w:after="0"/>
              <w:rPr>
                <w:sz w:val="20"/>
                <w:szCs w:val="20"/>
                <w:color w:val="auto"/>
              </w:rPr>
            </w:pPr>
            <w:r>
              <w:rPr>
                <w:rFonts w:ascii="Arial" w:cs="Arial" w:eastAsia="Arial" w:hAnsi="Arial"/>
                <w:sz w:val="14"/>
                <w:szCs w:val="14"/>
                <w:color w:val="auto"/>
              </w:rPr>
              <w:t>Total</w:t>
            </w:r>
          </w:p>
        </w:tc>
        <w:tc>
          <w:tcPr>
            <w:tcW w:w="18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121.3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0.1</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127.8</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4"/>
                <w:szCs w:val="14"/>
                <w:b w:val="1"/>
                <w:bCs w:val="1"/>
                <w:color w:val="auto"/>
              </w:rPr>
              <w:t>Financial liabilities: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4"/>
                <w:szCs w:val="14"/>
                <w:color w:val="auto"/>
              </w:rPr>
              <w:t>Liquidity Option (see Note 17)</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509.6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509.6</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4"/>
                <w:szCs w:val="14"/>
                <w:color w:val="auto"/>
              </w:rPr>
              <w:t>Interest rate derivatives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4"/>
                <w:szCs w:val="14"/>
                <w:color w:val="auto"/>
              </w:rPr>
              <w:t>Commodity derivatives: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4"/>
                <w:szCs w:val="14"/>
                <w:color w:val="auto"/>
              </w:rPr>
              <w:t>Value before application of CME Rule 814</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273.6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362.0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Impact of CME Rule 814 change</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(163.9)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(245.8)</w:t>
            </w:r>
          </w:p>
        </w:tc>
        <w:tc>
          <w:tcPr>
            <w:tcW w:w="0" w:type="dxa"/>
            <w:vAlign w:val="bottom"/>
          </w:tcPr>
          <w:p>
            <w:pPr>
              <w:spacing w:after="0"/>
              <w:rPr>
                <w:sz w:val="1"/>
                <w:szCs w:val="1"/>
                <w:color w:val="auto"/>
              </w:rPr>
            </w:pPr>
          </w:p>
        </w:tc>
      </w:tr>
      <w:tr>
        <w:trPr>
          <w:trHeight w:val="27"/>
        </w:trPr>
        <w:tc>
          <w:tcPr>
            <w:tcW w:w="43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4"/>
                <w:szCs w:val="14"/>
                <w:color w:val="auto"/>
              </w:rPr>
              <w:t>Total commodity derivatives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116.2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123.2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509.9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639.3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aggregate, the fair value of our commodity hedging portfolios at December 31, 2019 was a net derivative asset of $35.2 million prior to the impact of CME Rule 814.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4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10" w:name="page211"/>
    <w:bookmarkEnd w:id="2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3"/>
              </w:rPr>
              <w:t>At December 31, 2018</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40" w:type="dxa"/>
            <w:vAlign w:val="bottom"/>
            <w:gridSpan w:val="9"/>
          </w:tcPr>
          <w:p>
            <w:pPr>
              <w:jc w:val="right"/>
              <w:ind w:right="1100"/>
              <w:spacing w:after="0"/>
              <w:rPr>
                <w:sz w:val="20"/>
                <w:szCs w:val="20"/>
                <w:color w:val="auto"/>
              </w:rPr>
            </w:pPr>
            <w:r>
              <w:rPr>
                <w:rFonts w:ascii="Arial" w:cs="Arial" w:eastAsia="Arial" w:hAnsi="Arial"/>
                <w:sz w:val="14"/>
                <w:szCs w:val="14"/>
                <w:b w:val="1"/>
                <w:bCs w:val="1"/>
                <w:color w:val="auto"/>
              </w:rPr>
              <w:t>Fair Value Measurements Using</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0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180"/>
              <w:spacing w:after="0" w:line="126" w:lineRule="exact"/>
              <w:rPr>
                <w:sz w:val="20"/>
                <w:szCs w:val="20"/>
                <w:color w:val="auto"/>
              </w:rPr>
            </w:pPr>
            <w:r>
              <w:rPr>
                <w:rFonts w:ascii="Arial" w:cs="Arial" w:eastAsia="Arial" w:hAnsi="Arial"/>
                <w:sz w:val="14"/>
                <w:szCs w:val="14"/>
                <w:b w:val="1"/>
                <w:bCs w:val="1"/>
                <w:color w:val="auto"/>
                <w:w w:val="90"/>
              </w:rPr>
              <w:t>Quoted Prices</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and Liabilities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6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080" w:type="dxa"/>
            <w:vAlign w:val="bottom"/>
          </w:tcPr>
          <w:p>
            <w:pPr>
              <w:spacing w:after="0"/>
              <w:rPr>
                <w:sz w:val="20"/>
                <w:szCs w:val="20"/>
                <w:color w:val="auto"/>
              </w:rPr>
            </w:pPr>
            <w:r>
              <w:rPr>
                <w:rFonts w:ascii="Arial" w:cs="Arial" w:eastAsia="Arial" w:hAnsi="Arial"/>
                <w:sz w:val="14"/>
                <w:szCs w:val="14"/>
                <w:b w:val="1"/>
                <w:bCs w:val="1"/>
                <w:color w:val="auto"/>
              </w:rPr>
              <w:t>Financial assets:</w:t>
            </w:r>
          </w:p>
        </w:tc>
        <w:tc>
          <w:tcPr>
            <w:tcW w:w="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080" w:type="dxa"/>
            <w:vAlign w:val="bottom"/>
          </w:tcPr>
          <w:p>
            <w:pPr>
              <w:spacing w:after="0"/>
              <w:rPr>
                <w:sz w:val="20"/>
                <w:szCs w:val="20"/>
                <w:color w:val="auto"/>
              </w:rPr>
            </w:pPr>
            <w:r>
              <w:rPr>
                <w:rFonts w:ascii="Arial" w:cs="Arial" w:eastAsia="Arial" w:hAnsi="Arial"/>
                <w:sz w:val="14"/>
                <w:szCs w:val="14"/>
                <w:color w:val="auto"/>
              </w:rPr>
              <w:t>Commodity derivatives:</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Value before application of CME Rule 814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172.3</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282.4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456.9</w:t>
            </w: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Arial" w:cs="Arial" w:eastAsia="Arial" w:hAnsi="Arial"/>
                <w:sz w:val="14"/>
                <w:szCs w:val="14"/>
                <w:color w:val="auto"/>
              </w:rPr>
              <w:t>Impact of CME Rule 814 change</w:t>
            </w: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(134.8)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(159.3)</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(295.0)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commodity derivatives</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161.9</w:t>
            </w:r>
          </w:p>
        </w:tc>
        <w:tc>
          <w:tcPr>
            <w:tcW w:w="0" w:type="dxa"/>
            <w:vAlign w:val="bottom"/>
          </w:tcPr>
          <w:p>
            <w:pPr>
              <w:spacing w:after="0"/>
              <w:rPr>
                <w:sz w:val="1"/>
                <w:szCs w:val="1"/>
                <w:color w:val="auto"/>
              </w:rPr>
            </w:pPr>
          </w:p>
        </w:tc>
      </w:tr>
      <w:tr>
        <w:trPr>
          <w:trHeight w:val="27"/>
        </w:trPr>
        <w:tc>
          <w:tcPr>
            <w:tcW w:w="60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tcPr>
          <w:p>
            <w:pPr>
              <w:ind w:left="200"/>
              <w:spacing w:after="0"/>
              <w:rPr>
                <w:sz w:val="20"/>
                <w:szCs w:val="20"/>
                <w:color w:val="auto"/>
              </w:rPr>
            </w:pPr>
            <w:r>
              <w:rPr>
                <w:rFonts w:ascii="Arial" w:cs="Arial" w:eastAsia="Arial" w:hAnsi="Arial"/>
                <w:sz w:val="14"/>
                <w:szCs w:val="14"/>
                <w:color w:val="auto"/>
              </w:rPr>
              <w:t>Total</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37.5</w:t>
            </w:r>
          </w:p>
        </w:tc>
        <w:tc>
          <w:tcPr>
            <w:tcW w:w="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123.1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1.3</w:t>
            </w: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161.9</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b w:val="1"/>
                <w:bCs w:val="1"/>
                <w:color w:val="auto"/>
              </w:rPr>
              <w:t>Financial liabilities:</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Liquidity Option (see Note 17)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390.0</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390.0</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color w:val="auto"/>
              </w:rPr>
              <w:t>Commodity derivatives:</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Value before application of CME Rule 814</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291.2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398.1</w:t>
            </w: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Arial" w:cs="Arial" w:eastAsia="Arial" w:hAnsi="Arial"/>
                <w:sz w:val="14"/>
                <w:szCs w:val="14"/>
                <w:color w:val="auto"/>
              </w:rPr>
              <w:t>Impact of CME Rule 814 change</w:t>
            </w: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(48.6)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(172.9)</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(235.7)</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commodity derivatives</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162.4</w:t>
            </w:r>
          </w:p>
        </w:tc>
        <w:tc>
          <w:tcPr>
            <w:tcW w:w="0" w:type="dxa"/>
            <w:vAlign w:val="bottom"/>
          </w:tcPr>
          <w:p>
            <w:pPr>
              <w:spacing w:after="0"/>
              <w:rPr>
                <w:sz w:val="1"/>
                <w:szCs w:val="1"/>
                <w:color w:val="auto"/>
              </w:rPr>
            </w:pPr>
          </w:p>
        </w:tc>
      </w:tr>
      <w:tr>
        <w:trPr>
          <w:trHeight w:val="27"/>
        </w:trPr>
        <w:tc>
          <w:tcPr>
            <w:tcW w:w="60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tcPr>
          <w:p>
            <w:pPr>
              <w:ind w:left="200"/>
              <w:spacing w:after="0"/>
              <w:rPr>
                <w:sz w:val="20"/>
                <w:szCs w:val="20"/>
                <w:color w:val="auto"/>
              </w:rPr>
            </w:pPr>
            <w:r>
              <w:rPr>
                <w:rFonts w:ascii="Arial" w:cs="Arial" w:eastAsia="Arial" w:hAnsi="Arial"/>
                <w:sz w:val="14"/>
                <w:szCs w:val="14"/>
                <w:color w:val="auto"/>
              </w:rPr>
              <w:t>Total</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36.9</w:t>
            </w:r>
          </w:p>
        </w:tc>
        <w:tc>
          <w:tcPr>
            <w:tcW w:w="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118.3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397.2</w:t>
            </w: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552.4</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provide quantitative information regarding our recurring Level 3 fair value measurements for commodity derivatives at the dates indicated:</w:t>
      </w:r>
    </w:p>
    <w:p>
      <w:pPr>
        <w:spacing w:after="0" w:line="189" w:lineRule="exact"/>
        <w:rPr>
          <w:sz w:val="20"/>
          <w:szCs w:val="20"/>
          <w:color w:val="auto"/>
        </w:rPr>
      </w:pPr>
    </w:p>
    <w:p>
      <w:pPr>
        <w:jc w:val="center"/>
        <w:ind w:right="4280"/>
        <w:spacing w:after="0"/>
        <w:rPr>
          <w:sz w:val="20"/>
          <w:szCs w:val="20"/>
          <w:color w:val="auto"/>
        </w:rPr>
      </w:pPr>
      <w:r>
        <w:rPr>
          <w:rFonts w:ascii="Arial" w:cs="Arial" w:eastAsia="Arial" w:hAnsi="Arial"/>
          <w:sz w:val="14"/>
          <w:szCs w:val="14"/>
          <w:b w:val="1"/>
          <w:bCs w:val="1"/>
          <w:color w:val="auto"/>
        </w:rPr>
        <w:t>Fair Value At</w:t>
      </w:r>
    </w:p>
    <w:p>
      <w:pPr>
        <w:jc w:val="center"/>
        <w:ind w:right="4280"/>
        <w:spacing w:after="0" w:line="236" w:lineRule="auto"/>
        <w:rPr>
          <w:sz w:val="20"/>
          <w:szCs w:val="20"/>
          <w:color w:val="auto"/>
        </w:rPr>
      </w:pPr>
      <w:r>
        <w:rPr>
          <w:rFonts w:ascii="Arial" w:cs="Arial" w:eastAsia="Arial" w:hAnsi="Arial"/>
          <w:sz w:val="14"/>
          <w:szCs w:val="14"/>
          <w:b w:val="1"/>
          <w:bCs w:val="1"/>
          <w:color w:val="auto"/>
        </w:rPr>
        <w:t>December 31,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300" w:type="dxa"/>
            <w:vAlign w:val="bottom"/>
          </w:tcPr>
          <w:p>
            <w:pPr>
              <w:spacing w:after="0"/>
              <w:rPr>
                <w:sz w:val="11"/>
                <w:szCs w:val="11"/>
                <w:color w:val="auto"/>
              </w:rPr>
            </w:pPr>
          </w:p>
        </w:tc>
        <w:tc>
          <w:tcPr>
            <w:tcW w:w="920" w:type="dxa"/>
            <w:vAlign w:val="bottom"/>
            <w:tcBorders>
              <w:top w:val="single" w:sz="8" w:color="auto"/>
            </w:tcBorders>
          </w:tcPr>
          <w:p>
            <w:pPr>
              <w:jc w:val="center"/>
              <w:ind w:left="188"/>
              <w:spacing w:after="0" w:line="133" w:lineRule="exact"/>
              <w:rPr>
                <w:sz w:val="20"/>
                <w:szCs w:val="20"/>
                <w:color w:val="auto"/>
              </w:rPr>
            </w:pPr>
            <w:r>
              <w:rPr>
                <w:rFonts w:ascii="Arial" w:cs="Arial" w:eastAsia="Arial" w:hAnsi="Arial"/>
                <w:sz w:val="14"/>
                <w:szCs w:val="14"/>
                <w:b w:val="1"/>
                <w:bCs w:val="1"/>
                <w:color w:val="auto"/>
                <w:w w:val="95"/>
              </w:rPr>
              <w:t>Financial</w:t>
            </w: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left="178"/>
              <w:spacing w:after="0" w:line="133" w:lineRule="exact"/>
              <w:rPr>
                <w:sz w:val="20"/>
                <w:szCs w:val="20"/>
                <w:color w:val="auto"/>
              </w:rPr>
            </w:pPr>
            <w:r>
              <w:rPr>
                <w:rFonts w:ascii="Arial" w:cs="Arial" w:eastAsia="Arial" w:hAnsi="Arial"/>
                <w:sz w:val="14"/>
                <w:szCs w:val="14"/>
                <w:b w:val="1"/>
                <w:bCs w:val="1"/>
                <w:color w:val="auto"/>
                <w:w w:val="95"/>
              </w:rPr>
              <w:t>Financial</w:t>
            </w:r>
          </w:p>
        </w:tc>
        <w:tc>
          <w:tcPr>
            <w:tcW w:w="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jc w:val="center"/>
              <w:ind w:left="8"/>
              <w:spacing w:after="0" w:line="133" w:lineRule="exact"/>
              <w:rPr>
                <w:sz w:val="20"/>
                <w:szCs w:val="20"/>
                <w:color w:val="auto"/>
              </w:rPr>
            </w:pPr>
            <w:r>
              <w:rPr>
                <w:rFonts w:ascii="Arial" w:cs="Arial" w:eastAsia="Arial" w:hAnsi="Arial"/>
                <w:sz w:val="14"/>
                <w:szCs w:val="14"/>
                <w:b w:val="1"/>
                <w:bCs w:val="1"/>
                <w:color w:val="auto"/>
                <w:w w:val="95"/>
              </w:rPr>
              <w:t>Valuation</w:t>
            </w: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Unobservable Input</w:t>
            </w:r>
          </w:p>
        </w:tc>
        <w:tc>
          <w:tcPr>
            <w:tcW w:w="20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178"/>
        </w:trPr>
        <w:tc>
          <w:tcPr>
            <w:tcW w:w="2300" w:type="dxa"/>
            <w:vAlign w:val="bottom"/>
          </w:tcPr>
          <w:p>
            <w:pPr>
              <w:spacing w:after="0"/>
              <w:rPr>
                <w:sz w:val="15"/>
                <w:szCs w:val="15"/>
                <w:color w:val="auto"/>
              </w:rPr>
            </w:pPr>
          </w:p>
        </w:tc>
        <w:tc>
          <w:tcPr>
            <w:tcW w:w="92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82"/>
              </w:rPr>
              <w:t>Assets</w:t>
            </w: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ind w:left="178"/>
              <w:spacing w:after="0"/>
              <w:rPr>
                <w:sz w:val="20"/>
                <w:szCs w:val="20"/>
                <w:color w:val="auto"/>
              </w:rPr>
            </w:pPr>
            <w:r>
              <w:rPr>
                <w:rFonts w:ascii="Arial" w:cs="Arial" w:eastAsia="Arial" w:hAnsi="Arial"/>
                <w:sz w:val="14"/>
                <w:szCs w:val="14"/>
                <w:b w:val="1"/>
                <w:bCs w:val="1"/>
                <w:color w:val="auto"/>
                <w:w w:val="95"/>
              </w:rPr>
              <w:t>Liabilities</w:t>
            </w: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7"/>
              </w:rPr>
              <w:t>Techniques</w:t>
            </w:r>
          </w:p>
        </w:tc>
        <w:tc>
          <w:tcPr>
            <w:tcW w:w="2320" w:type="dxa"/>
            <w:vAlign w:val="bottom"/>
            <w:tcBorders>
              <w:bottom w:val="single" w:sz="8" w:color="auto"/>
            </w:tcBorders>
            <w:vMerge w:val="continue"/>
          </w:tcPr>
          <w:p>
            <w:pPr>
              <w:spacing w:after="0"/>
              <w:rPr>
                <w:sz w:val="15"/>
                <w:szCs w:val="15"/>
                <w:color w:val="auto"/>
              </w:rPr>
            </w:pPr>
          </w:p>
        </w:tc>
        <w:tc>
          <w:tcPr>
            <w:tcW w:w="2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Commodity derivatives – Crude oil</w:t>
            </w:r>
          </w:p>
        </w:tc>
        <w:tc>
          <w:tcPr>
            <w:tcW w:w="92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w w:val="76"/>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78"/>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0.3</w:t>
            </w:r>
          </w:p>
        </w:tc>
        <w:tc>
          <w:tcPr>
            <w:tcW w:w="20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3"/>
              </w:rPr>
              <w:t>Discounted cash flow</w:t>
            </w:r>
          </w:p>
        </w:tc>
        <w:tc>
          <w:tcPr>
            <w:tcW w:w="2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Forward commodity prices</w:t>
            </w:r>
          </w:p>
        </w:tc>
        <w:tc>
          <w:tcPr>
            <w:tcW w:w="208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2"/>
              </w:rPr>
              <w:t>$61.05-$62.14/barrel</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4"/>
                <w:szCs w:val="14"/>
                <w:color w:val="auto"/>
              </w:rPr>
              <w:t>Total</w:t>
            </w: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8"/>
                <w:szCs w:val="18"/>
                <w:color w:val="auto"/>
              </w:rPr>
            </w:pPr>
          </w:p>
        </w:tc>
        <w:tc>
          <w:tcPr>
            <w:tcW w:w="900" w:type="dxa"/>
            <w:vAlign w:val="bottom"/>
          </w:tcPr>
          <w:p>
            <w:pPr>
              <w:jc w:val="right"/>
              <w:ind w:right="778"/>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0.3</w:t>
            </w:r>
          </w:p>
        </w:tc>
        <w:tc>
          <w:tcPr>
            <w:tcW w:w="20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2"/>
        </w:trPr>
        <w:tc>
          <w:tcPr>
            <w:tcW w:w="2300" w:type="dxa"/>
            <w:vAlign w:val="bottom"/>
          </w:tcPr>
          <w:p>
            <w:pPr>
              <w:spacing w:after="0"/>
              <w:rPr>
                <w:sz w:val="24"/>
                <w:szCs w:val="24"/>
                <w:color w:val="auto"/>
              </w:rPr>
            </w:pPr>
          </w:p>
        </w:tc>
        <w:tc>
          <w:tcPr>
            <w:tcW w:w="2300" w:type="dxa"/>
            <w:vAlign w:val="bottom"/>
            <w:gridSpan w:val="4"/>
          </w:tcPr>
          <w:p>
            <w:pPr>
              <w:jc w:val="right"/>
              <w:ind w:right="558"/>
              <w:spacing w:after="0"/>
              <w:rPr>
                <w:sz w:val="20"/>
                <w:szCs w:val="20"/>
                <w:color w:val="auto"/>
              </w:rPr>
            </w:pPr>
            <w:r>
              <w:rPr>
                <w:rFonts w:ascii="Arial" w:cs="Arial" w:eastAsia="Arial" w:hAnsi="Arial"/>
                <w:sz w:val="14"/>
                <w:szCs w:val="14"/>
                <w:b w:val="1"/>
                <w:bCs w:val="1"/>
                <w:color w:val="auto"/>
              </w:rPr>
              <w:t>Fair Value At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300" w:type="dxa"/>
            <w:vAlign w:val="bottom"/>
          </w:tcPr>
          <w:p>
            <w:pPr>
              <w:spacing w:after="0"/>
              <w:rPr>
                <w:sz w:val="15"/>
                <w:szCs w:val="15"/>
                <w:color w:val="auto"/>
              </w:rPr>
            </w:pPr>
          </w:p>
        </w:tc>
        <w:tc>
          <w:tcPr>
            <w:tcW w:w="2300" w:type="dxa"/>
            <w:vAlign w:val="bottom"/>
            <w:tcBorders>
              <w:bottom w:val="single" w:sz="8" w:color="auto"/>
            </w:tcBorders>
            <w:gridSpan w:val="4"/>
          </w:tcPr>
          <w:p>
            <w:pPr>
              <w:jc w:val="right"/>
              <w:ind w:right="398"/>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5"/>
              </w:rPr>
              <w:t>Valuation</w:t>
            </w:r>
          </w:p>
        </w:tc>
        <w:tc>
          <w:tcPr>
            <w:tcW w:w="23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rPr>
                <w:sz w:val="10"/>
                <w:szCs w:val="10"/>
                <w:color w:val="auto"/>
              </w:rPr>
            </w:pPr>
          </w:p>
        </w:tc>
        <w:tc>
          <w:tcPr>
            <w:tcW w:w="920" w:type="dxa"/>
            <w:vAlign w:val="bottom"/>
          </w:tcPr>
          <w:p>
            <w:pPr>
              <w:jc w:val="center"/>
              <w:ind w:left="188"/>
              <w:spacing w:after="0" w:line="126" w:lineRule="exact"/>
              <w:rPr>
                <w:sz w:val="20"/>
                <w:szCs w:val="20"/>
                <w:color w:val="auto"/>
              </w:rPr>
            </w:pPr>
            <w:r>
              <w:rPr>
                <w:rFonts w:ascii="Arial" w:cs="Arial" w:eastAsia="Arial" w:hAnsi="Arial"/>
                <w:sz w:val="14"/>
                <w:szCs w:val="14"/>
                <w:b w:val="1"/>
                <w:bCs w:val="1"/>
                <w:color w:val="auto"/>
                <w:w w:val="95"/>
              </w:rPr>
              <w:t>Financial</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ind w:left="178"/>
              <w:spacing w:after="0" w:line="126" w:lineRule="exact"/>
              <w:rPr>
                <w:sz w:val="20"/>
                <w:szCs w:val="20"/>
                <w:color w:val="auto"/>
              </w:rPr>
            </w:pPr>
            <w:r>
              <w:rPr>
                <w:rFonts w:ascii="Arial" w:cs="Arial" w:eastAsia="Arial" w:hAnsi="Arial"/>
                <w:sz w:val="14"/>
                <w:szCs w:val="14"/>
                <w:b w:val="1"/>
                <w:bCs w:val="1"/>
                <w:color w:val="auto"/>
                <w:w w:val="95"/>
              </w:rPr>
              <w:t>Financial</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Unobservable Input</w:t>
            </w:r>
          </w:p>
        </w:tc>
        <w:tc>
          <w:tcPr>
            <w:tcW w:w="20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178"/>
        </w:trPr>
        <w:tc>
          <w:tcPr>
            <w:tcW w:w="2300" w:type="dxa"/>
            <w:vAlign w:val="bottom"/>
          </w:tcPr>
          <w:p>
            <w:pPr>
              <w:spacing w:after="0"/>
              <w:rPr>
                <w:sz w:val="15"/>
                <w:szCs w:val="15"/>
                <w:color w:val="auto"/>
              </w:rPr>
            </w:pPr>
          </w:p>
        </w:tc>
        <w:tc>
          <w:tcPr>
            <w:tcW w:w="92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82"/>
              </w:rPr>
              <w:t>Assets</w:t>
            </w: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ind w:left="178"/>
              <w:spacing w:after="0"/>
              <w:rPr>
                <w:sz w:val="20"/>
                <w:szCs w:val="20"/>
                <w:color w:val="auto"/>
              </w:rPr>
            </w:pPr>
            <w:r>
              <w:rPr>
                <w:rFonts w:ascii="Arial" w:cs="Arial" w:eastAsia="Arial" w:hAnsi="Arial"/>
                <w:sz w:val="14"/>
                <w:szCs w:val="14"/>
                <w:b w:val="1"/>
                <w:bCs w:val="1"/>
                <w:color w:val="auto"/>
                <w:w w:val="95"/>
              </w:rPr>
              <w:t>Liabilities</w:t>
            </w: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7"/>
              </w:rPr>
              <w:t>Techniques</w:t>
            </w:r>
          </w:p>
        </w:tc>
        <w:tc>
          <w:tcPr>
            <w:tcW w:w="2320" w:type="dxa"/>
            <w:vAlign w:val="bottom"/>
            <w:tcBorders>
              <w:bottom w:val="single" w:sz="8" w:color="auto"/>
            </w:tcBorders>
            <w:vMerge w:val="continue"/>
          </w:tcPr>
          <w:p>
            <w:pPr>
              <w:spacing w:after="0"/>
              <w:rPr>
                <w:sz w:val="15"/>
                <w:szCs w:val="15"/>
                <w:color w:val="auto"/>
              </w:rPr>
            </w:pPr>
          </w:p>
        </w:tc>
        <w:tc>
          <w:tcPr>
            <w:tcW w:w="2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Commodity derivatives – Crude oil</w:t>
            </w:r>
          </w:p>
        </w:tc>
        <w:tc>
          <w:tcPr>
            <w:tcW w:w="92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w w:val="76"/>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78"/>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0.8</w:t>
            </w:r>
          </w:p>
        </w:tc>
        <w:tc>
          <w:tcPr>
            <w:tcW w:w="20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3"/>
              </w:rPr>
              <w:t>Discounted cash flow</w:t>
            </w:r>
          </w:p>
        </w:tc>
        <w:tc>
          <w:tcPr>
            <w:tcW w:w="2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Forward commodity prices</w:t>
            </w:r>
          </w:p>
        </w:tc>
        <w:tc>
          <w:tcPr>
            <w:tcW w:w="208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2"/>
              </w:rPr>
              <w:t>$37.59-$51.99/barrel</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4"/>
                <w:szCs w:val="14"/>
                <w:color w:val="auto"/>
              </w:rPr>
              <w:t>Commodity derivatives – Ethane</w:t>
            </w:r>
          </w:p>
        </w:tc>
        <w:tc>
          <w:tcPr>
            <w:tcW w:w="9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0.4</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0.6</w:t>
            </w:r>
          </w:p>
        </w:tc>
        <w:tc>
          <w:tcPr>
            <w:tcW w:w="2080" w:type="dxa"/>
            <w:vAlign w:val="bottom"/>
          </w:tcPr>
          <w:p>
            <w:pPr>
              <w:jc w:val="center"/>
              <w:ind w:left="8"/>
              <w:spacing w:after="0"/>
              <w:rPr>
                <w:sz w:val="20"/>
                <w:szCs w:val="20"/>
                <w:color w:val="auto"/>
              </w:rPr>
            </w:pPr>
            <w:r>
              <w:rPr>
                <w:rFonts w:ascii="Arial" w:cs="Arial" w:eastAsia="Arial" w:hAnsi="Arial"/>
                <w:sz w:val="14"/>
                <w:szCs w:val="14"/>
                <w:color w:val="auto"/>
                <w:w w:val="93"/>
              </w:rPr>
              <w:t>Discounted cash flow</w:t>
            </w:r>
          </w:p>
        </w:tc>
        <w:tc>
          <w:tcPr>
            <w:tcW w:w="2320" w:type="dxa"/>
            <w:vAlign w:val="bottom"/>
          </w:tcPr>
          <w:p>
            <w:pPr>
              <w:jc w:val="center"/>
              <w:spacing w:after="0"/>
              <w:rPr>
                <w:sz w:val="20"/>
                <w:szCs w:val="20"/>
                <w:color w:val="auto"/>
              </w:rPr>
            </w:pPr>
            <w:r>
              <w:rPr>
                <w:rFonts w:ascii="Arial" w:cs="Arial" w:eastAsia="Arial" w:hAnsi="Arial"/>
                <w:sz w:val="14"/>
                <w:szCs w:val="14"/>
                <w:color w:val="auto"/>
                <w:w w:val="95"/>
              </w:rPr>
              <w:t>Forward commodity prices</w:t>
            </w:r>
          </w:p>
        </w:tc>
        <w:tc>
          <w:tcPr>
            <w:tcW w:w="2080" w:type="dxa"/>
            <w:vAlign w:val="bottom"/>
          </w:tcPr>
          <w:p>
            <w:pPr>
              <w:jc w:val="center"/>
              <w:ind w:right="8"/>
              <w:spacing w:after="0"/>
              <w:rPr>
                <w:sz w:val="20"/>
                <w:szCs w:val="20"/>
                <w:color w:val="auto"/>
              </w:rPr>
            </w:pPr>
            <w:r>
              <w:rPr>
                <w:rFonts w:ascii="Arial" w:cs="Arial" w:eastAsia="Arial" w:hAnsi="Arial"/>
                <w:sz w:val="14"/>
                <w:szCs w:val="14"/>
                <w:color w:val="auto"/>
                <w:w w:val="93"/>
              </w:rPr>
              <w:t>$0.28-$0.31/gallon</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Commodity derivatives – Propane</w:t>
            </w:r>
          </w:p>
        </w:tc>
        <w:tc>
          <w:tcPr>
            <w:tcW w:w="9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w:t>
            </w:r>
          </w:p>
        </w:tc>
        <w:tc>
          <w:tcPr>
            <w:tcW w:w="20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3"/>
              </w:rPr>
              <w:t>Discounted cash flow</w:t>
            </w:r>
          </w:p>
        </w:tc>
        <w:tc>
          <w:tcPr>
            <w:tcW w:w="2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Forward commodity prices</w:t>
            </w:r>
          </w:p>
        </w:tc>
        <w:tc>
          <w:tcPr>
            <w:tcW w:w="208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3"/>
              </w:rPr>
              <w:t>$0.61-$0.66/gallon</w:t>
            </w:r>
          </w:p>
        </w:tc>
        <w:tc>
          <w:tcPr>
            <w:tcW w:w="0" w:type="dxa"/>
            <w:vAlign w:val="bottom"/>
          </w:tcPr>
          <w:p>
            <w:pPr>
              <w:spacing w:after="0"/>
              <w:rPr>
                <w:sz w:val="1"/>
                <w:szCs w:val="1"/>
                <w:color w:val="auto"/>
              </w:rPr>
            </w:pP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color w:val="auto"/>
              </w:rPr>
              <w:t>Commodity derivatives – Normal</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tcPr>
          <w:p>
            <w:pPr>
              <w:ind w:left="180"/>
              <w:spacing w:after="0"/>
              <w:rPr>
                <w:sz w:val="20"/>
                <w:szCs w:val="20"/>
                <w:color w:val="auto"/>
              </w:rPr>
            </w:pPr>
            <w:r>
              <w:rPr>
                <w:rFonts w:ascii="Arial" w:cs="Arial" w:eastAsia="Arial" w:hAnsi="Arial"/>
                <w:sz w:val="14"/>
                <w:szCs w:val="14"/>
                <w:color w:val="auto"/>
              </w:rPr>
              <w:t>butane</w:t>
            </w:r>
          </w:p>
        </w:tc>
        <w:tc>
          <w:tcPr>
            <w:tcW w:w="920" w:type="dxa"/>
            <w:vAlign w:val="bottom"/>
          </w:tcPr>
          <w:p>
            <w:pPr>
              <w:spacing w:after="0"/>
              <w:rPr>
                <w:sz w:val="14"/>
                <w:szCs w:val="14"/>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0.7</w:t>
            </w:r>
          </w:p>
        </w:tc>
        <w:tc>
          <w:tcPr>
            <w:tcW w:w="2080" w:type="dxa"/>
            <w:vAlign w:val="bottom"/>
          </w:tcPr>
          <w:p>
            <w:pPr>
              <w:jc w:val="center"/>
              <w:ind w:left="8"/>
              <w:spacing w:after="0"/>
              <w:rPr>
                <w:sz w:val="20"/>
                <w:szCs w:val="20"/>
                <w:color w:val="auto"/>
              </w:rPr>
            </w:pPr>
            <w:r>
              <w:rPr>
                <w:rFonts w:ascii="Arial" w:cs="Arial" w:eastAsia="Arial" w:hAnsi="Arial"/>
                <w:sz w:val="14"/>
                <w:szCs w:val="14"/>
                <w:color w:val="auto"/>
                <w:w w:val="93"/>
              </w:rPr>
              <w:t>Discounted cash flow</w:t>
            </w:r>
          </w:p>
        </w:tc>
        <w:tc>
          <w:tcPr>
            <w:tcW w:w="2320" w:type="dxa"/>
            <w:vAlign w:val="bottom"/>
          </w:tcPr>
          <w:p>
            <w:pPr>
              <w:jc w:val="center"/>
              <w:spacing w:after="0"/>
              <w:rPr>
                <w:sz w:val="20"/>
                <w:szCs w:val="20"/>
                <w:color w:val="auto"/>
              </w:rPr>
            </w:pPr>
            <w:r>
              <w:rPr>
                <w:rFonts w:ascii="Arial" w:cs="Arial" w:eastAsia="Arial" w:hAnsi="Arial"/>
                <w:sz w:val="14"/>
                <w:szCs w:val="14"/>
                <w:color w:val="auto"/>
                <w:w w:val="95"/>
              </w:rPr>
              <w:t>Forward commodity prices</w:t>
            </w:r>
          </w:p>
        </w:tc>
        <w:tc>
          <w:tcPr>
            <w:tcW w:w="2080" w:type="dxa"/>
            <w:vAlign w:val="bottom"/>
          </w:tcPr>
          <w:p>
            <w:pPr>
              <w:jc w:val="center"/>
              <w:ind w:right="8"/>
              <w:spacing w:after="0"/>
              <w:rPr>
                <w:sz w:val="20"/>
                <w:szCs w:val="20"/>
                <w:color w:val="auto"/>
              </w:rPr>
            </w:pPr>
            <w:r>
              <w:rPr>
                <w:rFonts w:ascii="Arial" w:cs="Arial" w:eastAsia="Arial" w:hAnsi="Arial"/>
                <w:sz w:val="14"/>
                <w:szCs w:val="14"/>
                <w:color w:val="auto"/>
                <w:w w:val="93"/>
              </w:rPr>
              <w:t>$0.66-$0.72/gallon</w:t>
            </w:r>
          </w:p>
        </w:tc>
        <w:tc>
          <w:tcPr>
            <w:tcW w:w="0" w:type="dxa"/>
            <w:vAlign w:val="bottom"/>
          </w:tcPr>
          <w:p>
            <w:pPr>
              <w:spacing w:after="0"/>
              <w:rPr>
                <w:sz w:val="1"/>
                <w:szCs w:val="1"/>
                <w:color w:val="auto"/>
              </w:rPr>
            </w:pPr>
          </w:p>
        </w:tc>
      </w:tr>
      <w:tr>
        <w:trPr>
          <w:trHeight w:val="130"/>
        </w:trPr>
        <w:tc>
          <w:tcPr>
            <w:tcW w:w="2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Commodity derivatives – Natural</w:t>
            </w:r>
          </w:p>
        </w:tc>
        <w:tc>
          <w:tcPr>
            <w:tcW w:w="9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gasoline</w:t>
            </w:r>
          </w:p>
        </w:tc>
        <w:tc>
          <w:tcPr>
            <w:tcW w:w="9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w:t>
            </w:r>
          </w:p>
        </w:tc>
        <w:tc>
          <w:tcPr>
            <w:tcW w:w="20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3"/>
              </w:rPr>
              <w:t>Discounted cash flow</w:t>
            </w:r>
          </w:p>
        </w:tc>
        <w:tc>
          <w:tcPr>
            <w:tcW w:w="2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Forward commodity prices</w:t>
            </w:r>
          </w:p>
        </w:tc>
        <w:tc>
          <w:tcPr>
            <w:tcW w:w="208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3"/>
              </w:rPr>
              <w:t>$0.99-$1.01/gallon</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4"/>
                <w:szCs w:val="14"/>
                <w:color w:val="auto"/>
              </w:rPr>
              <w:t>Total</w:t>
            </w: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8"/>
                <w:szCs w:val="18"/>
                <w:color w:val="auto"/>
              </w:rPr>
            </w:pPr>
          </w:p>
        </w:tc>
        <w:tc>
          <w:tcPr>
            <w:tcW w:w="900" w:type="dxa"/>
            <w:vAlign w:val="bottom"/>
          </w:tcPr>
          <w:p>
            <w:pPr>
              <w:jc w:val="right"/>
              <w:ind w:right="778"/>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7.2</w:t>
            </w:r>
          </w:p>
        </w:tc>
        <w:tc>
          <w:tcPr>
            <w:tcW w:w="20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commodity derivatives, we believe forward commodity prices are the most significant unobservable inputs in determining our Level 3 recurring fair value measurements at December 31, 2019. In general, changes in the price of the underlying commodity increases or decreases the fair value of a commodity derivative depending on whether the derivative was purchased or sold. We generally expect changes in the fair value of our derivative instruments to be offset by corresponding changes in the fair value of our hedged exposures.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recurring fair value measurement pertaining to the Liquidity Option is based on a number of Level 3 inputs. See Note 17 for a discussion of this liability.</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4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11" w:name="page212"/>
    <w:bookmarkEnd w:id="2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a reconciliation of changes in the fair values of our recurring Level 3 financial assets and liabilities on a combined basis for the years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60" w:type="dxa"/>
            <w:vAlign w:val="bottom"/>
          </w:tcPr>
          <w:p>
            <w:pPr>
              <w:spacing w:after="0"/>
              <w:rPr>
                <w:sz w:val="20"/>
                <w:szCs w:val="20"/>
                <w:color w:val="auto"/>
              </w:rPr>
            </w:pPr>
            <w:r>
              <w:rPr>
                <w:rFonts w:ascii="Arial" w:cs="Arial" w:eastAsia="Arial" w:hAnsi="Arial"/>
                <w:sz w:val="14"/>
                <w:szCs w:val="14"/>
                <w:color w:val="FFFFFF"/>
              </w:rPr>
              <w:t>test</w:t>
            </w:r>
          </w:p>
        </w:tc>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right"/>
              <w:ind w:right="128"/>
              <w:spacing w:after="0"/>
              <w:rPr>
                <w:sz w:val="20"/>
                <w:szCs w:val="20"/>
                <w:color w:val="auto"/>
              </w:rPr>
            </w:pPr>
            <w:r>
              <w:rPr>
                <w:rFonts w:ascii="Arial" w:cs="Arial" w:eastAsia="Arial" w:hAnsi="Arial"/>
                <w:sz w:val="14"/>
                <w:szCs w:val="14"/>
                <w:b w:val="1"/>
                <w:bCs w:val="1"/>
                <w:color w:val="auto"/>
                <w:w w:val="95"/>
              </w:rPr>
              <w:t>For the Year Ended December 31,</w:t>
            </w:r>
          </w:p>
        </w:tc>
        <w:tc>
          <w:tcPr>
            <w:tcW w:w="100" w:type="dxa"/>
            <w:vAlign w:val="bottom"/>
          </w:tcPr>
          <w:p>
            <w:pPr>
              <w:spacing w:after="0"/>
              <w:rPr>
                <w:sz w:val="15"/>
                <w:szCs w:val="15"/>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4"/>
                <w:szCs w:val="14"/>
                <w:color w:val="FFFFFF"/>
              </w:rPr>
              <w:t>test</w:t>
            </w:r>
          </w:p>
        </w:tc>
        <w:tc>
          <w:tcPr>
            <w:tcW w:w="434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Financial asset (liability) balance, net, January 1</w:t>
            </w:r>
          </w:p>
        </w:tc>
        <w:tc>
          <w:tcPr>
            <w:tcW w:w="4600" w:type="dxa"/>
            <w:vAlign w:val="bottom"/>
            <w:gridSpan w:val="3"/>
            <w:shd w:val="clear" w:color="auto" w:fill="CCEEFF"/>
          </w:tcPr>
          <w:p>
            <w:pPr>
              <w:ind w:left="44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(395.9)</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(332.7)</w:t>
            </w:r>
          </w:p>
        </w:tc>
      </w:tr>
      <w:tr>
        <w:trPr>
          <w:trHeight w:val="216"/>
        </w:trPr>
        <w:tc>
          <w:tcPr>
            <w:tcW w:w="4360" w:type="dxa"/>
            <w:vAlign w:val="bottom"/>
          </w:tcPr>
          <w:p>
            <w:pPr>
              <w:spacing w:after="0"/>
              <w:rPr>
                <w:sz w:val="20"/>
                <w:szCs w:val="20"/>
                <w:color w:val="auto"/>
              </w:rPr>
            </w:pPr>
            <w:r>
              <w:rPr>
                <w:rFonts w:ascii="Arial" w:cs="Arial" w:eastAsia="Arial" w:hAnsi="Arial"/>
                <w:sz w:val="14"/>
                <w:szCs w:val="14"/>
                <w:color w:val="auto"/>
              </w:rPr>
              <w:t>Total gains (losses) included in:</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(1)</w:t>
            </w:r>
          </w:p>
        </w:tc>
        <w:tc>
          <w:tcPr>
            <w:tcW w:w="46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Revenue</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0.7</w:t>
            </w:r>
          </w:p>
        </w:tc>
      </w:tr>
      <w:tr>
        <w:trPr>
          <w:trHeight w:val="216"/>
        </w:trPr>
        <w:tc>
          <w:tcPr>
            <w:tcW w:w="43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4600" w:type="dxa"/>
            <w:vAlign w:val="bottom"/>
            <w:gridSpan w:val="3"/>
          </w:tcPr>
          <w:p>
            <w:pPr>
              <w:spacing w:after="0"/>
              <w:rPr>
                <w:sz w:val="20"/>
                <w:szCs w:val="20"/>
                <w:color w:val="auto"/>
              </w:rPr>
            </w:pPr>
            <w:r>
              <w:rPr>
                <w:rFonts w:ascii="Arial" w:cs="Arial" w:eastAsia="Arial" w:hAnsi="Arial"/>
                <w:sz w:val="14"/>
                <w:szCs w:val="14"/>
                <w:color w:val="auto"/>
              </w:rPr>
              <w:t>Other expense, net – Liquidity Option</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(119.6)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(56.1)</w:t>
            </w:r>
          </w:p>
        </w:tc>
      </w:tr>
      <w:tr>
        <w:trPr>
          <w:trHeight w:val="130"/>
        </w:trPr>
        <w:tc>
          <w:tcPr>
            <w:tcW w:w="4360" w:type="dxa"/>
            <w:vAlign w:val="bottom"/>
            <w:shd w:val="clear" w:color="auto" w:fill="CCEEFF"/>
          </w:tcPr>
          <w:p>
            <w:pPr>
              <w:spacing w:after="0"/>
              <w:rPr>
                <w:sz w:val="11"/>
                <w:szCs w:val="11"/>
                <w:color w:val="auto"/>
              </w:rPr>
            </w:pPr>
          </w:p>
        </w:tc>
        <w:tc>
          <w:tcPr>
            <w:tcW w:w="46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Commodity derivative instruments – changes in fair value of cash flow</w:t>
            </w: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 (loss)</w:t>
            </w:r>
          </w:p>
        </w:tc>
        <w:tc>
          <w:tcPr>
            <w:tcW w:w="460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hedges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w:t>
            </w:r>
          </w:p>
        </w:tc>
      </w:tr>
      <w:tr>
        <w:trPr>
          <w:trHeight w:val="216"/>
        </w:trPr>
        <w:tc>
          <w:tcPr>
            <w:tcW w:w="4360" w:type="dxa"/>
            <w:vAlign w:val="bottom"/>
          </w:tcPr>
          <w:p>
            <w:pPr>
              <w:spacing w:after="0"/>
              <w:rPr>
                <w:sz w:val="20"/>
                <w:szCs w:val="20"/>
                <w:color w:val="auto"/>
              </w:rPr>
            </w:pPr>
            <w:r>
              <w:rPr>
                <w:rFonts w:ascii="Arial" w:cs="Arial" w:eastAsia="Arial" w:hAnsi="Arial"/>
                <w:sz w:val="14"/>
                <w:szCs w:val="14"/>
                <w:color w:val="auto"/>
              </w:rPr>
              <w:t>Settlements (1)</w:t>
            </w:r>
          </w:p>
        </w:tc>
        <w:tc>
          <w:tcPr>
            <w:tcW w:w="460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(1.9)</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4"/>
                <w:szCs w:val="14"/>
                <w:color w:val="auto"/>
              </w:rPr>
              <w:t>Transfers out of Level 3 (2)</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w:t>
            </w:r>
          </w:p>
        </w:tc>
      </w:tr>
      <w:tr>
        <w:trPr>
          <w:trHeight w:val="27"/>
        </w:trPr>
        <w:tc>
          <w:tcPr>
            <w:tcW w:w="436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4"/>
                <w:szCs w:val="14"/>
                <w:b w:val="1"/>
                <w:bCs w:val="1"/>
                <w:color w:val="auto"/>
              </w:rPr>
              <w:t xml:space="preserve">Financial liability balance, net, December 31 </w:t>
            </w:r>
            <w:r>
              <w:rPr>
                <w:rFonts w:ascii="Arial" w:cs="Arial" w:eastAsia="Arial" w:hAnsi="Arial"/>
                <w:sz w:val="14"/>
                <w:szCs w:val="14"/>
                <w:color w:val="auto"/>
              </w:rPr>
              <w:t>(2)</w:t>
            </w:r>
          </w:p>
        </w:tc>
        <w:tc>
          <w:tcPr>
            <w:tcW w:w="4460" w:type="dxa"/>
            <w:vAlign w:val="bottom"/>
            <w:gridSpan w:val="2"/>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(509.8)</w:t>
            </w: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(395.9)</w:t>
            </w:r>
          </w:p>
        </w:tc>
      </w:tr>
      <w:tr>
        <w:trPr>
          <w:trHeight w:val="21"/>
        </w:trPr>
        <w:tc>
          <w:tcPr>
            <w:tcW w:w="43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360" w:hanging="352"/>
        <w:spacing w:after="0"/>
        <w:tabs>
          <w:tab w:leader="none" w:pos="36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There were $0.2 million of unrealized gains and $1.2 million of unrealized losses included in these amounts for the years ended December 31, 2019 and 2018, respectively.</w:t>
      </w:r>
    </w:p>
    <w:p>
      <w:pPr>
        <w:ind w:left="360" w:hanging="352"/>
        <w:spacing w:after="0"/>
        <w:tabs>
          <w:tab w:leader="none" w:pos="36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Transfers out of Level 3 into Level 2 were due to shorter remaining transaction maturities falling inside of the Level 2 range at December 31, 2019 and 2018.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Long-lived assets, which consist of intangible assets with finite useful lives and property, plant and equipment, are reviewed for impairment (i.e., subject to nonrecurring fair value measurements) when events or changes in circumstances indicate that the carrying amount of such assets may not be recoverable. Long-lived assets with carrying values that are not expected to be recovered through future cash flows are written-down to their estimated fair values. Similarly, we evaluate our equity method investments for impairment when there are events or changes in circumstances that indicate there is a potential loss in value of the investment attributable to an other than temporary decline. In the event we determine that the value of an investment is not recoverable due to an other than temporary decline, we record a non-cash impairment charge to adjust the carrying value of the investment to its estimated fair value.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presented in the following tables, our estimated fair values were based on management’s expectation of the market values for such assets based on their knowledge and experience in the industry (a Level 3 type measure involving significant unobservable inputs). In many cases, there are no active markets (Level 1) or other similar recent transactions (Level 2) to compare to. Our assumptions used in such analyses are based on the highest and best use of the asset and include estimated probabilities where multiple cash flow outcomes are possible.</w:t>
      </w:r>
    </w:p>
    <w:p>
      <w:pPr>
        <w:spacing w:after="0" w:line="21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When probability weights are used, the weights are generally obtained from business management personnel having oversight responsibilities for the assets being tested. Key commercial assumptions (e.g., anticipated operating margins, throughput or processing volume growth rates, timing of cash flows, etc.) that represent Level 3 unobservable inputs and test results are reviewed and certified by members of senior management.</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categories of long-lived assets that were subject to non-recurring fair value measurements during the year ended December 31,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Fair Value Measurements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80" w:type="dxa"/>
            <w:vAlign w:val="bottom"/>
            <w:gridSpan w:val="11"/>
          </w:tcPr>
          <w:p>
            <w:pPr>
              <w:jc w:val="center"/>
              <w:ind w:right="320"/>
              <w:spacing w:after="0"/>
              <w:rPr>
                <w:sz w:val="20"/>
                <w:szCs w:val="20"/>
                <w:color w:val="auto"/>
              </w:rPr>
            </w:pPr>
            <w:r>
              <w:rPr>
                <w:rFonts w:ascii="Arial" w:cs="Arial" w:eastAsia="Arial" w:hAnsi="Arial"/>
                <w:sz w:val="14"/>
                <w:szCs w:val="14"/>
                <w:b w:val="1"/>
                <w:bCs w:val="1"/>
                <w:color w:val="auto"/>
                <w:w w:val="93"/>
              </w:rPr>
              <w:t>at the End of the Reporting Period Using</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5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top w:val="single" w:sz="8" w:color="auto"/>
            </w:tcBorders>
          </w:tcPr>
          <w:p>
            <w:pPr>
              <w:jc w:val="center"/>
              <w:ind w:left="68"/>
              <w:spacing w:after="0" w:line="126" w:lineRule="exact"/>
              <w:rPr>
                <w:sz w:val="20"/>
                <w:szCs w:val="20"/>
                <w:color w:val="auto"/>
              </w:rPr>
            </w:pPr>
            <w:r>
              <w:rPr>
                <w:rFonts w:ascii="Arial" w:cs="Arial" w:eastAsia="Arial" w:hAnsi="Arial"/>
                <w:sz w:val="14"/>
                <w:szCs w:val="14"/>
                <w:b w:val="1"/>
                <w:bCs w:val="1"/>
                <w:color w:val="auto"/>
                <w:w w:val="90"/>
              </w:rPr>
              <w:t>Quoted Prices</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2"/>
              </w:rPr>
              <w:t>Significant</w:t>
            </w:r>
          </w:p>
        </w:tc>
        <w:tc>
          <w:tcPr>
            <w:tcW w:w="1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08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8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94"/>
              </w:rPr>
              <w:t>Significant</w:t>
            </w: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rPr>
              <w:t>Other</w:t>
            </w:r>
          </w:p>
        </w:tc>
        <w:tc>
          <w:tcPr>
            <w:tcW w:w="1380" w:type="dxa"/>
            <w:vAlign w:val="bottom"/>
            <w:gridSpan w:val="4"/>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08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4"/>
              </w:rPr>
              <w:t>Identical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38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Non-Cash</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08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38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Impairment</w:t>
            </w:r>
          </w:p>
        </w:tc>
        <w:tc>
          <w:tcPr>
            <w:tcW w:w="0" w:type="dxa"/>
            <w:vAlign w:val="bottom"/>
          </w:tcPr>
          <w:p>
            <w:pPr>
              <w:spacing w:after="0"/>
              <w:rPr>
                <w:sz w:val="1"/>
                <w:szCs w:val="1"/>
                <w:color w:val="auto"/>
              </w:rPr>
            </w:pPr>
          </w:p>
        </w:tc>
      </w:tr>
      <w:tr>
        <w:trPr>
          <w:trHeight w:val="178"/>
        </w:trPr>
        <w:tc>
          <w:tcPr>
            <w:tcW w:w="4580" w:type="dxa"/>
            <w:vAlign w:val="bottom"/>
          </w:tcPr>
          <w:p>
            <w:pPr>
              <w:spacing w:after="0"/>
              <w:rPr>
                <w:sz w:val="15"/>
                <w:szCs w:val="15"/>
                <w:color w:val="auto"/>
              </w:rPr>
            </w:pPr>
          </w:p>
        </w:tc>
        <w:tc>
          <w:tcPr>
            <w:tcW w:w="108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5"/>
                <w:szCs w:val="15"/>
                <w:color w:val="auto"/>
              </w:rPr>
            </w:pPr>
          </w:p>
        </w:tc>
        <w:tc>
          <w:tcPr>
            <w:tcW w:w="220" w:type="dxa"/>
            <w:vAlign w:val="bottom"/>
            <w:tcBorders>
              <w:bottom w:val="single" w:sz="8" w:color="auto"/>
            </w:tcBorders>
            <w:gridSpan w:val="2"/>
          </w:tcPr>
          <w:p>
            <w:pPr>
              <w:spacing w:after="0"/>
              <w:rPr>
                <w:sz w:val="15"/>
                <w:szCs w:val="15"/>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Long-lived assets disposed of other than by sale</w:t>
            </w:r>
          </w:p>
        </w:tc>
        <w:tc>
          <w:tcPr>
            <w:tcW w:w="10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   $</w:t>
            </w:r>
          </w:p>
        </w:tc>
        <w:tc>
          <w:tcPr>
            <w:tcW w:w="1300" w:type="dxa"/>
            <w:vAlign w:val="bottom"/>
            <w:gridSpan w:val="3"/>
            <w:shd w:val="clear" w:color="auto" w:fill="CCEEFF"/>
          </w:tcPr>
          <w:p>
            <w:pPr>
              <w:ind w:left="940"/>
              <w:spacing w:after="0"/>
              <w:rPr>
                <w:sz w:val="20"/>
                <w:szCs w:val="20"/>
                <w:color w:val="auto"/>
              </w:rPr>
            </w:pPr>
            <w:r>
              <w:rPr>
                <w:rFonts w:ascii="Arial" w:cs="Arial" w:eastAsia="Arial" w:hAnsi="Arial"/>
                <w:sz w:val="14"/>
                <w:szCs w:val="14"/>
                <w:color w:val="auto"/>
              </w:rPr>
              <w:t>–   $</w:t>
            </w:r>
          </w:p>
        </w:tc>
        <w:tc>
          <w:tcPr>
            <w:tcW w:w="138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4"/>
                <w:szCs w:val="14"/>
                <w:color w:val="auto"/>
              </w:rPr>
              <w:t>Long-lived assets held and used</w:t>
            </w:r>
          </w:p>
        </w:tc>
        <w:tc>
          <w:tcPr>
            <w:tcW w:w="108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w w:val="92"/>
              </w:rPr>
              <w:t>0.3</w:t>
            </w:r>
          </w:p>
        </w:tc>
        <w:tc>
          <w:tcPr>
            <w:tcW w:w="1120" w:type="dxa"/>
            <w:vAlign w:val="bottom"/>
          </w:tcPr>
          <w:p>
            <w:pPr>
              <w:spacing w:after="0"/>
              <w:rPr>
                <w:sz w:val="19"/>
                <w:szCs w:val="19"/>
                <w:color w:val="auto"/>
              </w:rPr>
            </w:pPr>
          </w:p>
        </w:tc>
        <w:tc>
          <w:tcPr>
            <w:tcW w:w="480" w:type="dxa"/>
            <w:vAlign w:val="bottom"/>
            <w:gridSpan w:val="3"/>
          </w:tcPr>
          <w:p>
            <w:pPr>
              <w:ind w:left="60"/>
              <w:spacing w:after="0"/>
              <w:rPr>
                <w:sz w:val="20"/>
                <w:szCs w:val="20"/>
                <w:color w:val="auto"/>
              </w:rPr>
            </w:pPr>
            <w:r>
              <w:rPr>
                <w:rFonts w:ascii="Arial" w:cs="Arial" w:eastAsia="Arial" w:hAnsi="Arial"/>
                <w:sz w:val="14"/>
                <w:szCs w:val="14"/>
                <w:color w:val="auto"/>
              </w:rPr>
              <w:t>–</w:t>
            </w:r>
          </w:p>
        </w:tc>
        <w:tc>
          <w:tcPr>
            <w:tcW w:w="1300" w:type="dxa"/>
            <w:vAlign w:val="bottom"/>
            <w:gridSpan w:val="3"/>
          </w:tcPr>
          <w:p>
            <w:pPr>
              <w:ind w:left="9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2" w:name="page213"/>
    <w:bookmarkEnd w:id="2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presented on our Statement of Consolidated Cash Flows, total non-cash asset impairment and related charges for the year ended December 31, 2019 were $132.8 million, which consisted of $76.4 million for the impairment of our investment in Centennial (see Note 5), $51.1 million of impairment charges attributable to long-lived assets and $5.3 million of impairment charges attributable to the write-down of surplus materials classified as current assets. The impairment charges attributable to long-lived assets were primarily due to the planned abandonment of certain terminal and natural gas processing plants in Texas.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categories of long-lived assets, primarily property, plant and equipment, that were subject to non-recurring fair value measurements during the year ended December 31,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Fair Value Measurements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80" w:type="dxa"/>
            <w:vAlign w:val="bottom"/>
            <w:gridSpan w:val="11"/>
          </w:tcPr>
          <w:p>
            <w:pPr>
              <w:jc w:val="center"/>
              <w:ind w:right="320"/>
              <w:spacing w:after="0"/>
              <w:rPr>
                <w:sz w:val="20"/>
                <w:szCs w:val="20"/>
                <w:color w:val="auto"/>
              </w:rPr>
            </w:pPr>
            <w:r>
              <w:rPr>
                <w:rFonts w:ascii="Arial" w:cs="Arial" w:eastAsia="Arial" w:hAnsi="Arial"/>
                <w:sz w:val="14"/>
                <w:szCs w:val="14"/>
                <w:b w:val="1"/>
                <w:bCs w:val="1"/>
                <w:color w:val="auto"/>
                <w:w w:val="93"/>
              </w:rPr>
              <w:t>at the End of the Reporting Period Using</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top w:val="single" w:sz="8" w:color="auto"/>
            </w:tcBorders>
          </w:tcPr>
          <w:p>
            <w:pPr>
              <w:jc w:val="center"/>
              <w:ind w:left="68"/>
              <w:spacing w:after="0" w:line="126" w:lineRule="exact"/>
              <w:rPr>
                <w:sz w:val="20"/>
                <w:szCs w:val="20"/>
                <w:color w:val="auto"/>
              </w:rPr>
            </w:pPr>
            <w:r>
              <w:rPr>
                <w:rFonts w:ascii="Arial" w:cs="Arial" w:eastAsia="Arial" w:hAnsi="Arial"/>
                <w:sz w:val="14"/>
                <w:szCs w:val="14"/>
                <w:b w:val="1"/>
                <w:bCs w:val="1"/>
                <w:color w:val="auto"/>
                <w:w w:val="90"/>
              </w:rPr>
              <w:t>Quoted Prices</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2"/>
              </w:rPr>
              <w:t>Significant</w:t>
            </w:r>
          </w:p>
        </w:tc>
        <w:tc>
          <w:tcPr>
            <w:tcW w:w="1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14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8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94"/>
              </w:rPr>
              <w:t>Significant</w:t>
            </w: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rPr>
              <w:t>Other</w:t>
            </w:r>
          </w:p>
        </w:tc>
        <w:tc>
          <w:tcPr>
            <w:tcW w:w="1380" w:type="dxa"/>
            <w:vAlign w:val="bottom"/>
            <w:gridSpan w:val="4"/>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14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Value at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4"/>
              </w:rPr>
              <w:t>Identical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38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Non-Cash</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14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38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Impairment</w:t>
            </w:r>
          </w:p>
        </w:tc>
        <w:tc>
          <w:tcPr>
            <w:tcW w:w="0" w:type="dxa"/>
            <w:vAlign w:val="bottom"/>
          </w:tcPr>
          <w:p>
            <w:pPr>
              <w:spacing w:after="0"/>
              <w:rPr>
                <w:sz w:val="1"/>
                <w:szCs w:val="1"/>
                <w:color w:val="auto"/>
              </w:rPr>
            </w:pPr>
          </w:p>
        </w:tc>
      </w:tr>
      <w:tr>
        <w:trPr>
          <w:trHeight w:val="178"/>
        </w:trPr>
        <w:tc>
          <w:tcPr>
            <w:tcW w:w="4580" w:type="dxa"/>
            <w:vAlign w:val="bottom"/>
          </w:tcPr>
          <w:p>
            <w:pPr>
              <w:spacing w:after="0"/>
              <w:rPr>
                <w:sz w:val="15"/>
                <w:szCs w:val="15"/>
                <w:color w:val="auto"/>
              </w:rPr>
            </w:pPr>
          </w:p>
        </w:tc>
        <w:tc>
          <w:tcPr>
            <w:tcW w:w="11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5"/>
                <w:szCs w:val="15"/>
                <w:color w:val="auto"/>
              </w:rPr>
            </w:pPr>
          </w:p>
        </w:tc>
        <w:tc>
          <w:tcPr>
            <w:tcW w:w="220" w:type="dxa"/>
            <w:vAlign w:val="bottom"/>
            <w:tcBorders>
              <w:bottom w:val="single" w:sz="8" w:color="auto"/>
            </w:tcBorders>
            <w:gridSpan w:val="2"/>
          </w:tcPr>
          <w:p>
            <w:pPr>
              <w:spacing w:after="0"/>
              <w:rPr>
                <w:sz w:val="15"/>
                <w:szCs w:val="15"/>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Long-lived assets disposed of other than by sale</w:t>
            </w:r>
          </w:p>
        </w:tc>
        <w:tc>
          <w:tcPr>
            <w:tcW w:w="11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   $</w:t>
            </w:r>
          </w:p>
        </w:tc>
        <w:tc>
          <w:tcPr>
            <w:tcW w:w="1300" w:type="dxa"/>
            <w:vAlign w:val="bottom"/>
            <w:gridSpan w:val="3"/>
            <w:shd w:val="clear" w:color="auto" w:fill="CCEEFF"/>
          </w:tcPr>
          <w:p>
            <w:pPr>
              <w:ind w:left="940"/>
              <w:spacing w:after="0"/>
              <w:rPr>
                <w:sz w:val="20"/>
                <w:szCs w:val="20"/>
                <w:color w:val="auto"/>
              </w:rPr>
            </w:pPr>
            <w:r>
              <w:rPr>
                <w:rFonts w:ascii="Arial" w:cs="Arial" w:eastAsia="Arial" w:hAnsi="Arial"/>
                <w:sz w:val="14"/>
                <w:szCs w:val="14"/>
                <w:color w:val="auto"/>
              </w:rPr>
              <w:t>–   $</w:t>
            </w:r>
          </w:p>
        </w:tc>
        <w:tc>
          <w:tcPr>
            <w:tcW w:w="138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4"/>
                <w:szCs w:val="14"/>
                <w:color w:val="auto"/>
              </w:rPr>
              <w:t>Long-lived assets held and used</w:t>
            </w:r>
          </w:p>
        </w:tc>
        <w:tc>
          <w:tcPr>
            <w:tcW w:w="1140" w:type="dxa"/>
            <w:vAlign w:val="bottom"/>
          </w:tcPr>
          <w:p>
            <w:pPr>
              <w:spacing w:after="0"/>
              <w:rPr>
                <w:sz w:val="19"/>
                <w:szCs w:val="19"/>
                <w:color w:val="auto"/>
              </w:rPr>
            </w:pPr>
          </w:p>
        </w:tc>
        <w:tc>
          <w:tcPr>
            <w:tcW w:w="2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9"/>
                <w:szCs w:val="19"/>
                <w:color w:val="auto"/>
              </w:rPr>
            </w:pPr>
          </w:p>
        </w:tc>
        <w:tc>
          <w:tcPr>
            <w:tcW w:w="480" w:type="dxa"/>
            <w:vAlign w:val="bottom"/>
            <w:gridSpan w:val="3"/>
          </w:tcPr>
          <w:p>
            <w:pPr>
              <w:ind w:left="60"/>
              <w:spacing w:after="0"/>
              <w:rPr>
                <w:sz w:val="20"/>
                <w:szCs w:val="20"/>
                <w:color w:val="auto"/>
              </w:rPr>
            </w:pPr>
            <w:r>
              <w:rPr>
                <w:rFonts w:ascii="Arial" w:cs="Arial" w:eastAsia="Arial" w:hAnsi="Arial"/>
                <w:sz w:val="14"/>
                <w:szCs w:val="14"/>
                <w:color w:val="auto"/>
              </w:rPr>
              <w:t>–</w:t>
            </w:r>
          </w:p>
        </w:tc>
        <w:tc>
          <w:tcPr>
            <w:tcW w:w="1300" w:type="dxa"/>
            <w:vAlign w:val="bottom"/>
            <w:gridSpan w:val="3"/>
          </w:tcPr>
          <w:p>
            <w:pPr>
              <w:ind w:left="940"/>
              <w:spacing w:after="0"/>
              <w:rPr>
                <w:sz w:val="20"/>
                <w:szCs w:val="20"/>
                <w:color w:val="auto"/>
              </w:rPr>
            </w:pPr>
            <w:r>
              <w:rPr>
                <w:rFonts w:ascii="Arial" w:cs="Arial" w:eastAsia="Arial" w:hAnsi="Arial"/>
                <w:sz w:val="14"/>
                <w:szCs w:val="14"/>
                <w:color w:val="auto"/>
              </w:rPr>
              <w:t>–</w:t>
            </w:r>
          </w:p>
        </w:tc>
        <w:tc>
          <w:tcPr>
            <w:tcW w:w="1280" w:type="dxa"/>
            <w:vAlign w:val="bottom"/>
            <w:gridSpan w:val="3"/>
          </w:tcPr>
          <w:p>
            <w:pPr>
              <w:ind w:left="9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Total non-cash asset impairment and related charges during 2018 were $50.5 million, which consisted of $46.8 million of impairment charges attributable to long-lived assets and $3.7 million of impairment charges attributable to the write-down of surplus materials classified as current assets. The impairment charges attributable to long-lived assets were primarily due to the planned abandonment of certain terminal and natural gas processing plants in Texas.</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categories of long-lived assets, primarily property, plant and equipment, that were subject to non-recurring fair value measurements during the year ended December 31,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3"/>
              </w:rPr>
              <w:t>Fair Value Measurements</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0" w:type="dxa"/>
            <w:vAlign w:val="bottom"/>
            <w:gridSpan w:val="10"/>
          </w:tcPr>
          <w:p>
            <w:pPr>
              <w:jc w:val="center"/>
              <w:ind w:right="360"/>
              <w:spacing w:after="0"/>
              <w:rPr>
                <w:sz w:val="20"/>
                <w:szCs w:val="20"/>
                <w:color w:val="auto"/>
              </w:rPr>
            </w:pPr>
            <w:r>
              <w:rPr>
                <w:rFonts w:ascii="Arial" w:cs="Arial" w:eastAsia="Arial" w:hAnsi="Arial"/>
                <w:sz w:val="14"/>
                <w:szCs w:val="14"/>
                <w:b w:val="1"/>
                <w:bCs w:val="1"/>
                <w:color w:val="auto"/>
                <w:w w:val="93"/>
              </w:rPr>
              <w:t>at the End of the Reporting Period Using</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top w:val="single" w:sz="8" w:color="auto"/>
            </w:tcBorders>
          </w:tcPr>
          <w:p>
            <w:pPr>
              <w:jc w:val="center"/>
              <w:ind w:left="28"/>
              <w:spacing w:after="0" w:line="126" w:lineRule="exact"/>
              <w:rPr>
                <w:sz w:val="20"/>
                <w:szCs w:val="20"/>
                <w:color w:val="auto"/>
              </w:rPr>
            </w:pPr>
            <w:r>
              <w:rPr>
                <w:rFonts w:ascii="Arial" w:cs="Arial" w:eastAsia="Arial" w:hAnsi="Arial"/>
                <w:sz w:val="14"/>
                <w:szCs w:val="14"/>
                <w:b w:val="1"/>
                <w:bCs w:val="1"/>
                <w:color w:val="auto"/>
                <w:w w:val="90"/>
              </w:rPr>
              <w:t>Quoted Prices</w:t>
            </w: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2"/>
              </w:rPr>
              <w:t>Significant</w:t>
            </w:r>
          </w:p>
        </w:tc>
        <w:tc>
          <w:tcPr>
            <w:tcW w:w="10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in Active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8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Significant</w:t>
            </w: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Other</w:t>
            </w:r>
          </w:p>
        </w:tc>
        <w:tc>
          <w:tcPr>
            <w:tcW w:w="1380" w:type="dxa"/>
            <w:vAlign w:val="bottom"/>
            <w:gridSpan w:val="3"/>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Identical</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3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Non-Cash</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04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Inputs</w:t>
            </w:r>
          </w:p>
        </w:tc>
        <w:tc>
          <w:tcPr>
            <w:tcW w:w="13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Impairment</w:t>
            </w:r>
          </w:p>
        </w:tc>
        <w:tc>
          <w:tcPr>
            <w:tcW w:w="0" w:type="dxa"/>
            <w:vAlign w:val="bottom"/>
          </w:tcPr>
          <w:p>
            <w:pPr>
              <w:spacing w:after="0"/>
              <w:rPr>
                <w:sz w:val="1"/>
                <w:szCs w:val="1"/>
                <w:color w:val="auto"/>
              </w:rPr>
            </w:pPr>
          </w:p>
        </w:tc>
      </w:tr>
      <w:tr>
        <w:trPr>
          <w:trHeight w:val="178"/>
        </w:trPr>
        <w:tc>
          <w:tcPr>
            <w:tcW w:w="3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(Level 3)</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Long-lived assets disposed of other than by sale</w:t>
            </w:r>
          </w:p>
        </w:tc>
        <w:tc>
          <w:tcPr>
            <w:tcW w:w="1900" w:type="dxa"/>
            <w:vAlign w:val="bottom"/>
            <w:gridSpan w:val="2"/>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1320" w:type="dxa"/>
            <w:vAlign w:val="bottom"/>
            <w:gridSpan w:val="3"/>
            <w:shd w:val="clear" w:color="auto" w:fill="CCEEFF"/>
          </w:tcPr>
          <w:p>
            <w:pPr>
              <w:ind w:left="920"/>
              <w:spacing w:after="0"/>
              <w:rPr>
                <w:sz w:val="20"/>
                <w:szCs w:val="20"/>
                <w:color w:val="auto"/>
              </w:rPr>
            </w:pPr>
            <w:r>
              <w:rPr>
                <w:rFonts w:ascii="Arial" w:cs="Arial" w:eastAsia="Arial" w:hAnsi="Arial"/>
                <w:sz w:val="14"/>
                <w:szCs w:val="14"/>
                <w:color w:val="auto"/>
              </w:rPr>
              <w:t>–   $</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4"/>
                <w:szCs w:val="14"/>
                <w:color w:val="auto"/>
              </w:rPr>
              <w:t>Long-lived assets held and used</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1320" w:type="dxa"/>
            <w:vAlign w:val="bottom"/>
            <w:gridSpan w:val="3"/>
          </w:tcPr>
          <w:p>
            <w:pPr>
              <w:ind w:left="9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Long-lived assets held for sale</w:t>
            </w: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4"/>
                <w:szCs w:val="14"/>
                <w:color w:val="auto"/>
              </w:rPr>
              <w:t>Long-lived assets disposed of by sale</w:t>
            </w: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1320" w:type="dxa"/>
            <w:vAlign w:val="bottom"/>
            <w:gridSpan w:val="3"/>
          </w:tcPr>
          <w:p>
            <w:pPr>
              <w:ind w:left="9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9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non-cash asset impairment and related charges during 2017 were $49.8 million, which consisted of $37.8 million of impairment charges attributable to long-lived assets and $12.0 million of impairment charges attributable to the write-down of surplus materials classified as current assets. The impairment charges attributable to long-lived assets were primarily due to the write-down of certain natural gas pipeline laterals and other pipelines in Texas and for the planned abandonment of certain storage and pipeline assets in Texas.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13" w:name="page214"/>
    <w:bookmarkEnd w:id="2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Information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carrying amounts of cash and cash equivalents (including restricted cash balances), accounts receivable, commercial paper notes and accounts payable approximate their fair values based on their short-term nature. The estimated total fair value of our fixed-rate debt obligations was $30.37 billion and $25.97 billion at December 31, 2019 and 2018, respectively. The aggregate carrying value of these debt obligations was $27.15 billion and $26.15 billion at December 31, 2019 and 2018, respectively. These values are primarily based on quoted market prices for such debt or debt of similar terms and maturities (Level 2) and our credit standing. Changes in market rates of interest affect the fair value of our fixed-rate debt. The carrying values of our variable-rate long-term debt obligations approximate their fair values since the associated interest rates are market-based. We do not have any long-term investments in debt or equity securities recorded at fair value.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related party transactions for the years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For the Year Ended 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4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4"/>
                <w:szCs w:val="14"/>
                <w:b w:val="1"/>
                <w:bCs w:val="1"/>
                <w:color w:val="auto"/>
              </w:rPr>
              <w:t>Revenues – related parties:</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Unconsolidated affiliates</w:t>
            </w:r>
          </w:p>
        </w:tc>
        <w:tc>
          <w:tcPr>
            <w:tcW w:w="720" w:type="dxa"/>
            <w:vAlign w:val="bottom"/>
            <w:shd w:val="clear" w:color="auto" w:fill="CCEEFF"/>
          </w:tcPr>
          <w:p>
            <w:pPr>
              <w:jc w:val="right"/>
              <w:ind w:right="603"/>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107.7</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45.0</w:t>
            </w:r>
          </w:p>
        </w:tc>
      </w:tr>
      <w:tr>
        <w:trPr>
          <w:trHeight w:val="210"/>
        </w:trPr>
        <w:tc>
          <w:tcPr>
            <w:tcW w:w="744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Costs and expenses – related parties:</w:t>
            </w:r>
          </w:p>
        </w:tc>
        <w:tc>
          <w:tcPr>
            <w:tcW w:w="7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EPCO and its privately held affiliates</w:t>
            </w:r>
          </w:p>
        </w:tc>
        <w:tc>
          <w:tcPr>
            <w:tcW w:w="720" w:type="dxa"/>
            <w:vAlign w:val="bottom"/>
            <w:shd w:val="clear" w:color="auto" w:fill="CCEEFF"/>
          </w:tcPr>
          <w:p>
            <w:pPr>
              <w:jc w:val="right"/>
              <w:ind w:right="603"/>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1,145.3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1,089.6</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1,010.9</w:t>
            </w: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Unconsolidated affiliates</w:t>
            </w: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403.1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447.4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223.4</w:t>
            </w:r>
          </w:p>
        </w:tc>
      </w:tr>
      <w:tr>
        <w:trPr>
          <w:trHeight w:val="27"/>
        </w:trPr>
        <w:tc>
          <w:tcPr>
            <w:tcW w:w="7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720" w:type="dxa"/>
            <w:vAlign w:val="bottom"/>
            <w:shd w:val="clear" w:color="auto" w:fill="CCEEFF"/>
          </w:tcPr>
          <w:p>
            <w:pPr>
              <w:jc w:val="right"/>
              <w:ind w:right="603"/>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1,548.4</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1,537.0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1,234.3</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related party accounts receivable and accounts payable balances at the dates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8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88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4"/>
                <w:szCs w:val="14"/>
                <w:b w:val="1"/>
                <w:bCs w:val="1"/>
                <w:color w:val="auto"/>
              </w:rPr>
              <w:t>Accounts receivable - related parties:</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Unconsolidated affiliates</w:t>
            </w:r>
          </w:p>
        </w:tc>
        <w:tc>
          <w:tcPr>
            <w:tcW w:w="760" w:type="dxa"/>
            <w:vAlign w:val="bottom"/>
            <w:shd w:val="clear" w:color="auto" w:fill="CCEEFF"/>
          </w:tcPr>
          <w:p>
            <w:pPr>
              <w:jc w:val="right"/>
              <w:ind w:right="643"/>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w:t>
            </w:r>
          </w:p>
        </w:tc>
      </w:tr>
      <w:tr>
        <w:trPr>
          <w:trHeight w:val="210"/>
        </w:trPr>
        <w:tc>
          <w:tcPr>
            <w:tcW w:w="88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Accounts payable - related parties:</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4"/>
                <w:szCs w:val="14"/>
                <w:color w:val="auto"/>
              </w:rPr>
              <w:t>EPCO and its privately held affiliates</w:t>
            </w:r>
          </w:p>
        </w:tc>
        <w:tc>
          <w:tcPr>
            <w:tcW w:w="760" w:type="dxa"/>
            <w:vAlign w:val="bottom"/>
          </w:tcPr>
          <w:p>
            <w:pPr>
              <w:jc w:val="right"/>
              <w:ind w:right="643"/>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143.7</w:t>
            </w:r>
          </w:p>
        </w:tc>
        <w:tc>
          <w:tcPr>
            <w:tcW w:w="5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116.3</w:t>
            </w:r>
          </w:p>
        </w:tc>
      </w:tr>
      <w:tr>
        <w:trPr>
          <w:trHeight w:val="223"/>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Unconsolidated affiliates</w:t>
            </w: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4"/>
                <w:szCs w:val="14"/>
                <w:color w:val="auto"/>
              </w:rPr>
              <w:t>Total</w:t>
            </w:r>
          </w:p>
        </w:tc>
        <w:tc>
          <w:tcPr>
            <w:tcW w:w="760" w:type="dxa"/>
            <w:vAlign w:val="bottom"/>
          </w:tcPr>
          <w:p>
            <w:pPr>
              <w:jc w:val="right"/>
              <w:ind w:right="643"/>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162.3</w:t>
            </w:r>
          </w:p>
        </w:tc>
        <w:tc>
          <w:tcPr>
            <w:tcW w:w="5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140.2</w:t>
            </w:r>
          </w:p>
        </w:tc>
      </w:tr>
      <w:tr>
        <w:trPr>
          <w:trHeight w:val="21"/>
        </w:trPr>
        <w:tc>
          <w:tcPr>
            <w:tcW w:w="8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the terms and provisions of our related party agreements are fair to us; however, such agreements and transactions may not be as favorable to us as we could have obtained from unaffiliated third parties.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EPCO and Affiliates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an extensive and ongoing relationship with EPCO and its privately held affiliates (including Enterprise GP, our general partner), which are not a part of our consolidated group of companies.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2019, EPCO and its privately held affiliates (including Dan Duncan LLC and certain Duncan family trusts) beneficially owned the following limited partner interests in us:</w:t>
      </w:r>
    </w:p>
    <w:p>
      <w:pPr>
        <w:spacing w:after="0" w:line="177"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298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5"/>
              </w:rPr>
              <w:t>Total Number</w:t>
            </w:r>
          </w:p>
        </w:tc>
        <w:tc>
          <w:tcPr>
            <w:tcW w:w="2720" w:type="dxa"/>
            <w:vAlign w:val="bottom"/>
          </w:tcPr>
          <w:p>
            <w:pPr>
              <w:jc w:val="center"/>
              <w:ind w:left="48"/>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2980" w:type="dxa"/>
            <w:vAlign w:val="bottom"/>
            <w:vMerge w:val="continue"/>
          </w:tcPr>
          <w:p>
            <w:pPr>
              <w:spacing w:after="0"/>
              <w:rPr>
                <w:sz w:val="12"/>
                <w:szCs w:val="12"/>
                <w:color w:val="auto"/>
              </w:rPr>
            </w:pPr>
          </w:p>
        </w:tc>
        <w:tc>
          <w:tcPr>
            <w:tcW w:w="272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3"/>
              </w:rPr>
              <w:t>Total Units</w:t>
            </w:r>
          </w:p>
        </w:tc>
        <w:tc>
          <w:tcPr>
            <w:tcW w:w="0" w:type="dxa"/>
            <w:vAlign w:val="bottom"/>
          </w:tcPr>
          <w:p>
            <w:pPr>
              <w:spacing w:after="0"/>
              <w:rPr>
                <w:sz w:val="1"/>
                <w:szCs w:val="1"/>
                <w:color w:val="auto"/>
              </w:rPr>
            </w:pPr>
          </w:p>
        </w:tc>
      </w:tr>
      <w:tr>
        <w:trPr>
          <w:trHeight w:val="178"/>
        </w:trPr>
        <w:tc>
          <w:tcPr>
            <w:tcW w:w="298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2"/>
              </w:rPr>
              <w:t>of Units</w:t>
            </w:r>
          </w:p>
        </w:tc>
        <w:tc>
          <w:tcPr>
            <w:tcW w:w="27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2"/>
              </w:rPr>
              <w:t>700,783,776</w:t>
            </w:r>
          </w:p>
        </w:tc>
        <w:tc>
          <w:tcPr>
            <w:tcW w:w="272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2"/>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14" w:name="page215"/>
    <w:bookmarkEnd w:id="2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total number of units held by EPCO and its privately held affiliates, 108,222,618 have been pledged as security under the credit facilities of EPCO and its privately held affiliates at December 31, 2019. These credit facilities contain customary and other events of default, including defaults by us and other affiliates of EPCO. An event of default, followed by a foreclosure on the pledged collateral, could ultimately result in a change in ownership of these units and affect the market price of EPD’s common units.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and Enterprise GP are both separate legal entities apart from each other and apart from EPCO and its other affiliates, with assets and liabilities that are also separate from those of EPCO and its other affiliates. EPCO and its privately held affiliates depend on the cash distributions they receive from us and other investments to fund their other activities and to meet their debt obligations. During the years ended December 31, 2019, 2018 and 2017, we paid EPCO and its privately held affiliates cash distributions totaling $1.19 billion, $1.16 billion and $1.12 billion, respectively.</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time-to-time, EPCO and its privately held affiliates elect to purchase additional common units under EPD’s DRIP and ATM program. During the years ended December 31, 2019, 2018 and 2017, privately held affiliates of EPCO reinvested $29 million, $213 million and $100 million, respectively, through our DRIP. See Note 8 for additional information regarding our DRIP and ATM program.</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lease office space from affiliates of EPCO on a long-term basis. The rental rates in these lease agreements approximate market rates. For the years ended December 31, 2019, 2018 and 2017, we recognized $14.9 million, $13.9 million and $15.8 million respectively, of related party operating lease expense in connection with these office space leases.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EPCO ASA</w:t>
      </w:r>
      <w:r>
        <w:rPr>
          <w:rFonts w:ascii="Arial" w:cs="Arial" w:eastAsia="Arial" w:hAnsi="Arial"/>
          <w:sz w:val="18"/>
          <w:szCs w:val="18"/>
          <w:color w:val="auto"/>
        </w:rPr>
        <w:t>. We have no employees. All of our administrative and operating functions are provided either by employees of EPCO (pursuant to the ASA) or</w:t>
      </w:r>
      <w:r>
        <w:rPr>
          <w:rFonts w:ascii="Arial" w:cs="Arial" w:eastAsia="Arial" w:hAnsi="Arial"/>
          <w:sz w:val="18"/>
          <w:szCs w:val="18"/>
          <w:i w:val="1"/>
          <w:iCs w:val="1"/>
          <w:color w:val="auto"/>
        </w:rPr>
        <w:t xml:space="preserve"> </w:t>
      </w:r>
      <w:r>
        <w:rPr>
          <w:rFonts w:ascii="Arial" w:cs="Arial" w:eastAsia="Arial" w:hAnsi="Arial"/>
          <w:sz w:val="18"/>
          <w:szCs w:val="18"/>
          <w:color w:val="auto"/>
        </w:rPr>
        <w:t>by other service providers. We and our general partner are parties to the ASA.</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the ASA, EPCO provides us with the administrative and operating services deemed necessary to manage and operate our businesses, properties and assets (all in accordance with prudent industry practices). Our operating costs and expenses include amounts paid to EPCO for the actual direct and indirect costs it incurs to operate our facilities, including the compensation of its employees. Likewise, our general and administrative costs include amounts paid to EPCO for management and other administrative services, including the compensation of its employees. In general, our reimbursement to EPCO for administrative services is either (i) on an actual basis for direct expenses it may incur on our behalf (e.g., the purchase of office supplies) or (ii) based on an allocation of such charges between the various parties to the ASA based on the estimated use of such services by each party (e.g., the allocation of legal or accounting salaries based on estimates of time spent on each entity’s business and affairs). In addition, we have agreed to pay all sales, use, excise, value added or similar taxes, if any, that may be applicable from time to time with respect to the services provided to us by EPCO.</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ASA allows us to participate as a named insured in EPCO’s overall insurance program, with the associated premiums and other costs being allocated to us. See Note 18 for additional information regarding our insurance programs.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related party costs and expenses attributable to the ASA with EPCO for the years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For the Year Ended 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4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Operating costs and expenses</w:t>
            </w:r>
          </w:p>
        </w:tc>
        <w:tc>
          <w:tcPr>
            <w:tcW w:w="720" w:type="dxa"/>
            <w:vAlign w:val="bottom"/>
            <w:shd w:val="clear" w:color="auto" w:fill="CCEEFF"/>
          </w:tcPr>
          <w:p>
            <w:pPr>
              <w:jc w:val="right"/>
              <w:ind w:right="60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1,000.2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948.8</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882.1</w:t>
            </w:r>
          </w:p>
        </w:tc>
      </w:tr>
      <w:tr>
        <w:trPr>
          <w:trHeight w:val="216"/>
        </w:trPr>
        <w:tc>
          <w:tcPr>
            <w:tcW w:w="7440" w:type="dxa"/>
            <w:vAlign w:val="bottom"/>
          </w:tcPr>
          <w:p>
            <w:pPr>
              <w:spacing w:after="0"/>
              <w:rPr>
                <w:sz w:val="20"/>
                <w:szCs w:val="20"/>
                <w:color w:val="auto"/>
              </w:rPr>
            </w:pPr>
            <w:r>
              <w:rPr>
                <w:rFonts w:ascii="Arial" w:cs="Arial" w:eastAsia="Arial" w:hAnsi="Arial"/>
                <w:sz w:val="14"/>
                <w:szCs w:val="14"/>
                <w:color w:val="auto"/>
              </w:rPr>
              <w:t>General and administrative expenses</w:t>
            </w: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127.6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110.4</w:t>
            </w:r>
          </w:p>
        </w:tc>
      </w:tr>
      <w:tr>
        <w:trPr>
          <w:trHeight w:val="27"/>
        </w:trPr>
        <w:tc>
          <w:tcPr>
            <w:tcW w:w="7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costs and expenses</w:t>
            </w:r>
          </w:p>
        </w:tc>
        <w:tc>
          <w:tcPr>
            <w:tcW w:w="720" w:type="dxa"/>
            <w:vAlign w:val="bottom"/>
            <w:shd w:val="clear" w:color="auto" w:fill="CCEEFF"/>
          </w:tcPr>
          <w:p>
            <w:pPr>
              <w:jc w:val="right"/>
              <w:ind w:right="60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1,127.8</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1,073.0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992.5</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15" w:name="page216"/>
    <w:bookmarkEnd w:id="2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Since the vast majority of such expenses are charged to us on an actual basis (i.e., no mark-up is charged or subsidy is received), we believe that such expenses are representative of what the amounts would have been on a standalone basis. With respect to allocated costs, we believe that the proportional direct allocation method employed by EPCO is reasonable and reflective of the estimated level of costs we would have incurred on a standalone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Relationships with Unconsolidated Affiliates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of our unconsolidated affiliates perform supporting or complementary roles to our other business operations. The following information summarizes significant related party transactions with our unconsolidated affiliates:</w:t>
      </w:r>
    </w:p>
    <w:p>
      <w:pPr>
        <w:spacing w:after="0" w:line="197" w:lineRule="exact"/>
        <w:rPr>
          <w:sz w:val="20"/>
          <w:szCs w:val="20"/>
          <w:color w:val="auto"/>
        </w:rPr>
      </w:pPr>
    </w:p>
    <w:p>
      <w:pPr>
        <w:jc w:val="both"/>
        <w:ind w:left="340" w:hanging="332"/>
        <w:spacing w:after="0" w:line="264"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For the years ended December 31, 2019, 2018 and 2017, we paid Seaway $194.5 million, $163.2 million and $98.8 million, respectively, for pipeline transportation and storage services in connection with our crude oil marketing activities. Revenues from Seaway were $42.7 million, $74.4 million and $19.6 million for the years ended December 31, 2019, 2018 and 2017, respectively.</w:t>
      </w:r>
    </w:p>
    <w:p>
      <w:pPr>
        <w:spacing w:after="0" w:line="208" w:lineRule="exact"/>
        <w:rPr>
          <w:rFonts w:ascii="Arial" w:cs="Arial" w:eastAsia="Arial" w:hAnsi="Arial"/>
          <w:sz w:val="18"/>
          <w:szCs w:val="18"/>
          <w:color w:val="auto"/>
        </w:rPr>
      </w:pPr>
    </w:p>
    <w:p>
      <w:pPr>
        <w:ind w:left="340" w:hanging="332"/>
        <w:spacing w:after="0"/>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For the years ended December 31, 2019 and 2018, we purchased $89.2 million and $157.9 million, respectively, of NGLs from VESCO.</w:t>
      </w:r>
    </w:p>
    <w:p>
      <w:pPr>
        <w:spacing w:after="0" w:line="252"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We pay Promix for the transportation, storage and fractionation of NGLs. Expenses with Promix were $34.8 million, $31.9 million and $27.8 million for the years ended December 31, 2019, 2018 and 2017, respectively. In addition, we sell natural gas to Promix for its plant fuel requirements. Revenues from Promix were $9.1 million, $9.5 million and $7.8 million for the years ended December 31, 2019, 2018 and 2017, respectively.</w:t>
      </w:r>
    </w:p>
    <w:p>
      <w:pPr>
        <w:spacing w:after="0" w:line="192"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For the years ended December 31, 2019, 2018 and 2017, we paid Texas Express $33.5 million, $57.6 million and $29.5 million, respectively, for pipeline transportation services.</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For the years ended December 31, 2019, 2018 and 2017, we paid Eagle Ford Crude Oil Pipeline $36.0 million, $18.5 million and $42.8 million, respectively, for pipeline transportation services.</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We perform management services for certain of our unconsolidated affiliates. We charged such affiliates $9.9 million, $11.6 million and $10.6 million for the years ended December 31, 2019, 2018 and 2017, respectively.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Provision for Income Taxes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Publicly traded partnerships like ours are treated as corporations unless they have 90% or more in “qualifying income” (as that term is defined in the Internal Revenue Code). We satisfied this requirement in each of the years ended December 31, 2019, 2018 and 2017 and, as a result, are not subject to federal income tax. However, our partners are individually responsible for paying federal income tax on their share of our taxable income. Net earnings for financial reporting purposes may differ significantly from taxable income reportable to our unitholders as a result of differences between the tax basis and financial reporting basis of certain assets and liabilities and other factors. We do not have access to information regarding each partner’s individual tax basis in our limited partner interests.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Provision for income taxes primarily reflects our state tax obligations under the Revised Texas Franchise Tax (the “Texas Margin Tax”). Deferred income tax assets and liabilities are recognized for temporary differences between the assets and liabilities of our tax paying entities for financial reporting and tax purposes.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16" w:name="page217"/>
    <w:bookmarkEnd w:id="2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Our federal, state and foreign income tax provision (benefit) is summarized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6"/>
              </w:rPr>
              <w:t>For the Year Ended 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440" w:type="dxa"/>
            <w:vAlign w:val="bottom"/>
          </w:tcPr>
          <w:p>
            <w:pPr>
              <w:spacing w:after="0"/>
              <w:rPr>
                <w:sz w:val="19"/>
                <w:szCs w:val="19"/>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4"/>
                <w:szCs w:val="14"/>
                <w:color w:val="auto"/>
              </w:rPr>
              <w:t>Current portion of income tax provision (benefit):</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Federal</w:t>
            </w:r>
          </w:p>
        </w:tc>
        <w:tc>
          <w:tcPr>
            <w:tcW w:w="800" w:type="dxa"/>
            <w:vAlign w:val="bottom"/>
            <w:shd w:val="clear" w:color="auto" w:fill="CCEEFF"/>
          </w:tcPr>
          <w:p>
            <w:pPr>
              <w:jc w:val="right"/>
              <w:ind w:right="682"/>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5.3</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w:t>
            </w: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State</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25.7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33.1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18.5</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r>
      <w:tr>
        <w:trPr>
          <w:trHeight w:val="27"/>
        </w:trPr>
        <w:tc>
          <w:tcPr>
            <w:tcW w:w="74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440" w:type="dxa"/>
            <w:vAlign w:val="bottom"/>
          </w:tcPr>
          <w:p>
            <w:pPr>
              <w:ind w:left="340"/>
              <w:spacing w:after="0"/>
              <w:rPr>
                <w:sz w:val="20"/>
                <w:szCs w:val="20"/>
                <w:color w:val="auto"/>
              </w:rPr>
            </w:pPr>
            <w:r>
              <w:rPr>
                <w:rFonts w:ascii="Arial" w:cs="Arial" w:eastAsia="Arial" w:hAnsi="Arial"/>
                <w:sz w:val="14"/>
                <w:szCs w:val="14"/>
                <w:color w:val="auto"/>
              </w:rPr>
              <w:t>Total current portion</w:t>
            </w: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25.6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38.9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19.6</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Deferred portion of income tax provision (benefit):</w:t>
            </w: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Federal</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(1.8)</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State</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w:t>
            </w:r>
          </w:p>
        </w:tc>
      </w:tr>
      <w:tr>
        <w:trPr>
          <w:trHeight w:val="216"/>
        </w:trPr>
        <w:tc>
          <w:tcPr>
            <w:tcW w:w="7440" w:type="dxa"/>
            <w:vAlign w:val="bottom"/>
          </w:tcPr>
          <w:p>
            <w:pPr>
              <w:ind w:left="180"/>
              <w:spacing w:after="0"/>
              <w:rPr>
                <w:sz w:val="20"/>
                <w:szCs w:val="20"/>
                <w:color w:val="auto"/>
              </w:rPr>
            </w:pPr>
            <w:r>
              <w:rPr>
                <w:rFonts w:ascii="Arial" w:cs="Arial" w:eastAsia="Arial" w:hAnsi="Arial"/>
                <w:sz w:val="14"/>
                <w:szCs w:val="14"/>
                <w:color w:val="auto"/>
              </w:rPr>
              <w:t>Foreign</w:t>
            </w:r>
          </w:p>
        </w:tc>
        <w:tc>
          <w:tcPr>
            <w:tcW w:w="8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(0.1)</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7"/>
        </w:trPr>
        <w:tc>
          <w:tcPr>
            <w:tcW w:w="7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deferred portion</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w:t>
            </w:r>
          </w:p>
        </w:tc>
      </w:tr>
      <w:tr>
        <w:trPr>
          <w:trHeight w:val="27"/>
        </w:trPr>
        <w:tc>
          <w:tcPr>
            <w:tcW w:w="74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4"/>
                <w:szCs w:val="14"/>
                <w:color w:val="auto"/>
              </w:rPr>
              <w:t>Total provision for income taxes</w:t>
            </w:r>
          </w:p>
        </w:tc>
        <w:tc>
          <w:tcPr>
            <w:tcW w:w="800" w:type="dxa"/>
            <w:vAlign w:val="bottom"/>
          </w:tcPr>
          <w:p>
            <w:pPr>
              <w:jc w:val="right"/>
              <w:ind w:right="682"/>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45.6</w:t>
            </w:r>
          </w:p>
        </w:tc>
        <w:tc>
          <w:tcPr>
            <w:tcW w:w="22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60.3</w:t>
            </w:r>
          </w:p>
        </w:tc>
        <w:tc>
          <w:tcPr>
            <w:tcW w:w="4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25.7</w:t>
            </w:r>
          </w:p>
        </w:tc>
      </w:tr>
      <w:tr>
        <w:trPr>
          <w:trHeight w:val="21"/>
        </w:trPr>
        <w:tc>
          <w:tcPr>
            <w:tcW w:w="7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reconciliation of the provision for income taxes with amounts determined by applying the statutory U.S. federal income tax rate to income before income taxes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For the Year Ended December 31,</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7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Pre-Tax Net Book Income (“NBI”)</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4,298.8</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2,881.3</w:t>
            </w:r>
          </w:p>
        </w:tc>
        <w:tc>
          <w:tcPr>
            <w:tcW w:w="12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Texas Margin Tax (1)</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54.8</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26.4</w:t>
            </w:r>
          </w:p>
        </w:tc>
      </w:tr>
      <w:tr>
        <w:trPr>
          <w:trHeight w:val="216"/>
        </w:trPr>
        <w:tc>
          <w:tcPr>
            <w:tcW w:w="7440" w:type="dxa"/>
            <w:vAlign w:val="bottom"/>
          </w:tcPr>
          <w:p>
            <w:pPr>
              <w:spacing w:after="0"/>
              <w:rPr>
                <w:sz w:val="20"/>
                <w:szCs w:val="20"/>
                <w:color w:val="auto"/>
              </w:rPr>
            </w:pPr>
            <w:r>
              <w:rPr>
                <w:rFonts w:ascii="Arial" w:cs="Arial" w:eastAsia="Arial" w:hAnsi="Arial"/>
                <w:sz w:val="14"/>
                <w:szCs w:val="14"/>
                <w:color w:val="auto"/>
              </w:rPr>
              <w:t>State income taxes (net of federal benefit)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0.2</w:t>
            </w:r>
          </w:p>
        </w:tc>
        <w:tc>
          <w:tcPr>
            <w:tcW w:w="3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0.5</w:t>
            </w:r>
          </w:p>
        </w:tc>
      </w:tr>
      <w:tr>
        <w:trPr>
          <w:trHeight w:val="130"/>
        </w:trPr>
        <w:tc>
          <w:tcPr>
            <w:tcW w:w="7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Federal income taxes computed by applying the federal</w:t>
            </w: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7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statutory rate to NBI of corporate entities</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w:t>
            </w:r>
          </w:p>
        </w:tc>
        <w:tc>
          <w:tcPr>
            <w:tcW w:w="3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0.1</w:t>
            </w:r>
          </w:p>
        </w:tc>
      </w:tr>
      <w:tr>
        <w:trPr>
          <w:trHeight w:val="223"/>
        </w:trPr>
        <w:tc>
          <w:tcPr>
            <w:tcW w:w="7440" w:type="dxa"/>
            <w:vAlign w:val="bottom"/>
          </w:tcPr>
          <w:p>
            <w:pPr>
              <w:spacing w:after="0"/>
              <w:rPr>
                <w:sz w:val="20"/>
                <w:szCs w:val="20"/>
                <w:color w:val="auto"/>
              </w:rPr>
            </w:pPr>
            <w:r>
              <w:rPr>
                <w:rFonts w:ascii="Arial" w:cs="Arial" w:eastAsia="Arial" w:hAnsi="Arial"/>
                <w:sz w:val="14"/>
                <w:szCs w:val="14"/>
                <w:color w:val="auto"/>
              </w:rPr>
              <w:t>Other permanent differences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(1.3)</w:t>
            </w:r>
          </w:p>
        </w:tc>
      </w:tr>
      <w:tr>
        <w:trPr>
          <w:trHeight w:val="257"/>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37"/>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Effective income tax rate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w:t>
            </w:r>
          </w:p>
        </w:tc>
        <w:tc>
          <w:tcPr>
            <w:tcW w:w="3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400" w:hanging="392"/>
        <w:spacing w:after="0" w:line="253" w:lineRule="auto"/>
        <w:tabs>
          <w:tab w:leader="none" w:pos="4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Although the Texas Margin Tax is not considered a state income tax, it has the characteristics of an income tax since it is determined by applying a tax rate to a base that considers our Texas-sourced revenues and expenses.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significant components of deferred tax assets and deferred tax liabilities at the dates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8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88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Attributable to property, plant and equipment</w:t>
            </w:r>
          </w:p>
        </w:tc>
        <w:tc>
          <w:tcPr>
            <w:tcW w:w="760" w:type="dxa"/>
            <w:vAlign w:val="bottom"/>
            <w:shd w:val="clear" w:color="auto" w:fill="CCEEFF"/>
          </w:tcPr>
          <w:p>
            <w:pPr>
              <w:jc w:val="right"/>
              <w:ind w:right="64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80.8</w:t>
            </w:r>
          </w:p>
        </w:tc>
      </w:tr>
      <w:tr>
        <w:trPr>
          <w:trHeight w:val="223"/>
        </w:trPr>
        <w:tc>
          <w:tcPr>
            <w:tcW w:w="8820" w:type="dxa"/>
            <w:vAlign w:val="bottom"/>
          </w:tcPr>
          <w:p>
            <w:pPr>
              <w:ind w:left="180"/>
              <w:spacing w:after="0"/>
              <w:rPr>
                <w:sz w:val="20"/>
                <w:szCs w:val="20"/>
                <w:color w:val="auto"/>
              </w:rPr>
            </w:pPr>
            <w:r>
              <w:rPr>
                <w:rFonts w:ascii="Arial" w:cs="Arial" w:eastAsia="Arial" w:hAnsi="Arial"/>
                <w:sz w:val="14"/>
                <w:szCs w:val="14"/>
                <w:color w:val="auto"/>
              </w:rPr>
              <w:t>Attributable to investments in partnerships</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9"/>
                <w:szCs w:val="19"/>
                <w:color w:val="auto"/>
              </w:rPr>
            </w:pPr>
          </w:p>
        </w:tc>
      </w:tr>
      <w:tr>
        <w:trPr>
          <w:trHeight w:val="223"/>
        </w:trPr>
        <w:tc>
          <w:tcPr>
            <w:tcW w:w="88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deferred tax liabilities</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83.1</w:t>
            </w:r>
          </w:p>
        </w:tc>
      </w:tr>
      <w:tr>
        <w:trPr>
          <w:trHeight w:val="216"/>
        </w:trPr>
        <w:tc>
          <w:tcPr>
            <w:tcW w:w="882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Less deferred tax assets:</w:t>
            </w: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operating loss carryovers (1)</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w:t>
            </w:r>
          </w:p>
        </w:tc>
      </w:tr>
      <w:tr>
        <w:trPr>
          <w:trHeight w:val="223"/>
        </w:trPr>
        <w:tc>
          <w:tcPr>
            <w:tcW w:w="8820" w:type="dxa"/>
            <w:vAlign w:val="bottom"/>
          </w:tcPr>
          <w:p>
            <w:pPr>
              <w:ind w:left="180"/>
              <w:spacing w:after="0"/>
              <w:rPr>
                <w:sz w:val="20"/>
                <w:szCs w:val="20"/>
                <w:color w:val="auto"/>
              </w:rPr>
            </w:pPr>
            <w:r>
              <w:rPr>
                <w:rFonts w:ascii="Arial" w:cs="Arial" w:eastAsia="Arial" w:hAnsi="Arial"/>
                <w:sz w:val="14"/>
                <w:szCs w:val="14"/>
                <w:color w:val="auto"/>
              </w:rPr>
              <w:t>Temporary differences related to Texas Margin Tax</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9"/>
                <w:szCs w:val="19"/>
                <w:color w:val="auto"/>
              </w:rPr>
            </w:pPr>
          </w:p>
        </w:tc>
      </w:tr>
      <w:tr>
        <w:trPr>
          <w:trHeight w:val="223"/>
        </w:trPr>
        <w:tc>
          <w:tcPr>
            <w:tcW w:w="8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deferred tax assets</w:t>
            </w: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4"/>
                <w:szCs w:val="14"/>
                <w:color w:val="auto"/>
              </w:rPr>
              <w:t>Total net deferred tax liabilities</w:t>
            </w:r>
          </w:p>
        </w:tc>
        <w:tc>
          <w:tcPr>
            <w:tcW w:w="760" w:type="dxa"/>
            <w:vAlign w:val="bottom"/>
          </w:tcPr>
          <w:p>
            <w:pPr>
              <w:jc w:val="right"/>
              <w:ind w:right="642"/>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100.4</w:t>
            </w:r>
          </w:p>
        </w:tc>
        <w:tc>
          <w:tcPr>
            <w:tcW w:w="5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80.4</w:t>
            </w:r>
          </w:p>
        </w:tc>
      </w:tr>
      <w:tr>
        <w:trPr>
          <w:trHeight w:val="21"/>
        </w:trPr>
        <w:tc>
          <w:tcPr>
            <w:tcW w:w="8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380" w:hanging="372"/>
        <w:spacing w:after="0"/>
        <w:tabs>
          <w:tab w:leader="none" w:pos="38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These losses expire in various years between 2020 and 2037 and are subject to limitations on their utilization.</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Accounting guidance provides that a tax benefit from an uncertain tax position may be recognized when it is more likely than not that the position will be sustained upon examination, including resolutions of any related appeals or litigation processes, based on the technical merits. We did not rely on any uncertain tax positions in recording our income tax-related amounts during the years ended December 31, 2019, 2018 or 2017.</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17" w:name="page218"/>
    <w:bookmarkEnd w:id="2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normal business activities, we may be named as defendants in legal proceedings, including those arising from regulatory and environmental matters. Although we are insured against various risks to the extent we believe it is prudent, there is no assurance that the nature and amount of such insurance will be adequate, in every case, to fully indemnify us against losses arising from future legal proceedings. We will vigorously defend the Partnership in litigation matters.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has regular quarterly litigation reviews, including updates from legal counsel, to assess the possible need for accounting recognition and disclosure of these contingencies. We accrue an undiscounted liability for those contingencies where the loss is probable and the amount can be reasonably estimated. If a range of probable loss amounts can be reasonably estimated and no amount within the range is a better estimate than any other amount, then the minimum amount in the range is accrued.</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 Based on a consideration of all relevant known facts and circumstances, we do not believe that the ultimate outcome of any currently pending litigation directed against us will have a material impact on our consolidated financial statements either individually at the claim level or in the aggregate.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2019 and 2018, our accruals for litigation contingencies were $0.2 million and $0.5 million, respectively, and were recorded in our Consolidated Balance Sheets as a component of “Other current liabilities.” Our evaluation of litigation contingencies is based on the facts and circumstances of each case and predicting the outcome of these matters involves uncertainties. In the event the assumptions we use to evaluate these matters change in future periods or new information becomes available, we may be required to record additional accruals. In an effort to mitigate expenses associated with litigation, we may settle legal proceedings out of court.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Energy Transfer Matter</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a proposed pipeline project, we and ETP signed a non-binding letter of intent in April 2011 that disclaimed any partnership or joint venture related to such project absent executed definitive documents and board approvals of the respective companies. Definitive agreements were never executed and board approval was never obtained for the potential pipeline project. In August 2011, the proposed pipeline project was cancelled due to a lack of customer support.</w:t>
      </w:r>
    </w:p>
    <w:p>
      <w:pPr>
        <w:spacing w:after="0" w:line="2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September 2011, ETP filed suit against us and a third party in connection with the cancelled project alleging, among other things, that we and ETP had formed a “partnership.” The case was tried in the District Court of Dallas County, Texas, 298th Judicial District. While we firmly believe, and argued during our defense, that no agreement was ever executed forming a legal joint venture or partnership between the parties, the jury found that the actions of the two companies, nevertheless, constituted a legal partnership. As a result, the jury found that ETP was wrongfully excluded from a subsequent pipeline project involving a third party, and awarded ETP $319.4 million in actual damages on March 4, 2014. On July 29, 2014, the trial court entered judgment against us in an aggregate amount of $535.8 million, which included (i) $319.4 million as the amount of actual damages awarded by the jury, (ii) an additional $150.0 million in disgorgement for the alleged benefit we received due to a breach of fiduciary duties by us against ETP and (iii) prejudgment interest in the amount of $66.4 million. The trial court also awarded post-judgment interest on such aggregate amount, to accrue at a rate of 5%, compounded annually.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18" w:name="page219"/>
    <w:bookmarkEnd w:id="2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filed our Brief of the Appellant in the Court of Appeals for the Fifth District of Dallas, Texas on March 30, 2015 and ETP filed its Brief of Appellees on June 29, 2015. We filed our Reply Brief of Appellant on September 18, 2015. Oral argument was conducted on April 20, 2016, and the case was then submitted to the Court of Appeals for its consideration. On July 18, 2017, a panel of the Dallas Court of Appeals issued a unanimous opinion reversing the trial court’s judgment as to all of ETP’s claims against us, rendering judgment that ETP take nothing on those claims, and affirming our counterclaim against ETP of $0.8 million, plus interest. On August 31, 2017, ETP filed a motion for rehearing before the Dallas Court of Appeals, which was denied on September 13, 2017. On December 27, 2017, ETP filed its Petition for Review with the Supreme Court of Texas and we filed our Response to the Petition for Review on February 26, 2018. On June 8, 2018, the Supreme Court of Texas requested that the parties file briefs on the merits, and the parties filed their respective submittals. On June 28, 2019, the Supreme Court of Texas requested oral argument, which was held on October 8, 2019. On January 31, 2020, the Supreme Court of Texas issued a unanimous opinion affirming the judgment of the Dallas Court of Appeals.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did not record a provision for this matter at December 31, 2019 as management believed that payment of damages by us was not probable.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PDH Litigation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July 2013, we executed a contract with Foster Wheeler USA Corporation (“Foster Wheeler”) pursuant to which Foster Wheeler was to serve as the general contractor responsible for the engineering, procurement, construction and installation of our initial propane dehydrogenation (“PDH 1”) facility. In November 2014, Foster Wheeler was acquired by an affiliate of AMEC plc to form Amec Foster Wheeler plc, and Foster Wheeler is now known as Amec Foster Wheeler USA Corporation (“AFW”). In December 2015, Enterprise and AFW entered into a transition services agreement under which AFW was partially terminated from the PDH 1 project. In December 2015, Enterprise engaged a second contractor, Optimized Process Designs LLC, to complete the construction and installation of PDH 1.</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 2016, we terminated AFW for cause and filed a lawsuit in the 151st Judicial Civil District Court of Harris County, Texas against AFW and its parent company, Amec Foster Wheeler plc, asserting claims for breach of contract, breach of warranty, fraudulent inducement, string-along fraud, gross negligence, professional negligence, negligent misrepresentation and attorneys’ fees. We intend to diligently prosecute these claims and seek all direct, consequential, and exemplary damages to which we may be entitled.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Redelivery Commitments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store natural gas, crude oil, NGLs and certain petrochemical products owned by third parties under various agreements. Under the terms of these agreements, we are generally required to redeliver volumes to the owner on demand. At December 31, 2019, we had approximately 8.9 trillion British thermal units (“TBtus”) of natural gas, 20.4 MMBbls of crude oil, and 38.1 MMBbls of NGL and petrochemical products in our custody that were owned by third parties. We maintain insurance coverage in connection with such volumes that is consistent with our exposure. See Note 18 for information regarding insurance matters.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Under Equity Compensation Plans of EPCO</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accordance with our agreements with EPCO, we reimburse EPCO for our share of its compensation expense attributable to employees who perform management, administrative and operating functions for us. See Notes 13 and 15 for additional information regarding our accounting for equity-based awards and related party information,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19" w:name="page220"/>
    <w:bookmarkEnd w:id="2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various contractual obligations at December 31, 2019. A description of each type of contractual obligation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8"/>
          </w:tcPr>
          <w:p>
            <w:pPr>
              <w:ind w:left="480"/>
              <w:spacing w:after="0"/>
              <w:rPr>
                <w:sz w:val="20"/>
                <w:szCs w:val="20"/>
                <w:color w:val="auto"/>
              </w:rPr>
            </w:pPr>
            <w:r>
              <w:rPr>
                <w:rFonts w:ascii="Arial" w:cs="Arial" w:eastAsia="Arial" w:hAnsi="Arial"/>
                <w:sz w:val="14"/>
                <w:szCs w:val="14"/>
                <w:b w:val="1"/>
                <w:bCs w:val="1"/>
                <w:color w:val="auto"/>
              </w:rPr>
              <w:t>Payment or Settlement due by Period</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25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Contractual Obligations</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9"/>
                <w:szCs w:val="19"/>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Scheduled maturities of debt obligations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27,878.4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1,982.0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1,400.0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1,250.0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21,071.4</w:t>
            </w:r>
          </w:p>
        </w:tc>
      </w:tr>
      <w:tr>
        <w:trPr>
          <w:trHeight w:val="216"/>
        </w:trPr>
        <w:tc>
          <w:tcPr>
            <w:tcW w:w="2540" w:type="dxa"/>
            <w:vAlign w:val="bottom"/>
          </w:tcPr>
          <w:p>
            <w:pPr>
              <w:spacing w:after="0"/>
              <w:rPr>
                <w:sz w:val="20"/>
                <w:szCs w:val="20"/>
                <w:color w:val="auto"/>
              </w:rPr>
            </w:pPr>
            <w:r>
              <w:rPr>
                <w:rFonts w:ascii="Arial" w:cs="Arial" w:eastAsia="Arial" w:hAnsi="Arial"/>
                <w:sz w:val="14"/>
                <w:szCs w:val="14"/>
                <w:color w:val="auto"/>
              </w:rPr>
              <w:t>Estimated cash interest payments</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26,264.5</w:t>
            </w:r>
          </w:p>
        </w:tc>
        <w:tc>
          <w:tcPr>
            <w:tcW w:w="220" w:type="dxa"/>
            <w:vAlign w:val="bottom"/>
          </w:tcPr>
          <w:p>
            <w:pPr>
              <w:spacing w:after="0"/>
              <w:rPr>
                <w:sz w:val="18"/>
                <w:szCs w:val="18"/>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1,224.7</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1,154.0</w:t>
            </w:r>
          </w:p>
        </w:tc>
        <w:tc>
          <w:tcPr>
            <w:tcW w:w="220" w:type="dxa"/>
            <w:vAlign w:val="bottom"/>
          </w:tcPr>
          <w:p>
            <w:pPr>
              <w:spacing w:after="0"/>
              <w:rPr>
                <w:sz w:val="18"/>
                <w:szCs w:val="18"/>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1,101.2</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1,061.1</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1,023.0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20,700.5</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obligations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271.2</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40.1</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28.6</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20.2</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121.4</w:t>
            </w:r>
          </w:p>
        </w:tc>
      </w:tr>
      <w:tr>
        <w:trPr>
          <w:trHeight w:val="216"/>
        </w:trPr>
        <w:tc>
          <w:tcPr>
            <w:tcW w:w="2540" w:type="dxa"/>
            <w:vAlign w:val="bottom"/>
          </w:tcPr>
          <w:p>
            <w:pPr>
              <w:spacing w:after="0"/>
              <w:rPr>
                <w:sz w:val="20"/>
                <w:szCs w:val="20"/>
                <w:color w:val="auto"/>
              </w:rPr>
            </w:pPr>
            <w:r>
              <w:rPr>
                <w:rFonts w:ascii="Arial" w:cs="Arial" w:eastAsia="Arial" w:hAnsi="Arial"/>
                <w:sz w:val="14"/>
                <w:szCs w:val="14"/>
                <w:color w:val="auto"/>
              </w:rPr>
              <w:t>Purchase obligations: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w w:val="99"/>
              </w:rPr>
              <w:t>Product purchase commitments: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tcPr>
          <w:p>
            <w:pPr>
              <w:ind w:left="340"/>
              <w:spacing w:after="0"/>
              <w:rPr>
                <w:sz w:val="20"/>
                <w:szCs w:val="20"/>
                <w:color w:val="auto"/>
              </w:rPr>
            </w:pPr>
            <w:r>
              <w:rPr>
                <w:rFonts w:ascii="Arial" w:cs="Arial" w:eastAsia="Arial" w:hAnsi="Arial"/>
                <w:sz w:val="14"/>
                <w:szCs w:val="14"/>
                <w:color w:val="auto"/>
              </w:rPr>
              <w:t>Estimated payment obligations: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Natural gas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610.2</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345.4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264.8</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6"/>
        </w:trPr>
        <w:tc>
          <w:tcPr>
            <w:tcW w:w="2540" w:type="dxa"/>
            <w:vAlign w:val="bottom"/>
          </w:tcPr>
          <w:p>
            <w:pPr>
              <w:ind w:left="440"/>
              <w:spacing w:after="0"/>
              <w:rPr>
                <w:sz w:val="20"/>
                <w:szCs w:val="20"/>
                <w:color w:val="auto"/>
              </w:rPr>
            </w:pPr>
            <w:r>
              <w:rPr>
                <w:rFonts w:ascii="Arial" w:cs="Arial" w:eastAsia="Arial" w:hAnsi="Arial"/>
                <w:sz w:val="14"/>
                <w:szCs w:val="14"/>
                <w:color w:val="auto"/>
              </w:rPr>
              <w:t>NGLs</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5,534.7</w:t>
            </w:r>
          </w:p>
        </w:tc>
        <w:tc>
          <w:tcPr>
            <w:tcW w:w="220" w:type="dxa"/>
            <w:vAlign w:val="bottom"/>
          </w:tcPr>
          <w:p>
            <w:pPr>
              <w:spacing w:after="0"/>
              <w:rPr>
                <w:sz w:val="18"/>
                <w:szCs w:val="18"/>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844.0</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911.1</w:t>
            </w:r>
          </w:p>
        </w:tc>
        <w:tc>
          <w:tcPr>
            <w:tcW w:w="220" w:type="dxa"/>
            <w:vAlign w:val="bottom"/>
          </w:tcPr>
          <w:p>
            <w:pPr>
              <w:spacing w:after="0"/>
              <w:rPr>
                <w:sz w:val="18"/>
                <w:szCs w:val="18"/>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627.5</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548.1</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513.5</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2,090.5</w:t>
            </w:r>
          </w:p>
        </w:tc>
      </w:tr>
      <w:tr>
        <w:trPr>
          <w:trHeight w:val="216"/>
        </w:trPr>
        <w:tc>
          <w:tcPr>
            <w:tcW w:w="25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Crude oil</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14,025.5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1,436.9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1,659.8</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1,532.1</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1,536.3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6,183.2</w:t>
            </w:r>
          </w:p>
        </w:tc>
      </w:tr>
      <w:tr>
        <w:trPr>
          <w:trHeight w:val="216"/>
        </w:trPr>
        <w:tc>
          <w:tcPr>
            <w:tcW w:w="2540" w:type="dxa"/>
            <w:vAlign w:val="bottom"/>
          </w:tcPr>
          <w:p>
            <w:pPr>
              <w:ind w:left="440"/>
              <w:spacing w:after="0"/>
              <w:rPr>
                <w:sz w:val="20"/>
                <w:szCs w:val="20"/>
                <w:color w:val="auto"/>
              </w:rPr>
            </w:pPr>
            <w:r>
              <w:rPr>
                <w:rFonts w:ascii="Arial" w:cs="Arial" w:eastAsia="Arial" w:hAnsi="Arial"/>
                <w:sz w:val="14"/>
                <w:szCs w:val="14"/>
                <w:color w:val="auto"/>
                <w:w w:val="91"/>
              </w:rPr>
              <w:t>Petrochemicals and refined products</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384.0</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164.1</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77.2</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48.9</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48.9</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44.9</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16"/>
        </w:trPr>
        <w:tc>
          <w:tcPr>
            <w:tcW w:w="25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Other</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19.6</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6"/>
        </w:trPr>
        <w:tc>
          <w:tcPr>
            <w:tcW w:w="2540" w:type="dxa"/>
            <w:vAlign w:val="bottom"/>
          </w:tcPr>
          <w:p>
            <w:pPr>
              <w:ind w:left="160"/>
              <w:spacing w:after="0"/>
              <w:rPr>
                <w:sz w:val="20"/>
                <w:szCs w:val="20"/>
                <w:color w:val="auto"/>
              </w:rPr>
            </w:pPr>
            <w:r>
              <w:rPr>
                <w:rFonts w:ascii="Arial" w:cs="Arial" w:eastAsia="Arial" w:hAnsi="Arial"/>
                <w:sz w:val="14"/>
                <w:szCs w:val="14"/>
                <w:color w:val="auto"/>
              </w:rPr>
              <w:t>Service payment commitments</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335.7</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66.6</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59.7</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57.7</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43.3</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14.5</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93.9</w:t>
            </w:r>
          </w:p>
        </w:tc>
      </w:tr>
      <w:tr>
        <w:trPr>
          <w:trHeight w:val="216"/>
        </w:trPr>
        <w:tc>
          <w:tcPr>
            <w:tcW w:w="2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Capital expenditure commitments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45.8</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Scheduled Maturities of Debt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have long-term and short-term payment obligations under debt agreements. Amounts shown in the preceding table represent our scheduled future maturities of debt principal for the years indicated. See Note 7 for additional information regarding our consolidated debt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Estimated Cash Interest Payments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estimated cash payments for interest are based on the principal amount of our consolidated debt obligations outstanding at December 31, 2019, the contractually scheduled maturities of such balances, and the applicable interest rates. Our estimated cash payments for interest are influenced by the long-term maturities of our $2.65 billion in junior subordinated notes (due June 2067 through February 2078). The estimated cash payments assume that (i) the junior subordinated notes are not repaid prior to their respective maturity dates and (ii) the amount of interest paid on the junior subordinated notes is based on either (a) the current fixed interest rate charged or (b) the weighted-average variable rate paid in 2019, as applicable, for each note through the respective maturity date. See Note 7 for information regarding fixed and weighted-average variable interest rates charged in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Lease Obligations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lease certain property, plant and equipment under noncancelable and cancelable operating leases. Amounts shown in the preceding table represent minimum cash lease payment obligations under our operating leases with terms in excess of one year.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Our significant lease agreements consist of (i) land held pursuant to property leases, (ii) the lease of underground storage caverns for natural gas and NGLs,</w:t>
      </w:r>
    </w:p>
    <w:p>
      <w:pPr>
        <w:spacing w:after="0" w:line="46" w:lineRule="exact"/>
        <w:rPr>
          <w:sz w:val="20"/>
          <w:szCs w:val="20"/>
          <w:color w:val="auto"/>
        </w:rPr>
      </w:pPr>
    </w:p>
    <w:p>
      <w:pPr>
        <w:jc w:val="both"/>
        <w:ind w:firstLine="8"/>
        <w:spacing w:after="0" w:line="254" w:lineRule="auto"/>
        <w:tabs>
          <w:tab w:leader="none" w:pos="31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lease of transportation equipment used in our operations and (iv) office space leased from affiliates of EPCO. These lease agreements have terms that range from 5 to 30 years. The agreements to lease office space from affiliates of EPCO and those relating to underground NGL storage caverns we lease from a third party include renewal options that could extend these contracts for up to an additional 20 years. The remainder of our significant lease agreements do not provide for additional renewal terms.</w:t>
      </w:r>
    </w:p>
    <w:p>
      <w:pPr>
        <w:spacing w:after="0" w:line="2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Lease expense is charged to operating costs and expenses on a straight-line basis over the period of expected economic benefit. Contingent rental payments are expensed as incurred. We are generally required to perform routine maintenance on the underlying leased assets. In addition, certain leases give us the option to make leasehold improvements. Maintenance and repairs of leased assets resulting from our operations are charged to expense as incurred.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0" w:name="page221"/>
    <w:bookmarkEnd w:id="2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operating leases where we are the lessee at December 31,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108"/>
              <w:spacing w:after="0"/>
              <w:rPr>
                <w:sz w:val="20"/>
                <w:szCs w:val="20"/>
                <w:color w:val="auto"/>
              </w:rPr>
            </w:pPr>
            <w:r>
              <w:rPr>
                <w:rFonts w:ascii="Arial" w:cs="Arial" w:eastAsia="Arial" w:hAnsi="Arial"/>
                <w:sz w:val="14"/>
                <w:szCs w:val="14"/>
                <w:b w:val="1"/>
                <w:bCs w:val="1"/>
                <w:color w:val="auto"/>
              </w:rPr>
              <w:t>ROU</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vMerge w:val="restart"/>
          </w:tcPr>
          <w:p>
            <w:pPr>
              <w:jc w:val="right"/>
              <w:ind w:right="1180"/>
              <w:spacing w:after="0"/>
              <w:rPr>
                <w:sz w:val="20"/>
                <w:szCs w:val="20"/>
                <w:color w:val="auto"/>
              </w:rPr>
            </w:pPr>
            <w:r>
              <w:rPr>
                <w:rFonts w:ascii="Arial" w:cs="Arial" w:eastAsia="Arial" w:hAnsi="Arial"/>
                <w:sz w:val="14"/>
                <w:szCs w:val="14"/>
                <w:b w:val="1"/>
                <w:bCs w:val="1"/>
                <w:color w:val="auto"/>
              </w:rPr>
              <w:t>Lease</w:t>
            </w:r>
          </w:p>
        </w:tc>
        <w:tc>
          <w:tcPr>
            <w:tcW w:w="240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Weighted-</w:t>
            </w:r>
          </w:p>
        </w:tc>
        <w:tc>
          <w:tcPr>
            <w:tcW w:w="1920" w:type="dxa"/>
            <w:vAlign w:val="bottom"/>
          </w:tcPr>
          <w:p>
            <w:pPr>
              <w:jc w:val="center"/>
              <w:ind w:left="46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89"/>
              </w:rPr>
              <w:t>Asset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4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Average</w:t>
            </w:r>
          </w:p>
        </w:tc>
        <w:tc>
          <w:tcPr>
            <w:tcW w:w="192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Asset Category</w:t>
            </w:r>
          </w:p>
        </w:tc>
        <w:tc>
          <w:tcPr>
            <w:tcW w:w="200" w:type="dxa"/>
            <w:vAlign w:val="bottom"/>
          </w:tcPr>
          <w:p>
            <w:pPr>
              <w:spacing w:after="0"/>
              <w:rPr>
                <w:sz w:val="12"/>
                <w:szCs w:val="12"/>
                <w:color w:val="auto"/>
              </w:rPr>
            </w:pPr>
          </w:p>
        </w:tc>
        <w:tc>
          <w:tcPr>
            <w:tcW w:w="98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Liability Carrying</w:t>
            </w:r>
          </w:p>
        </w:tc>
        <w:tc>
          <w:tcPr>
            <w:tcW w:w="24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Remaining</w:t>
            </w:r>
          </w:p>
        </w:tc>
        <w:tc>
          <w:tcPr>
            <w:tcW w:w="192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0"/>
              </w:rPr>
              <w:t>Discount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4"/>
                <w:szCs w:val="14"/>
                <w:color w:val="auto"/>
                <w:w w:val="92"/>
              </w:rPr>
              <w:t>(1)</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right"/>
              <w:ind w:right="110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color w:val="auto"/>
              </w:rPr>
              <w:t>(2)</w:t>
            </w:r>
          </w:p>
        </w:tc>
        <w:tc>
          <w:tcPr>
            <w:tcW w:w="24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Term</w:t>
            </w:r>
          </w:p>
        </w:tc>
        <w:tc>
          <w:tcPr>
            <w:tcW w:w="192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7"/>
              </w:rPr>
              <w:t xml:space="preserve">Rate </w:t>
            </w:r>
            <w:r>
              <w:rPr>
                <w:rFonts w:ascii="Arial" w:cs="Arial" w:eastAsia="Arial" w:hAnsi="Arial"/>
                <w:sz w:val="14"/>
                <w:szCs w:val="14"/>
                <w:color w:val="auto"/>
                <w:w w:val="97"/>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Storage and pipeline facilities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4"/>
                <w:szCs w:val="14"/>
                <w:color w:val="auto"/>
              </w:rPr>
              <w:t>138.6</w:t>
            </w:r>
          </w:p>
        </w:tc>
        <w:tc>
          <w:tcPr>
            <w:tcW w:w="2400" w:type="dxa"/>
            <w:vAlign w:val="bottom"/>
            <w:tcBorders>
              <w:bottom w:val="single" w:sz="8" w:color="CCEEFF"/>
            </w:tcBorders>
            <w:shd w:val="clear" w:color="auto" w:fill="CCEEFF"/>
          </w:tcPr>
          <w:p>
            <w:pPr>
              <w:jc w:val="center"/>
              <w:ind w:right="48"/>
              <w:spacing w:after="0"/>
              <w:rPr>
                <w:sz w:val="20"/>
                <w:szCs w:val="20"/>
                <w:color w:val="auto"/>
              </w:rPr>
            </w:pPr>
            <w:r>
              <w:rPr>
                <w:rFonts w:ascii="Arial" w:cs="Arial" w:eastAsia="Arial" w:hAnsi="Arial"/>
                <w:sz w:val="14"/>
                <w:szCs w:val="14"/>
                <w:color w:val="auto"/>
                <w:w w:val="89"/>
              </w:rPr>
              <w:t>16 years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Transportation equipment</w:t>
            </w:r>
          </w:p>
        </w:tc>
        <w:tc>
          <w:tcPr>
            <w:tcW w:w="2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49.9</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vMerge w:val="restart"/>
          </w:tcPr>
          <w:p>
            <w:pPr>
              <w:jc w:val="right"/>
              <w:ind w:right="800"/>
              <w:spacing w:after="0"/>
              <w:rPr>
                <w:sz w:val="20"/>
                <w:szCs w:val="20"/>
                <w:color w:val="auto"/>
              </w:rPr>
            </w:pPr>
            <w:r>
              <w:rPr>
                <w:rFonts w:ascii="Arial" w:cs="Arial" w:eastAsia="Arial" w:hAnsi="Arial"/>
                <w:sz w:val="14"/>
                <w:szCs w:val="14"/>
                <w:color w:val="auto"/>
              </w:rPr>
              <w:t>52.4</w:t>
            </w:r>
          </w:p>
        </w:tc>
        <w:tc>
          <w:tcPr>
            <w:tcW w:w="2400" w:type="dxa"/>
            <w:vAlign w:val="bottom"/>
          </w:tcPr>
          <w:p>
            <w:pPr>
              <w:jc w:val="center"/>
              <w:ind w:right="68"/>
              <w:spacing w:after="0"/>
              <w:rPr>
                <w:sz w:val="20"/>
                <w:szCs w:val="20"/>
                <w:color w:val="auto"/>
              </w:rPr>
            </w:pPr>
            <w:r>
              <w:rPr>
                <w:rFonts w:ascii="Arial" w:cs="Arial" w:eastAsia="Arial" w:hAnsi="Arial"/>
                <w:sz w:val="14"/>
                <w:szCs w:val="14"/>
                <w:color w:val="auto"/>
                <w:w w:val="91"/>
              </w:rPr>
              <w:t>3 years</w:t>
            </w:r>
          </w:p>
        </w:tc>
        <w:tc>
          <w:tcPr>
            <w:tcW w:w="192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2400" w:type="dxa"/>
            <w:vAlign w:val="bottom"/>
          </w:tcPr>
          <w:p>
            <w:pPr>
              <w:spacing w:after="0"/>
              <w:rPr>
                <w:sz w:val="2"/>
                <w:szCs w:val="2"/>
                <w:color w:val="auto"/>
              </w:rPr>
            </w:pPr>
          </w:p>
        </w:tc>
        <w:tc>
          <w:tcPr>
            <w:tcW w:w="1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Office and warehouse space</w:t>
            </w: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4"/>
                <w:szCs w:val="14"/>
                <w:color w:val="auto"/>
              </w:rPr>
              <w:t>21.0</w:t>
            </w:r>
          </w:p>
        </w:tc>
        <w:tc>
          <w:tcPr>
            <w:tcW w:w="2400" w:type="dxa"/>
            <w:vAlign w:val="bottom"/>
            <w:tcBorders>
              <w:bottom w:val="single" w:sz="8" w:color="CCEEFF"/>
            </w:tcBorders>
            <w:shd w:val="clear" w:color="auto" w:fill="CCEEFF"/>
          </w:tcPr>
          <w:p>
            <w:pPr>
              <w:jc w:val="center"/>
              <w:ind w:right="68"/>
              <w:spacing w:after="0"/>
              <w:rPr>
                <w:sz w:val="20"/>
                <w:szCs w:val="20"/>
                <w:color w:val="auto"/>
              </w:rPr>
            </w:pPr>
            <w:r>
              <w:rPr>
                <w:rFonts w:ascii="Arial" w:cs="Arial" w:eastAsia="Arial" w:hAnsi="Arial"/>
                <w:sz w:val="14"/>
                <w:szCs w:val="14"/>
                <w:color w:val="auto"/>
                <w:w w:val="91"/>
              </w:rPr>
              <w:t>2 years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Total</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210.2</w:t>
            </w:r>
          </w:p>
        </w:tc>
        <w:tc>
          <w:tcPr>
            <w:tcW w:w="200" w:type="dxa"/>
            <w:vAlign w:val="bottom"/>
            <w:vMerge w:val="restart"/>
          </w:tcPr>
          <w:p>
            <w:pPr>
              <w:spacing w:after="0"/>
              <w:rPr>
                <w:sz w:val="15"/>
                <w:szCs w:val="15"/>
                <w:color w:val="auto"/>
              </w:rPr>
            </w:pPr>
          </w:p>
        </w:tc>
        <w:tc>
          <w:tcPr>
            <w:tcW w:w="180" w:type="dxa"/>
            <w:vAlign w:val="bottom"/>
            <w:vMerge w:val="restart"/>
          </w:tcPr>
          <w:p>
            <w:pPr>
              <w:spacing w:after="0"/>
              <w:rPr>
                <w:sz w:val="20"/>
                <w:szCs w:val="20"/>
                <w:color w:val="auto"/>
              </w:rPr>
            </w:pPr>
            <w:r>
              <w:rPr>
                <w:rFonts w:ascii="Arial" w:cs="Arial" w:eastAsia="Arial" w:hAnsi="Arial"/>
                <w:sz w:val="14"/>
                <w:szCs w:val="14"/>
                <w:color w:val="auto"/>
              </w:rPr>
              <w:t>$</w:t>
            </w:r>
          </w:p>
        </w:tc>
        <w:tc>
          <w:tcPr>
            <w:tcW w:w="1760" w:type="dxa"/>
            <w:vAlign w:val="bottom"/>
            <w:gridSpan w:val="2"/>
            <w:vMerge w:val="restart"/>
          </w:tcPr>
          <w:p>
            <w:pPr>
              <w:jc w:val="right"/>
              <w:ind w:right="800"/>
              <w:spacing w:after="0"/>
              <w:rPr>
                <w:sz w:val="20"/>
                <w:szCs w:val="20"/>
                <w:color w:val="auto"/>
              </w:rPr>
            </w:pPr>
            <w:r>
              <w:rPr>
                <w:rFonts w:ascii="Arial" w:cs="Arial" w:eastAsia="Arial" w:hAnsi="Arial"/>
                <w:sz w:val="14"/>
                <w:szCs w:val="14"/>
                <w:color w:val="auto"/>
              </w:rPr>
              <w:t>212.0</w:t>
            </w:r>
          </w:p>
        </w:tc>
        <w:tc>
          <w:tcPr>
            <w:tcW w:w="24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2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p>
      <w:pPr>
        <w:ind w:left="400" w:hanging="392"/>
        <w:spacing w:after="0"/>
        <w:tabs>
          <w:tab w:leader="none" w:pos="4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ROU asset amounts are a component of “Other assets” on our consolidated balance sheet.</w:t>
      </w:r>
    </w:p>
    <w:p>
      <w:pPr>
        <w:ind w:left="400" w:hanging="392"/>
        <w:spacing w:after="0" w:line="221" w:lineRule="auto"/>
        <w:tabs>
          <w:tab w:leader="none" w:pos="4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At December 31, 2019, lease liabilities of $40.4 million and $171.6 million were included within “Other current liabilities” and “Other liabilities,” respectively.</w:t>
      </w:r>
    </w:p>
    <w:p>
      <w:pPr>
        <w:jc w:val="both"/>
        <w:ind w:left="400" w:hanging="392"/>
        <w:spacing w:after="0" w:line="232" w:lineRule="auto"/>
        <w:tabs>
          <w:tab w:leader="none" w:pos="4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discount rate for each category of assets represents the weighted average of either (i) the implicit rate applicable to the underlying leases (where determinable) or (ii) our incremental borrowing rate adjusted for collateralization (if the implicit rate is not determinable). In general, the discount rates are based on either (i) information available at the lease commencement date or (ii) January 1, 2019 for leases existing at the adoption date for ASC 842.</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In total, operating lease expense was $106.6 million, $86.4 million and $103.6 million for the years ended December 31, 2019, 2018 and 2017,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our total operating lease expense for year ended December 31, 2019:</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60" w:type="dxa"/>
            <w:vAlign w:val="bottom"/>
          </w:tcPr>
          <w:p>
            <w:pPr>
              <w:spacing w:after="0"/>
              <w:rPr>
                <w:sz w:val="20"/>
                <w:szCs w:val="20"/>
                <w:color w:val="auto"/>
              </w:rPr>
            </w:pPr>
            <w:r>
              <w:rPr>
                <w:rFonts w:ascii="Arial" w:cs="Arial" w:eastAsia="Arial" w:hAnsi="Arial"/>
                <w:sz w:val="14"/>
                <w:szCs w:val="14"/>
                <w:color w:val="auto"/>
              </w:rPr>
              <w:t>Long-term operating leases:</w:t>
            </w:r>
          </w:p>
        </w:tc>
        <w:tc>
          <w:tcPr>
            <w:tcW w:w="3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1"/>
        </w:trPr>
        <w:tc>
          <w:tcPr>
            <w:tcW w:w="6760" w:type="dxa"/>
            <w:vAlign w:val="bottom"/>
          </w:tcPr>
          <w:p>
            <w:pPr>
              <w:ind w:left="120"/>
              <w:spacing w:after="0"/>
              <w:rPr>
                <w:sz w:val="20"/>
                <w:szCs w:val="20"/>
                <w:color w:val="auto"/>
              </w:rPr>
            </w:pPr>
            <w:r>
              <w:rPr>
                <w:rFonts w:ascii="Arial" w:cs="Arial" w:eastAsia="Arial" w:hAnsi="Arial"/>
                <w:sz w:val="14"/>
                <w:szCs w:val="14"/>
                <w:color w:val="auto"/>
              </w:rPr>
              <w:t>Fixed lease expense:</w:t>
            </w:r>
          </w:p>
        </w:tc>
        <w:tc>
          <w:tcPr>
            <w:tcW w:w="3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lease expense (amortization of ROU assets)</w:t>
            </w:r>
          </w:p>
        </w:tc>
        <w:tc>
          <w:tcPr>
            <w:tcW w:w="38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00" w:type="dxa"/>
            <w:vAlign w:val="bottom"/>
            <w:shd w:val="clear" w:color="auto" w:fill="CCEEFF"/>
          </w:tcPr>
          <w:p>
            <w:pPr>
              <w:spacing w:after="0"/>
              <w:rPr>
                <w:sz w:val="18"/>
                <w:szCs w:val="18"/>
                <w:color w:val="auto"/>
              </w:rPr>
            </w:pPr>
          </w:p>
        </w:tc>
      </w:tr>
      <w:tr>
        <w:trPr>
          <w:trHeight w:val="223"/>
        </w:trPr>
        <w:tc>
          <w:tcPr>
            <w:tcW w:w="6760" w:type="dxa"/>
            <w:vAlign w:val="bottom"/>
          </w:tcPr>
          <w:p>
            <w:pPr>
              <w:ind w:left="220"/>
              <w:spacing w:after="0"/>
              <w:rPr>
                <w:sz w:val="20"/>
                <w:szCs w:val="20"/>
                <w:color w:val="auto"/>
              </w:rPr>
            </w:pPr>
            <w:r>
              <w:rPr>
                <w:rFonts w:ascii="Arial" w:cs="Arial" w:eastAsia="Arial" w:hAnsi="Arial"/>
                <w:sz w:val="14"/>
                <w:szCs w:val="14"/>
                <w:color w:val="auto"/>
              </w:rPr>
              <w:t>Related accretion expense on lease liability balances</w:t>
            </w:r>
          </w:p>
        </w:tc>
        <w:tc>
          <w:tcPr>
            <w:tcW w:w="34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9"/>
                <w:szCs w:val="19"/>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fixed lease expense</w:t>
            </w:r>
          </w:p>
        </w:tc>
        <w:tc>
          <w:tcPr>
            <w:tcW w:w="3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18"/>
                <w:szCs w:val="18"/>
                <w:color w:val="auto"/>
              </w:rPr>
            </w:pPr>
          </w:p>
        </w:tc>
      </w:tr>
      <w:tr>
        <w:trPr>
          <w:trHeight w:val="223"/>
        </w:trPr>
        <w:tc>
          <w:tcPr>
            <w:tcW w:w="6760" w:type="dxa"/>
            <w:vAlign w:val="bottom"/>
          </w:tcPr>
          <w:p>
            <w:pPr>
              <w:ind w:left="120"/>
              <w:spacing w:after="0"/>
              <w:rPr>
                <w:sz w:val="20"/>
                <w:szCs w:val="20"/>
                <w:color w:val="auto"/>
              </w:rPr>
            </w:pPr>
            <w:r>
              <w:rPr>
                <w:rFonts w:ascii="Arial" w:cs="Arial" w:eastAsia="Arial" w:hAnsi="Arial"/>
                <w:sz w:val="14"/>
                <w:szCs w:val="14"/>
                <w:color w:val="auto"/>
              </w:rPr>
              <w:t>Variable lease expense</w:t>
            </w:r>
          </w:p>
        </w:tc>
        <w:tc>
          <w:tcPr>
            <w:tcW w:w="34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9"/>
                <w:szCs w:val="19"/>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Subtotal operating lease expense</w:t>
            </w:r>
          </w:p>
        </w:tc>
        <w:tc>
          <w:tcPr>
            <w:tcW w:w="3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0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4"/>
                <w:szCs w:val="14"/>
                <w:color w:val="auto"/>
              </w:rPr>
              <w:t>Short-term operating leases</w:t>
            </w:r>
          </w:p>
        </w:tc>
        <w:tc>
          <w:tcPr>
            <w:tcW w:w="34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9"/>
                <w:szCs w:val="19"/>
                <w:color w:val="auto"/>
              </w:rPr>
            </w:pPr>
          </w:p>
        </w:tc>
      </w:tr>
      <w:tr>
        <w:trPr>
          <w:trHeight w:val="237"/>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Total operating lease expense</w:t>
            </w:r>
          </w:p>
        </w:tc>
        <w:tc>
          <w:tcPr>
            <w:tcW w:w="38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100" w:type="dxa"/>
            <w:vAlign w:val="bottom"/>
            <w:shd w:val="clear" w:color="auto" w:fill="CCEEFF"/>
          </w:tcPr>
          <w:p>
            <w:pPr>
              <w:spacing w:after="0"/>
              <w:rPr>
                <w:sz w:val="20"/>
                <w:szCs w:val="20"/>
                <w:color w:val="auto"/>
              </w:rPr>
            </w:pPr>
          </w:p>
        </w:tc>
      </w:tr>
      <w:tr>
        <w:trPr>
          <w:trHeight w:val="20"/>
        </w:trPr>
        <w:tc>
          <w:tcPr>
            <w:tcW w:w="676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Fixed lease expense is charged to earnings on a straight-line basis over the contractual term, with any variable lease payments expensed as incurred. Short-term operating lease expense is expensed as incurred. Cash paid for operating lease liabilities recorded on our balance sheet was $48.1 million for the year ended December 31, 2019.</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recognized $246.1 million in ROU assets and lease liabilities for long-term operating leases at January 1, 2019 in connection with the adoption of ASC 842. On an undiscounted basis, our long-term operating lease obligations aggregated to $314.4 million at January 1, 2019.</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significant operating or direct financing leases where we are the lessor. Our operating lease income for the year ended December 31, 2019 was $14.4 million. We do not have any sales-type leases.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1" w:name="page222"/>
    <w:bookmarkEnd w:id="2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Purchase Obligations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define purchase obligations as agreements with remaining terms in excess of one year to purchase goods or services that are enforceable and legally binding (i.e., unconditional) on us that specify all significant terms, including (i) fixed or minimum quantities to be purchased, (ii) fixed, minimum or variable price provisions and (iii) the approximate timing of the transactions. We classify our unconditional purchase obligations into the following categories:</w:t>
      </w:r>
    </w:p>
    <w:p>
      <w:pPr>
        <w:spacing w:after="0" w:line="182" w:lineRule="exact"/>
        <w:rPr>
          <w:sz w:val="20"/>
          <w:szCs w:val="20"/>
          <w:color w:val="auto"/>
        </w:rPr>
      </w:pPr>
    </w:p>
    <w:p>
      <w:pPr>
        <w:jc w:val="both"/>
        <w:ind w:left="340" w:hanging="332"/>
        <w:spacing w:after="0" w:line="302" w:lineRule="auto"/>
        <w:tabs>
          <w:tab w:leader="none" w:pos="3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We have long-term product purchase obligations for natural gas, NGLs, crude oil, and petrochemicals and refined products with third party suppliers. The prices that we are obligated to pay under these contracts approximate market prices at the time we take delivery of the volumes. The preceding table presents our estimated future payment obligations under these contracts based on the contractual price in each agreement at December 31, 2019 applied to all future volume commitments. Actual future payment obligations may vary depending on prices at the time of delivery.</w:t>
      </w:r>
    </w:p>
    <w:p>
      <w:pPr>
        <w:spacing w:after="0" w:line="181"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We have long-term commitments to pay service providers, including those attributable to obligations under firm pipeline transportation contracts. Payment obligations vary by contract, but generally represent a price per unit of volume multiplied by a firm transportation volume commitment.</w:t>
      </w:r>
    </w:p>
    <w:p>
      <w:pPr>
        <w:spacing w:after="0" w:line="208"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We have short-term payment obligations relating to our capital expenditures, including our share of the capital expenditures of unconsolidated affiliates. These commitments represent unconditional payment obligations for services to be rendered or products to be delivered in connection with capital projects.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obligated to spend up to an aggregate $270 million over a ten-year period ending in 2025 on specified midstream gathering assets for certain producers utilizing our EFS Midstream System. If constructed, these new assets would be owned by us and be a component of the EFS Midstream System. As of December 31, 2019, we have spent $151 million of the $270 million commitment.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components of “Other long-term liabilities” as presented on our Consolidated Balance Sheets at the dates indicated: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60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Noncurrent portion of AROs (see Note 4)</w:t>
            </w:r>
          </w:p>
        </w:tc>
        <w:tc>
          <w:tcPr>
            <w:tcW w:w="352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126.9</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121.4</w:t>
            </w:r>
          </w:p>
        </w:tc>
      </w:tr>
      <w:tr>
        <w:trPr>
          <w:trHeight w:val="216"/>
        </w:trPr>
        <w:tc>
          <w:tcPr>
            <w:tcW w:w="6020" w:type="dxa"/>
            <w:vAlign w:val="bottom"/>
          </w:tcPr>
          <w:p>
            <w:pPr>
              <w:ind w:left="180"/>
              <w:spacing w:after="0"/>
              <w:rPr>
                <w:sz w:val="20"/>
                <w:szCs w:val="20"/>
                <w:color w:val="auto"/>
              </w:rPr>
            </w:pPr>
            <w:r>
              <w:rPr>
                <w:rFonts w:ascii="Arial" w:cs="Arial" w:eastAsia="Arial" w:hAnsi="Arial"/>
                <w:sz w:val="14"/>
                <w:szCs w:val="14"/>
                <w:color w:val="auto"/>
              </w:rPr>
              <w:t>Deferred revenues – non-current portion (see Note 9)</w:t>
            </w:r>
          </w:p>
        </w:tc>
        <w:tc>
          <w:tcPr>
            <w:tcW w:w="2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197.0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210.3</w:t>
            </w: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Liquidity Option liability</w:t>
            </w:r>
          </w:p>
        </w:tc>
        <w:tc>
          <w:tcPr>
            <w:tcW w:w="2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509.6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390.0</w:t>
            </w:r>
          </w:p>
        </w:tc>
      </w:tr>
      <w:tr>
        <w:trPr>
          <w:trHeight w:val="216"/>
        </w:trPr>
        <w:tc>
          <w:tcPr>
            <w:tcW w:w="6020" w:type="dxa"/>
            <w:vAlign w:val="bottom"/>
          </w:tcPr>
          <w:p>
            <w:pPr>
              <w:ind w:left="180"/>
              <w:spacing w:after="0"/>
              <w:rPr>
                <w:sz w:val="20"/>
                <w:szCs w:val="20"/>
                <w:color w:val="auto"/>
              </w:rPr>
            </w:pPr>
            <w:r>
              <w:rPr>
                <w:rFonts w:ascii="Arial" w:cs="Arial" w:eastAsia="Arial" w:hAnsi="Arial"/>
                <w:sz w:val="14"/>
                <w:szCs w:val="14"/>
                <w:color w:val="auto"/>
              </w:rPr>
              <w:t>Lease liability – non-current portion</w:t>
            </w:r>
          </w:p>
        </w:tc>
        <w:tc>
          <w:tcPr>
            <w:tcW w:w="2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171.6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Derivative liabilities</w:t>
            </w:r>
          </w:p>
        </w:tc>
        <w:tc>
          <w:tcPr>
            <w:tcW w:w="2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14.2</w:t>
            </w:r>
          </w:p>
        </w:tc>
      </w:tr>
      <w:tr>
        <w:trPr>
          <w:trHeight w:val="216"/>
        </w:trPr>
        <w:tc>
          <w:tcPr>
            <w:tcW w:w="6020" w:type="dxa"/>
            <w:vAlign w:val="bottom"/>
          </w:tcPr>
          <w:p>
            <w:pPr>
              <w:ind w:left="180"/>
              <w:spacing w:after="0"/>
              <w:rPr>
                <w:sz w:val="20"/>
                <w:szCs w:val="20"/>
                <w:color w:val="auto"/>
              </w:rPr>
            </w:pPr>
            <w:r>
              <w:rPr>
                <w:rFonts w:ascii="Arial" w:cs="Arial" w:eastAsia="Arial" w:hAnsi="Arial"/>
                <w:sz w:val="14"/>
                <w:szCs w:val="14"/>
                <w:color w:val="auto"/>
              </w:rPr>
              <w:t>Other</w:t>
            </w:r>
          </w:p>
        </w:tc>
        <w:tc>
          <w:tcPr>
            <w:tcW w:w="2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15.7</w:t>
            </w:r>
          </w:p>
        </w:tc>
      </w:tr>
      <w:tr>
        <w:trPr>
          <w:trHeight w:val="27"/>
        </w:trPr>
        <w:tc>
          <w:tcPr>
            <w:tcW w:w="60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352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1,032.4</w:t>
            </w:r>
          </w:p>
        </w:tc>
        <w:tc>
          <w:tcPr>
            <w:tcW w:w="1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751.6</w:t>
            </w:r>
          </w:p>
        </w:tc>
      </w:tr>
      <w:tr>
        <w:trPr>
          <w:trHeight w:val="20"/>
        </w:trPr>
        <w:tc>
          <w:tcPr>
            <w:tcW w:w="602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the Liquidity Option liability as long-term since we expect that it will be replaced by a long-term deferred tax liability of similar amount upon exercise of the Liquidity Option. See the following discussion titled “Liquidity Option” within this Note 17.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2" w:name="page223"/>
    <w:bookmarkEnd w:id="2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Option</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October 2014, we acquired approximately 65.9% of the limited partner interests of Oiltanking Partners, L.P. (“Oiltanking”), all of the member interests of OTLP GP, LLC, the general partner of Oiltanking (“Oiltanking GP”), and the incentive distribution rights held by Oiltanking GP from Oiltanking Holding Americas, Inc. (“OTA”), a U.S. corporation, as the first step (“Step 1”) of a two-step acquisition of Oiltanking. In February 2015, we completed the second step of this transaction consisting of the acquisition of the noncontrolling interests in Oiltanking. In order to fund the equity consideration paid in Step 1 of the Oiltanking acquisition, we issued 54,807,352 common units to OTA on October 1, 2014 in a transaction exempt from the registration requirements of the Securities Act of 1933 (the “Securities Act”), as amended, pursuant to Section 4(a)(2) thereof. We also entered into a put option agreement (the “Liquidity Option Agreement” or “Liquidity Option”) with OTA and Marquard &amp; Bahls AG (“M&amp;B”), a German corporation and the ultimate parent company of OTA, in connection with Step 1. Under the Liquidity Option Agreement, the Partnership granted M&amp;B the option to sell to the Partnership 100% of the issued and outstanding capital stock of OTA at any time within a 90-day period commencing on February 1, 2020. On February 25, 2020, the Partnership received notice from M&amp;B of M&amp;B’s election to exercise its Liquidity Option right.</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Liquidity Option Agreement permits M&amp;B to allow deferred tax liabilities to remain with OTA, including tax liabilities existing at the time of the sale of Oiltanking to us in 2014, and for M&amp;B to directly receive EPD common units upon settlement of the Liquidity Option exercise that are unencumbered by any such liabilities. As a result, the liquidity of M&amp;B is enhanced following exercise and settlement of the option, when compared to its financial position prior thereto (hence the name “Liquidity Option”).</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Liquidity Option Agreement, the aggregate consideration to be paid by the Partnership for OTA’s capital stock at settlement will equal the volume-weighted sales price of EPD common units for the 10-trading day period immediately preceding the exercise notice date, multiplied by the 54,807,352 EPD common units owned by OTA. The consideration paid by the Partnership may be in the form of newly issued EPD common units, cash or any mix thereof, as determined solely by the Partnership. Settlement of the option exercise transaction is expected to occur on March 5, 2020. The Partnership currently expects that it will elect to deliver to M&amp;B (or its designated affiliate) 54,807,352 newly issued EPD common units (in lieu of any cash) in connection with such settlement.</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settlement of the Liquidity Option exercise, we will indirectly acquire the 54,807,352 EPD common units owned by OTA, and assume all future income tax obligations of OTA associated with (i) owning EPD common units encumbered by the entity-level taxes of a U.S. corporation and (ii) the deferred tax liability as of the settlement date. In total, the partners’ capital balance for common units as presented on the Consolidated Balance Sheet will increase by the market value of the new EPD common units issued to M&amp;B at settlement. Assuming that we issue only EPD common units to M&amp;B as consideration (in lieu of any cash consideration), the number of EPD common units outstanding would not increase as the 54,807,352 newly issued units would be offset by the 54,807,352 EPD common units held by OTA that are reclassified to treasury units.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new EPD common units issued to M&amp;B upon settlement of the Liquidity Option will constitute “restricted securities” in the meaning of Rule 144 under the Securities Act and may not be resold except pursuant to an effective registration statement or an available exemption under the Securities Act. M&amp;B will have the right to request that we prepare and file a registration statement to permit and otherwise facilitate the public resale of all or a portion of such EPD common units that M&amp;B and its affiliates then own. Our obligation to M&amp;B to effect such transactions is limited to five registration statements and underwritten offerings.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acquisition of OTA upon settlement of the Liquidity Option will be accounted for as the purchase of treasury units and the assumption of related deferred income taxes. OTA does not meet the definition of a business as described in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In consolidation, the 54,807,352 EPD common units will be presented as treasury units held at cost, with cost measured as the fair value of consideration paid or issued to M&amp;B in connection with exercise of the Liquidity Option.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3" w:name="page224"/>
    <w:bookmarkEnd w:id="2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December 31, 2019 and 2018, we estimated that our liability under the Liquidity Option Agreement, which is a component of “Other long-term liabilities” on our Consolidated Balance Sheet was $509.6 million and $390.0 million, respectively. The Liquidity Option liability, at any measurement date, represents the present value of estimated federal and state income taxes that we believe a market participant would incur due to ownership of OTA, including its deferred income tax liabilities. Our valuation estimate for the Liquidity Option liability at December 31, 2019 incorporates several estimates that are not readily observable in the market (i.e., Level 3 inputs) such as: (i) a discount rate of 5.7%; (ii) a blended federal and state income tax rate of approximately 22.8%; (iii) forecasted annual growth rates in our taxable earnings ranging from approximately 0.7% to 2.2%; (iv) allocations of Partnership income to OTA ranging from approximately 2.3% to 2.5%; and (v) the length of time that OTA is in existence following exercise of the option (up to 30 years). The valuation estimate reflects the most recent U.S. federal income tax reforms along with certain tax planning strategies that we believe could be employed by a market participant.</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Changes in the fair value of the Liquidity Option are recognized in earnings as a component of other income (expense) on our Statements of Consolidated Operations. Results for the years ended December 31, 2019, 2018 and 2017 include $119.6 million, $56.1 million and $64.3 million, respectively, of aggregate non-cash expense attributable to accretion and changes in management estimates regarding inputs to the valuation model. The higher level of expense recognized in 2019 is primarily due to a decrease in the discount factor used in determining the present value of the liability since December 31, 2018. The discount rate is based on a weighted-average cost of capital, which declined over the course of 2019 due to lower U.S. interest rates.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When the Liquidity Option is exercised, the Liquidity Option liability will be replaced by the deferred income tax liabilities of OTA as calculated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If OTA’s deferred tax liabilities exceed the then-current book value of the Liquidity Option liability at the exercise date, we will recognize expense for the difference. Conversely, if the book value of the Liquidity Option exceeds the deferred tax liabilities, we will recognize a benefit. Based on our current estimates, we do not believe that this difference will be material to our consolidated financial statements.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Significant Risks and Uncertainties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operate predominantly in the midstream energy industry, which includes gathering, transporting, processing, fractionating and storing natural gas, NGLs, crude oil, and petrochemical and refined products. As such, changes in the prices of hydrocarbon products and in the relative price levels among hydrocarbon products could have a material adverse effect on our financial position, results of operations and cash flows. Changes in prices may impact demand for hydrocarbon products, which in turn may impact production, demand and the volumes of products for which we provide services. In addition, decreases in demand may be caused by other factors, including prevailing economic conditions, reduced demand by consumers for the end products made with hydrocarbon products, increased competition, adverse weather conditions and government regulations affecting prices and production levels.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natural gas, NGL and crude oil volumes currently transported, gathered or processed at our facilities originate primarily from existing domestic resource basins, which naturally deplete over time. To offset this natural decline, our facilities need access to production from newly discovered properties. Many economic and business factors beyond our control can adversely affect the decision by producers to explore for and develop new reserves. These factors could include relatively low crude oil and natural gas prices, cost and availability of equipment and labor, regulatory changes, capital budget limitations, the lack of available capital or the probability of success in finding hydrocarbons. A decrease in exploration and development activities in the regions where our facilities and other energy logistics assets are located could result in a decrease in volumes handled by our assets, which could have a material adverse effect on our financial position, results of operations and cash flows.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4" w:name="page225"/>
    <w:bookmarkEnd w:id="2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Even if crude oil and natural gas reserves exist in the areas served by our assets, we may not be chosen by producers in these areas to gather, transport, process, fractionate, store or otherwise handle the hydrocarbons extracted. We compete with other companies for such production on the basis of many factors, including, but not limited to, geographic proximity to the production, costs of connection, available capacity, rates and access to markets.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incur credit risk to the extent counterparties do not fulfill their obligations to us in connection with our marketing of natural gas, NGLs, crude oil, and petrochemicals and refined products and under long-term contracts with minimum volume commitments or fixed demand charges. Risks of nonpayment and nonperformance by customers are a major consideration in our businesses, and our credit procedures and policies may not be adequate to sufficiently eliminate customer credit risk. Further, adverse economic conditions in our industry, such as those experienced in 2015 and 2016, increase the risk of nonpayment and nonperformance by customers, particularly customers that have sub-investment grade credit ratings or small-scale companies. We manage our exposure to credit risk through credit analysis, credit approvals, credit limits and monitoring procedures, and for certain transactions may utilize letters of credit, prepayments, net out agreements and guarantees. However, these procedures and policies do not fully eliminate customer credit risk.</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primary markets for our services are the Gulf Coast, Southwest, Rocky Mountain, Northeast and Midwest regions of the U.S. We have a concentration of trade receivables due from independent and major integrated oil and gas companies and other pipelines and wholesalers operating in these markets. These concentrations may affect our overall credit risk in that these energy industry customers may be similarly affected by adverse changes in economic, regulatory or other factors.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those situations where we are exposed to credit risk in our derivative instrument transactions, we analyze the counterparty’s financial condition prior to entering into an agreement, establish credit and/or margin limits and monitor the appropriateness of these limits on an ongoing basis. Generally, we do not require collateral for such transactions nor do we currently anticipate nonperformance by our material counterparties.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Matters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participate as a named insured in EPCO’s insurance program, which provides us with property damage, business interruption and other insurance coverage, the scope and amounts of which we believe are customary and prudent for the nature and extent of our operations. While we believe EPCO maintains adequate insurance coverage on our behalf, insurance may not fully cover every type of damage, interruption or other loss that might occur. If we were to incur a significant loss for which we were not fully insured, it could have a material adverse impact on our financial position, results of operations and cash flows.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there may be timing differences between amounts we accrue related to property damage expense, amounts we are required to pay in connection with a loss, and amounts we subsequently receive from insurance carriers as reimbursements. Any event that materially interrupts the revenues generated by our consolidated operations, or other losses that require us to make material expenditures not reimbursed by insurance, could reduce our ability to pay distributions to our unitholders and, accordingly, adversely affect the market price of EPD common units.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Involuntary conversions result from the loss of an asset due to some unforeseen event (e.g., destruction due to a fire). Some of these events are covered by insurance, thus resulting in a property damage insurance recovery. Amounts we receive from insurance carriers are net of any deductibles related to the covered event. We record a receivable from insurance to the extent we recognize a loss from an involuntary conversion event and the likelihood of our recovering such loss is deemed probable. To the extent that any of our insurance claim receivables are later judged not probable of recovery (e.g., due to new information), such amounts are expensed. We recognize gains on involuntary conversions when the amount received from insurance exceeds the net book value of the retired assets.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5" w:name="page226"/>
    <w:bookmarkEnd w:id="2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do not recognize gains related to insurance recoveries until all contingencies related to such proceeds have been resolved, that is, a non-refundable cash payment is received from the insurance carrier or we have a binding settlement agreement with the carrier that clearly states that a non-refundable payment will be made. To the extent that an asset is rebuilt, the associated expenditures are capitalized, as appropriate, on our Consolidated Balance Sheets and presented as “Capital expenditures” on our Statements of Consolidated Cash Flows.</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our current insurance program, the standalone deductible for property damage claims is $30 million. We also have business interruption protection; however, such claims must involve physical damage and have a combined loss value in excess of $30 million and the period of interruption must exceed 60 days. With respect to named windstorm claims, the maximum amount of insurance coverage available to us for any single event is $200 million, after applying the appropriate deductibles. A named windstorm is a hurricane, typhoon, tropical storm or cyclone as declared by the U.S. National Weather Service.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Supplemental Cash Flow Information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regarding the net effect of changes in our operating accounts and cash payments for interest and income taxes for the years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For the Year Ended 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4"/>
                <w:szCs w:val="14"/>
                <w:color w:val="auto"/>
              </w:rPr>
              <w:t>Decrease (increase) in: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receivable – trade</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(1,248.8)</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730.2</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4"/>
                <w:szCs w:val="14"/>
                <w:color w:val="auto"/>
              </w:rPr>
              <w:t>Accounts receivable – related parties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0.9</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Inventories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(558.0)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4"/>
                <w:szCs w:val="14"/>
                <w:color w:val="auto"/>
              </w:rPr>
              <w:t>Prepaid and other current assets</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(69.6)</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214.4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assets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(111.0)</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4"/>
                <w:szCs w:val="14"/>
                <w:color w:val="auto"/>
              </w:rPr>
              <w:t>Increase (decrease) in: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payable – trade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(43.9)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4"/>
                <w:szCs w:val="14"/>
                <w:color w:val="auto"/>
              </w:rPr>
              <w:t>Accounts payable – related parties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67.8</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51.4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Accrued product payables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1,447.8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4"/>
                <w:szCs w:val="14"/>
                <w:color w:val="auto"/>
              </w:rPr>
              <w:t>Accrued interest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36.1</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37.6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current liabilities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4"/>
                <w:szCs w:val="14"/>
                <w:color w:val="auto"/>
              </w:rPr>
              <w:t>Other liabilities</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(84.3)</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57.8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
        </w:trPr>
        <w:tc>
          <w:tcPr>
            <w:tcW w:w="7440" w:type="dxa"/>
            <w:vAlign w:val="bottom"/>
            <w:gridSpan w:val="2"/>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4"/>
                <w:szCs w:val="14"/>
                <w:color w:val="auto"/>
              </w:rPr>
              <w:t>Net effect of changes in operating accounts</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(457.4)</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16.2</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7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Cash payments for interest, net of $143.8, $147.9 and $192.1</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capitalized in 2019, 2018 and 2017, respectively</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1,017.9</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4"/>
                <w:szCs w:val="14"/>
                <w:color w:val="auto"/>
              </w:rPr>
              <w:t>Cash payments for federal and state income taxes</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15.5</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incurred liabilities for construction in progress that had not been paid at December 31, 2019, 2018 and 2017 of $432.0 million, $567.6 million and $373.0 million, respectively. Such amounts are not included under the caption “Capital expenditures” on our Statements of Consolidated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year ended December 31, 2017 reflect the receipt of $46.1 million of CIACs from third parties.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6" w:name="page227"/>
    <w:bookmarkEnd w:id="2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proceeds from asset sales for the years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6"/>
              </w:rPr>
              <w:t>For the Year Ended 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440" w:type="dxa"/>
            <w:vAlign w:val="bottom"/>
          </w:tcPr>
          <w:p>
            <w:pPr>
              <w:spacing w:after="0"/>
              <w:rPr>
                <w:sz w:val="19"/>
                <w:szCs w:val="19"/>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Cash proceeds from sale of crude oil pipeline system (the “Red River System”)</w:t>
            </w:r>
          </w:p>
        </w:tc>
        <w:tc>
          <w:tcPr>
            <w:tcW w:w="800" w:type="dxa"/>
            <w:vAlign w:val="bottom"/>
            <w:shd w:val="clear" w:color="auto" w:fill="CCEEFF"/>
          </w:tcPr>
          <w:p>
            <w:pPr>
              <w:jc w:val="right"/>
              <w:ind w:right="682"/>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134.9</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4"/>
                <w:szCs w:val="14"/>
                <w:color w:val="auto"/>
              </w:rPr>
              <w:t>Cash proceeds from other asset sales</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20.6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40.1</w:t>
            </w:r>
          </w:p>
        </w:tc>
      </w:tr>
      <w:tr>
        <w:trPr>
          <w:trHeight w:val="27"/>
        </w:trPr>
        <w:tc>
          <w:tcPr>
            <w:tcW w:w="7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800" w:type="dxa"/>
            <w:vAlign w:val="bottom"/>
            <w:shd w:val="clear" w:color="auto" w:fill="CCEEFF"/>
          </w:tcPr>
          <w:p>
            <w:pPr>
              <w:jc w:val="right"/>
              <w:ind w:right="682"/>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161.2</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40.1</w:t>
            </w:r>
          </w:p>
        </w:tc>
      </w:tr>
      <w:tr>
        <w:trPr>
          <w:trHeight w:val="453"/>
        </w:trPr>
        <w:tc>
          <w:tcPr>
            <w:tcW w:w="744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6"/>
              </w:rPr>
              <w:t>The following table presents net gains (losses) attributable to asset sales for the years indicated:</w:t>
            </w:r>
          </w:p>
        </w:tc>
        <w:tc>
          <w:tcPr>
            <w:tcW w:w="8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6"/>
              </w:rPr>
              <w:t>For the Year Ended 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440" w:type="dxa"/>
            <w:vAlign w:val="bottom"/>
          </w:tcPr>
          <w:p>
            <w:pPr>
              <w:spacing w:after="0"/>
              <w:rPr>
                <w:sz w:val="19"/>
                <w:szCs w:val="19"/>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Gains attributable to sale of Red River System</w:t>
            </w:r>
          </w:p>
        </w:tc>
        <w:tc>
          <w:tcPr>
            <w:tcW w:w="800" w:type="dxa"/>
            <w:vAlign w:val="bottom"/>
            <w:shd w:val="clear" w:color="auto" w:fill="CCEEFF"/>
          </w:tcPr>
          <w:p>
            <w:pPr>
              <w:jc w:val="right"/>
              <w:ind w:right="682"/>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20.6</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4"/>
                <w:szCs w:val="14"/>
                <w:color w:val="auto"/>
              </w:rPr>
              <w:t>Net gains attributable to other asset sales</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10.7</w:t>
            </w:r>
          </w:p>
        </w:tc>
      </w:tr>
      <w:tr>
        <w:trPr>
          <w:trHeight w:val="27"/>
        </w:trPr>
        <w:tc>
          <w:tcPr>
            <w:tcW w:w="7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800" w:type="dxa"/>
            <w:vAlign w:val="bottom"/>
            <w:shd w:val="clear" w:color="auto" w:fill="CCEEFF"/>
          </w:tcPr>
          <w:p>
            <w:pPr>
              <w:jc w:val="right"/>
              <w:ind w:right="682"/>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28.7</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10.7</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14 for information regarding asset impairment and related charges as presented on our Statements of Consolidated Cash Flows.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Quarterly Financial Information (Unaudited)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quarterly financial data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First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Second</w:t>
            </w:r>
          </w:p>
        </w:tc>
        <w:tc>
          <w:tcPr>
            <w:tcW w:w="20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Third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Fourth</w:t>
            </w:r>
          </w:p>
        </w:tc>
      </w:tr>
      <w:tr>
        <w:trPr>
          <w:trHeight w:val="178"/>
        </w:trPr>
        <w:tc>
          <w:tcPr>
            <w:tcW w:w="43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r>
      <w:tr>
        <w:trPr>
          <w:trHeight w:val="216"/>
        </w:trPr>
        <w:tc>
          <w:tcPr>
            <w:tcW w:w="4340" w:type="dxa"/>
            <w:vAlign w:val="bottom"/>
          </w:tcPr>
          <w:p>
            <w:pPr>
              <w:spacing w:after="0"/>
              <w:rPr>
                <w:sz w:val="20"/>
                <w:szCs w:val="20"/>
                <w:color w:val="auto"/>
              </w:rPr>
            </w:pPr>
            <w:r>
              <w:rPr>
                <w:rFonts w:ascii="Arial" w:cs="Arial" w:eastAsia="Arial" w:hAnsi="Arial"/>
                <w:sz w:val="14"/>
                <w:szCs w:val="14"/>
                <w:b w:val="1"/>
                <w:bCs w:val="1"/>
                <w:color w:val="auto"/>
              </w:rPr>
              <w:t>For the Year Ended December 31, 2019:</w:t>
            </w:r>
          </w:p>
        </w:tc>
        <w:tc>
          <w:tcPr>
            <w:tcW w:w="17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Revenues</w:t>
            </w: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8,543.5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7,964.1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8,005.3</w:t>
            </w:r>
          </w:p>
        </w:tc>
      </w:tr>
      <w:tr>
        <w:trPr>
          <w:trHeight w:val="216"/>
        </w:trPr>
        <w:tc>
          <w:tcPr>
            <w:tcW w:w="4340" w:type="dxa"/>
            <w:vAlign w:val="bottom"/>
          </w:tcPr>
          <w:p>
            <w:pPr>
              <w:ind w:left="180"/>
              <w:spacing w:after="0"/>
              <w:rPr>
                <w:sz w:val="20"/>
                <w:szCs w:val="20"/>
                <w:color w:val="auto"/>
              </w:rPr>
            </w:pPr>
            <w:r>
              <w:rPr>
                <w:rFonts w:ascii="Arial" w:cs="Arial" w:eastAsia="Arial" w:hAnsi="Arial"/>
                <w:sz w:val="14"/>
                <w:szCs w:val="14"/>
                <w:color w:val="auto"/>
              </w:rPr>
              <w:t>Operating income</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1,626.2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1,560.3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1,474.2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1,418.0</w:t>
            </w: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1,280.4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1,044.8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1,125.4</w:t>
            </w:r>
          </w:p>
        </w:tc>
      </w:tr>
      <w:tr>
        <w:trPr>
          <w:trHeight w:val="216"/>
        </w:trPr>
        <w:tc>
          <w:tcPr>
            <w:tcW w:w="4340" w:type="dxa"/>
            <w:vAlign w:val="bottom"/>
          </w:tcPr>
          <w:p>
            <w:pPr>
              <w:ind w:left="180"/>
              <w:spacing w:after="0"/>
              <w:rPr>
                <w:sz w:val="20"/>
                <w:szCs w:val="20"/>
                <w:color w:val="auto"/>
              </w:rPr>
            </w:pPr>
            <w:r>
              <w:rPr>
                <w:rFonts w:ascii="Arial" w:cs="Arial" w:eastAsia="Arial" w:hAnsi="Arial"/>
                <w:sz w:val="14"/>
                <w:szCs w:val="14"/>
                <w:color w:val="auto"/>
              </w:rPr>
              <w:t>Net income attributable to limited partners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1,260.5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1,214.7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1,019.2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1,096.9</w:t>
            </w:r>
          </w:p>
        </w:tc>
      </w:tr>
      <w:tr>
        <w:trPr>
          <w:trHeight w:val="216"/>
        </w:trPr>
        <w:tc>
          <w:tcPr>
            <w:tcW w:w="43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4"/>
                <w:szCs w:val="14"/>
                <w:color w:val="auto"/>
              </w:rPr>
              <w:t>Earnings per unit:</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Basic</w:t>
            </w: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0.57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0.55</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0.50</w:t>
            </w:r>
          </w:p>
        </w:tc>
      </w:tr>
      <w:tr>
        <w:trPr>
          <w:trHeight w:val="216"/>
        </w:trPr>
        <w:tc>
          <w:tcPr>
            <w:tcW w:w="4340" w:type="dxa"/>
            <w:vAlign w:val="bottom"/>
          </w:tcPr>
          <w:p>
            <w:pPr>
              <w:ind w:left="340"/>
              <w:spacing w:after="0"/>
              <w:rPr>
                <w:sz w:val="20"/>
                <w:szCs w:val="20"/>
                <w:color w:val="auto"/>
              </w:rPr>
            </w:pPr>
            <w:r>
              <w:rPr>
                <w:rFonts w:ascii="Arial" w:cs="Arial" w:eastAsia="Arial" w:hAnsi="Arial"/>
                <w:sz w:val="14"/>
                <w:szCs w:val="14"/>
                <w:color w:val="auto"/>
              </w:rPr>
              <w:t>Diluted</w:t>
            </w:r>
          </w:p>
        </w:tc>
        <w:tc>
          <w:tcPr>
            <w:tcW w:w="1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0.57</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0.55</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0.46</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0.50</w:t>
            </w:r>
          </w:p>
        </w:tc>
      </w:tr>
      <w:tr>
        <w:trPr>
          <w:trHeight w:val="216"/>
        </w:trPr>
        <w:tc>
          <w:tcPr>
            <w:tcW w:w="43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4"/>
                <w:szCs w:val="14"/>
                <w:b w:val="1"/>
                <w:bCs w:val="1"/>
                <w:color w:val="auto"/>
              </w:rPr>
              <w:t>For the Year Ended December 31, 2018:</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Revenues</w:t>
            </w: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9,298.5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8,467.5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9,585.9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9,182.3</w:t>
            </w:r>
          </w:p>
        </w:tc>
      </w:tr>
      <w:tr>
        <w:trPr>
          <w:trHeight w:val="216"/>
        </w:trPr>
        <w:tc>
          <w:tcPr>
            <w:tcW w:w="4340" w:type="dxa"/>
            <w:vAlign w:val="bottom"/>
          </w:tcPr>
          <w:p>
            <w:pPr>
              <w:ind w:left="180"/>
              <w:spacing w:after="0"/>
              <w:rPr>
                <w:sz w:val="20"/>
                <w:szCs w:val="20"/>
                <w:color w:val="auto"/>
              </w:rPr>
            </w:pPr>
            <w:r>
              <w:rPr>
                <w:rFonts w:ascii="Arial" w:cs="Arial" w:eastAsia="Arial" w:hAnsi="Arial"/>
                <w:sz w:val="14"/>
                <w:szCs w:val="14"/>
                <w:color w:val="auto"/>
              </w:rPr>
              <w:t>Operating income</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1,138.5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986.4</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1,643.3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1,640.4</w:t>
            </w: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687.2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1,305.2</w:t>
            </w:r>
          </w:p>
        </w:tc>
      </w:tr>
      <w:tr>
        <w:trPr>
          <w:trHeight w:val="216"/>
        </w:trPr>
        <w:tc>
          <w:tcPr>
            <w:tcW w:w="4340" w:type="dxa"/>
            <w:vAlign w:val="bottom"/>
          </w:tcPr>
          <w:p>
            <w:pPr>
              <w:ind w:left="180"/>
              <w:spacing w:after="0"/>
              <w:rPr>
                <w:sz w:val="20"/>
                <w:szCs w:val="20"/>
                <w:color w:val="auto"/>
              </w:rPr>
            </w:pPr>
            <w:r>
              <w:rPr>
                <w:rFonts w:ascii="Arial" w:cs="Arial" w:eastAsia="Arial" w:hAnsi="Arial"/>
                <w:sz w:val="14"/>
                <w:szCs w:val="14"/>
                <w:color w:val="auto"/>
              </w:rPr>
              <w:t>Net income attributable to limited partners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900.7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673.8</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1,313.2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1,284.7</w:t>
            </w:r>
          </w:p>
        </w:tc>
      </w:tr>
      <w:tr>
        <w:trPr>
          <w:trHeight w:val="216"/>
        </w:trPr>
        <w:tc>
          <w:tcPr>
            <w:tcW w:w="43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4"/>
                <w:szCs w:val="14"/>
                <w:color w:val="auto"/>
              </w:rPr>
              <w:t>Earnings per unit:</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Basic</w:t>
            </w: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0.41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0.31</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0.60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0.59</w:t>
            </w:r>
          </w:p>
        </w:tc>
      </w:tr>
      <w:tr>
        <w:trPr>
          <w:trHeight w:val="231"/>
        </w:trPr>
        <w:tc>
          <w:tcPr>
            <w:tcW w:w="4340" w:type="dxa"/>
            <w:vAlign w:val="bottom"/>
          </w:tcPr>
          <w:p>
            <w:pPr>
              <w:ind w:left="340"/>
              <w:spacing w:after="0"/>
              <w:rPr>
                <w:sz w:val="20"/>
                <w:szCs w:val="20"/>
                <w:color w:val="auto"/>
              </w:rPr>
            </w:pPr>
            <w:r>
              <w:rPr>
                <w:rFonts w:ascii="Arial" w:cs="Arial" w:eastAsia="Arial" w:hAnsi="Arial"/>
                <w:sz w:val="14"/>
                <w:szCs w:val="14"/>
                <w:color w:val="auto"/>
              </w:rPr>
              <w:t>Diluted</w:t>
            </w:r>
          </w:p>
        </w:tc>
        <w:tc>
          <w:tcPr>
            <w:tcW w:w="1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0.41</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0.31</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0.60</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0.59</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sum of our quarterly earnings per unit amounts may not equal our full year amounts due to slight rounding differences.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7" w:name="page228"/>
    <w:bookmarkEnd w:id="2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Condensed Consolidating Financial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EPO conducts all of our business. Currently, we have no independent operations and no material assets outside those of EPO.</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EPO has issued publicly traded debt securities. As the parent company of EPO, EPD guarantees substantially all of the debt obligations of EPO. If EPO were to default on any of its guaranteed debt, EPD would be responsible for full and unconditional repayment of that obligation. See Note 7 for additional information regarding our consolidated debt obligations.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EPO’s consolidated subsidiaries have no significant restrictions on their ability to pay distributions or make loans to EPD.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EPO and Subsidiaries</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Enterprise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5"/>
              </w:rPr>
              <w:t>EPO and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Products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Partners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Issuer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(Non-</w:t>
            </w: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EPO and</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L.P.</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and</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48"/>
              <w:spacing w:after="0"/>
              <w:rPr>
                <w:sz w:val="20"/>
                <w:szCs w:val="20"/>
                <w:color w:val="auto"/>
              </w:rPr>
            </w:pPr>
            <w:r>
              <w:rPr>
                <w:rFonts w:ascii="Arial" w:cs="Arial" w:eastAsia="Arial" w:hAnsi="Arial"/>
                <w:sz w:val="14"/>
                <w:szCs w:val="14"/>
                <w:b w:val="1"/>
                <w:bCs w:val="1"/>
                <w:color w:val="auto"/>
              </w:rPr>
              <w:t>(EPO)</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(Guarantor)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5"/>
                <w:szCs w:val="15"/>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1"/>
        </w:trPr>
        <w:tc>
          <w:tcPr>
            <w:tcW w:w="2880" w:type="dxa"/>
            <w:vAlign w:val="bottom"/>
          </w:tcPr>
          <w:p>
            <w:pPr>
              <w:ind w:left="114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88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1"/>
              </w:rPr>
              <w:t>Cash and cash equivalents and restricted cash</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315.8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409.9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410.0</w:t>
            </w: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Accounts receivable – trade, net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1,471.1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3,403.8</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4,873.6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Accounts receivable – related parties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799.9</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(1,023.6)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Inventories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1,351.3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740.4</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2,091.4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Derivative 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127.2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127.2</w:t>
            </w: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Prepaid and other current assets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358.2</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358.2</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(1,086.6)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4"/>
                <w:szCs w:val="14"/>
                <w:b w:val="1"/>
                <w:bCs w:val="1"/>
                <w:color w:val="auto"/>
              </w:rPr>
              <w:t>Property, plant and equipment, net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6,413.3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35,233.6</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41,603.4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41,603.4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Investments in unconsolidated affiliates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45,514.0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4,165.7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(47,079.5)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25,279.3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(25,279.3)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4"/>
                <w:szCs w:val="14"/>
                <w:b w:val="1"/>
                <w:bCs w:val="1"/>
                <w:color w:val="auto"/>
              </w:rPr>
              <w:t>Intangible assets, net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2,852.3</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3,449.0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Goodwill</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5,285.7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4"/>
                <w:szCs w:val="14"/>
                <w:b w:val="1"/>
                <w:bCs w:val="1"/>
                <w:color w:val="auto"/>
              </w:rPr>
              <w:t>Other assets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(221.9)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471.5</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472.5</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8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56,929.3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53,281.2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(48,471.5)</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61,739.0</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25,280.4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(25,286.2)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61,733.2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4"/>
                <w:szCs w:val="14"/>
                <w:b w:val="1"/>
                <w:bCs w:val="1"/>
                <w:color w:val="auto"/>
              </w:rPr>
              <w:t>LIABILITIES AND EQUITY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4"/>
                <w:szCs w:val="14"/>
                <w:b w:val="1"/>
                <w:bCs w:val="1"/>
                <w:color w:val="auto"/>
              </w:rPr>
              <w:t>Current liabilities: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Current maturities of debt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1,981.9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Accounts payable – trade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717.7</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Accounts payable – related parties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222.3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(1,037.5)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162.3</w:t>
            </w: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Accrued product payables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1,895.4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3,021.9</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4,915.7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Accrued interest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431.7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431.7</w:t>
            </w: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Derivative liabilities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122.4</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current liabilities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511.4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80" w:type="dxa"/>
            <w:vAlign w:val="bottom"/>
          </w:tcPr>
          <w:p>
            <w:pPr>
              <w:ind w:left="340"/>
              <w:spacing w:after="0"/>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5,822.5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4,409.2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(1,101.8)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9,129.9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9,129.7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Long-term debt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25,628.6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25,643.2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4"/>
                <w:szCs w:val="14"/>
                <w:b w:val="1"/>
                <w:bCs w:val="1"/>
                <w:color w:val="auto"/>
              </w:rPr>
              <w:t>Deferred tax liabilities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75.6</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97.0</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100.4</w:t>
            </w: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Other long-term liabilities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608.9</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522.9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4"/>
                <w:szCs w:val="14"/>
                <w:b w:val="1"/>
                <w:bCs w:val="1"/>
                <w:color w:val="auto"/>
              </w:rPr>
              <w:t>Commitments and contingencies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Equity: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Partners’ and other owners’ equity</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25,294.8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48,107.6</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(48,155.3)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25,247.1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24,764.0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(25,247.1)</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24,764.0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Noncontrolling interests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1,033.6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80" w:type="dxa"/>
            <w:vAlign w:val="bottom"/>
          </w:tcPr>
          <w:p>
            <w:pPr>
              <w:ind w:left="340"/>
              <w:spacing w:after="0"/>
              <w:rPr>
                <w:sz w:val="20"/>
                <w:szCs w:val="20"/>
                <w:color w:val="auto"/>
              </w:rPr>
            </w:pPr>
            <w:r>
              <w:rPr>
                <w:rFonts w:ascii="Arial" w:cs="Arial" w:eastAsia="Arial" w:hAnsi="Arial"/>
                <w:sz w:val="14"/>
                <w:szCs w:val="14"/>
                <w:color w:val="auto"/>
              </w:rPr>
              <w:t>Total equity</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25,294.8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48,172.9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(47,121.7)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26,346.0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24,764.0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(25,282.5)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25,827.5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56,929.3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53,281.2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(48,471.5)</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61,739.0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25,280.4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(25,286.2)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61,733.2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28" w:name="page229"/>
    <w:bookmarkEnd w:id="2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EPO and Subsidiaries</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Enterprise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5"/>
              </w:rPr>
              <w:t>EPO and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Subsidiary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Products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Partners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Issuer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(Non-</w:t>
            </w: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EPO and</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L.P.</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and</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(EPO)</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(Guarantor)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5"/>
                <w:szCs w:val="15"/>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1"/>
        </w:trPr>
        <w:tc>
          <w:tcPr>
            <w:tcW w:w="2880" w:type="dxa"/>
            <w:vAlign w:val="bottom"/>
          </w:tcPr>
          <w:p>
            <w:pPr>
              <w:ind w:left="114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88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1"/>
              </w:rPr>
              <w:t>Cash and cash equivalents and restricted cash</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393.4</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50.3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410.1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410.1</w:t>
            </w: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Accounts receivable – trade, net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2,356.8</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3,659.1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Accounts receivable – related parties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1,423.7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(1,530.1)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Inventories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633.2</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1,522.1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Derivative 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49.1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154.4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154.4</w:t>
            </w: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Prepaid and other current assets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310.9</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(1,574.8)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4"/>
                <w:szCs w:val="14"/>
                <w:b w:val="1"/>
                <w:bCs w:val="1"/>
                <w:color w:val="auto"/>
              </w:rPr>
              <w:t>Property, plant and equipment, net</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6,112.7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32,628.7</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38,737.6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38,737.6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Investments in unconsolidated affiliates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43,962.6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4,170.6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(45,518.1)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24,273.6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(24,273.6)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4"/>
                <w:szCs w:val="14"/>
                <w:b w:val="1"/>
                <w:bCs w:val="1"/>
                <w:color w:val="auto"/>
              </w:rPr>
              <w:t>Intangible assets, net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2,963.0</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3,608.4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Goodwill</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5,285.7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4"/>
                <w:szCs w:val="14"/>
                <w:b w:val="1"/>
                <w:bCs w:val="1"/>
                <w:color w:val="auto"/>
              </w:rPr>
              <w:t>Other assets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(222.1)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8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54,484.7</w:t>
            </w: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49,848.1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(47,332.6)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57,000.2</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24,275.3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(24,305.7)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56,969.8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4"/>
                <w:szCs w:val="14"/>
                <w:b w:val="1"/>
                <w:bCs w:val="1"/>
                <w:color w:val="auto"/>
              </w:rPr>
              <w:t>LIABILITIES AND EQUITY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4"/>
                <w:szCs w:val="14"/>
                <w:b w:val="1"/>
                <w:bCs w:val="1"/>
                <w:color w:val="auto"/>
              </w:rPr>
              <w:t>Current liabilities: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Current maturities of debt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Accounts payable – trade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734.3</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(35.5)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1,102.8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Accounts payable – related parties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127.5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(1,543.9)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140.9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140.2</w:t>
            </w: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Accrued product payables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1,902.3</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3,475.8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Accrued interest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395.6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395.6</w:t>
            </w: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Derivative liabilities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61.7</w:t>
            </w: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148.2</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148.2</w:t>
            </w: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current liabilities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404.8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404.8</w:t>
            </w:r>
          </w:p>
        </w:tc>
        <w:tc>
          <w:tcPr>
            <w:tcW w:w="0" w:type="dxa"/>
            <w:vAlign w:val="bottom"/>
          </w:tcPr>
          <w:p>
            <w:pPr>
              <w:spacing w:after="0"/>
              <w:rPr>
                <w:sz w:val="1"/>
                <w:szCs w:val="1"/>
                <w:color w:val="auto"/>
              </w:rPr>
            </w:pPr>
          </w:p>
        </w:tc>
      </w:tr>
      <w:tr>
        <w:trPr>
          <w:trHeight w:val="27"/>
        </w:trPr>
        <w:tc>
          <w:tcPr>
            <w:tcW w:w="28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80" w:type="dxa"/>
            <w:vAlign w:val="bottom"/>
          </w:tcPr>
          <w:p>
            <w:pPr>
              <w:ind w:left="340"/>
              <w:spacing w:after="0"/>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5,605.6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3,153.1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(1,590.5)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7,168.2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7,167.5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Long-term debt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24,663.4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24,678.1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4"/>
                <w:szCs w:val="14"/>
                <w:b w:val="1"/>
                <w:bCs w:val="1"/>
                <w:color w:val="auto"/>
              </w:rPr>
              <w:t>Deferred tax liabilities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62.0</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78.1</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80.4</w:t>
            </w: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Other long-term liabilities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518.4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361.7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751.6</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4"/>
                <w:szCs w:val="14"/>
                <w:b w:val="1"/>
                <w:bCs w:val="1"/>
                <w:color w:val="auto"/>
              </w:rPr>
              <w:t>Commitments and contingencies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Equity: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4"/>
                <w:szCs w:val="14"/>
                <w:color w:val="auto"/>
              </w:rPr>
              <w:t>Partners’ and other owners’ equity</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24,133.5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46,031.8</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(45,917.9)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24,247.4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23,853.5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(24,247.4)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23,853.5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Noncontrolling interests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466.7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438.7</w:t>
            </w:r>
          </w:p>
        </w:tc>
        <w:tc>
          <w:tcPr>
            <w:tcW w:w="0" w:type="dxa"/>
            <w:vAlign w:val="bottom"/>
          </w:tcPr>
          <w:p>
            <w:pPr>
              <w:spacing w:after="0"/>
              <w:rPr>
                <w:sz w:val="1"/>
                <w:szCs w:val="1"/>
                <w:color w:val="auto"/>
              </w:rPr>
            </w:pPr>
          </w:p>
        </w:tc>
      </w:tr>
      <w:tr>
        <w:trPr>
          <w:trHeight w:val="27"/>
        </w:trPr>
        <w:tc>
          <w:tcPr>
            <w:tcW w:w="28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80" w:type="dxa"/>
            <w:vAlign w:val="bottom"/>
          </w:tcPr>
          <w:p>
            <w:pPr>
              <w:ind w:left="340"/>
              <w:spacing w:after="0"/>
              <w:rPr>
                <w:sz w:val="20"/>
                <w:szCs w:val="20"/>
                <w:color w:val="auto"/>
              </w:rPr>
            </w:pPr>
            <w:r>
              <w:rPr>
                <w:rFonts w:ascii="Arial" w:cs="Arial" w:eastAsia="Arial" w:hAnsi="Arial"/>
                <w:sz w:val="14"/>
                <w:szCs w:val="14"/>
                <w:color w:val="auto"/>
              </w:rPr>
              <w:t>Total equity</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24,133.5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46,099.9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(45,519.3)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24,714.1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23,853.5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(24,275.4)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24,292.2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54,484.7</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49,848.1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(47,332.6)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57,000.2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24,275.3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(24,305.7)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56,969.8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9" w:name="page230"/>
    <w:bookmarkEnd w:id="2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2019</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EPO and Subsidiaries</w:t>
            </w: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Enterprise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0"/>
                <w:szCs w:val="10"/>
                <w:color w:val="auto"/>
              </w:rPr>
            </w:pPr>
          </w:p>
        </w:tc>
        <w:tc>
          <w:tcPr>
            <w:tcW w:w="108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5"/>
              </w:rPr>
              <w:t>EPO and</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Subsidiary</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Products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Partners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Issuer</w:t>
            </w: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(Non-</w:t>
            </w: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and</w:t>
            </w: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EPO and</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L.P.</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(EPO)</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(Guarantor)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35,396.9</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21,849.0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(24,456.7)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32,789.2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costs and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34,074.1</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17,438.7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(24,451.0)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27,061.8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4"/>
                <w:szCs w:val="14"/>
                <w:color w:val="auto"/>
              </w:rPr>
              <w:t>General and administrative costs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174.2</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209.5</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costs and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34,106.3</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17,612.9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(24,447.9)</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27,271.3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Equity in income of unconsolidated affiliates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4,667.1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648.7</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(4,752.8)</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563.0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4,713.0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(4,713.0)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563.0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income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5,957.7</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(4,761.6)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6,080.9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4,710.8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(4,713.0)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Other income (expense):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(1,243.8)</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(1,243.0)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(1,243.0)</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(11.3)</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(119.5)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(103.0)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other expense, net</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(1,224.0)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(1,226.5)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(1,346.0)</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Income before income taxes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4,733.7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4,882.3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(4,761.6)</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4,854.4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4,591.3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(4,713.0)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4,717.2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4,854.0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(4,761.3)</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4,809.9</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4,591.3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(4,714.1)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w w:val="96"/>
              </w:rPr>
              <w:t>Net loss (income) attributable to noncontrolling interests</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(94.7)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Net income attributable to entity</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4,717.2</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4,847.4</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(4,856.0)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4,708.6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4,591.3</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(4,708.6)</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4,591.3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2018</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EPO and Subsidiaries</w:t>
            </w: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Enterprise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0"/>
                <w:szCs w:val="10"/>
                <w:color w:val="auto"/>
              </w:rPr>
            </w:pPr>
          </w:p>
        </w:tc>
        <w:tc>
          <w:tcPr>
            <w:tcW w:w="108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5"/>
              </w:rPr>
              <w:t>EPO and</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Subsidiary</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Products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Partners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Issuer</w:t>
            </w: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(Non-</w:t>
            </w: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and</w:t>
            </w: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EPO and</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L.P.</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(EPO)</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(Guarantor)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42,946.4</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23,756.4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(30,168.6)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36,534.2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costs and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41,718.2</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19,845.2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(30,166.1)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31,397.3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4"/>
                <w:szCs w:val="14"/>
                <w:color w:val="auto"/>
              </w:rPr>
              <w:t>General and administrative costs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172.0</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205.9</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208.3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costs and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41,750.0</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20,017.2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(30,164.0)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31,603.2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Equity in income of unconsolidated affiliates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4,148.3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587.2</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(4,255.5)</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480.0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4,230.8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(4,230.8)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480.0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income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5,344.7</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(4,260.1)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5,411.0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4,228.5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(4,230.9)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Other income (expense):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(1,097.1)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(1,096.7)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(1,096.7)</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(10.9)</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(56.1)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other expense, net</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(1,085.0)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(1,053.7)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(1,109.8)</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Income before income taxes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4,259.7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4,357.7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(4,260.1)</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4,357.3</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4,172.4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(4,230.9)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(58.8)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4,230.5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4,328.1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(4,260.1)</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4,298.5</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4,172.4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(4,232.4)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w w:val="96"/>
              </w:rPr>
              <w:t>Net loss (income) attributable to noncontrolling interests</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(63.8)</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Net income attributable to entity</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4,230.5</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4,320.5</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(4,323.9)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4,227.1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4,172.4</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(4,227.1)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4,172.4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30" w:name="page231"/>
    <w:bookmarkEnd w:id="2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EPO and Subsidiaries</w:t>
            </w: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Enterprise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0"/>
                <w:szCs w:val="10"/>
                <w:color w:val="auto"/>
              </w:rPr>
            </w:pPr>
          </w:p>
        </w:tc>
        <w:tc>
          <w:tcPr>
            <w:tcW w:w="108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5"/>
              </w:rPr>
              <w:t>EPO and</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Subsidiary</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Products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Partners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Issuer</w:t>
            </w: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(Non-</w:t>
            </w: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and</w:t>
            </w: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EPO and</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L.P.</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(EPO)</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(Guarantor)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40,696.8</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18,451.2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(29,906.5)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29,241.5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costs and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39,809.6</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(29,907.0)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25,557.5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4"/>
                <w:szCs w:val="14"/>
                <w:color w:val="auto"/>
              </w:rPr>
              <w:t>General and administrative costs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148.0</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179.3</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181.1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costs and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39,841.0</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(29,907.1)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25,736.8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Equity in income of unconsolidated affiliates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2,990.1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566.8</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(3,130.9)</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426.0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2,865.4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(2,865.4)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426.0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income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3,845.9</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(3,130.3)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3,930.7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2,863.6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(2,865.4)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Other income (expense):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(982.5)</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(984.6)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(984.6)</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(64.3)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other expense, net</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(973.3)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(983.3)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(1,047.6)</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Income before income taxes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2,872.6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3,205.1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(3,130.3)</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2,947.4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2,799.3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(2,865.4)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2,860.6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3,191.4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(3,130.3)</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2,921.7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2,799.3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(2,865.4)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w w:val="96"/>
              </w:rPr>
              <w:t>Net loss (income) attributable to noncontrolling interests</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(61.6)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Net income attributable to entity</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2,860.6</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3,184.9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(3,185.4)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2,860.1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2,799.3</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(2,860.1)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31" w:name="page232"/>
    <w:bookmarkEnd w:id="2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2019</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EPO and Subsidiaries</w:t>
            </w: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Enterprise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0"/>
                <w:szCs w:val="10"/>
                <w:color w:val="auto"/>
              </w:rPr>
            </w:pPr>
          </w:p>
        </w:tc>
        <w:tc>
          <w:tcPr>
            <w:tcW w:w="100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95"/>
              </w:rPr>
              <w:t>EPO and</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Subsidiary</w:t>
            </w: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Subsidiaries</w:t>
            </w:r>
          </w:p>
        </w:tc>
        <w:tc>
          <w:tcPr>
            <w:tcW w:w="11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Consolidated</w:t>
            </w:r>
          </w:p>
        </w:tc>
        <w:tc>
          <w:tcPr>
            <w:tcW w:w="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Products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Subsidiaries</w:t>
            </w:r>
          </w:p>
        </w:tc>
        <w:tc>
          <w:tcPr>
            <w:tcW w:w="10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1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Partners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Issuer</w:t>
            </w:r>
          </w:p>
        </w:tc>
        <w:tc>
          <w:tcPr>
            <w:tcW w:w="2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(Non-</w:t>
            </w:r>
          </w:p>
        </w:tc>
        <w:tc>
          <w:tcPr>
            <w:tcW w:w="8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w:t>
            </w:r>
          </w:p>
        </w:tc>
        <w:tc>
          <w:tcPr>
            <w:tcW w:w="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EPO and</w:t>
            </w:r>
          </w:p>
        </w:tc>
        <w:tc>
          <w:tcPr>
            <w:tcW w:w="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L.P.</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and</w:t>
            </w: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0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(EPO)</w:t>
            </w:r>
          </w:p>
        </w:tc>
        <w:tc>
          <w:tcPr>
            <w:tcW w:w="24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8"/>
              </w:rPr>
              <w:t>(Guarantor)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Comprehensive income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4,890.2</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4,701.5</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(4,761.3)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4,830.4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4,611.8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(4,734.6)</w:t>
            </w:r>
          </w:p>
        </w:tc>
        <w:tc>
          <w:tcPr>
            <w:tcW w:w="180" w:type="dxa"/>
            <w:vAlign w:val="bottom"/>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4,707.6</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4"/>
                <w:szCs w:val="14"/>
                <w:color w:val="auto"/>
                <w:w w:val="94"/>
              </w:rPr>
              <w:t>Comprehensive loss (income) attributable to noncontrolling interests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(94.7)</w:t>
            </w:r>
          </w:p>
        </w:tc>
        <w:tc>
          <w:tcPr>
            <w:tcW w:w="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(101.3)</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5.5</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Comprehensive income attributable to entity</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4,890.2</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4,694.9</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(4,856.0)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4,729.1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4,611.8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(4,729.1)</w:t>
            </w:r>
          </w:p>
        </w:tc>
        <w:tc>
          <w:tcPr>
            <w:tcW w:w="180" w:type="dxa"/>
            <w:vAlign w:val="bottom"/>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4,611.8</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2018</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EPO and Subsidiaries</w:t>
            </w: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Enterprise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0"/>
                <w:szCs w:val="10"/>
                <w:color w:val="auto"/>
              </w:rPr>
            </w:pPr>
          </w:p>
        </w:tc>
        <w:tc>
          <w:tcPr>
            <w:tcW w:w="100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95"/>
              </w:rPr>
              <w:t>EPO and</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Subsidiary</w:t>
            </w: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Subsidiaries</w:t>
            </w:r>
          </w:p>
        </w:tc>
        <w:tc>
          <w:tcPr>
            <w:tcW w:w="11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Consolidated</w:t>
            </w:r>
          </w:p>
        </w:tc>
        <w:tc>
          <w:tcPr>
            <w:tcW w:w="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Products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Subsidiaries</w:t>
            </w:r>
          </w:p>
        </w:tc>
        <w:tc>
          <w:tcPr>
            <w:tcW w:w="10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1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Partners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Issuer</w:t>
            </w:r>
          </w:p>
        </w:tc>
        <w:tc>
          <w:tcPr>
            <w:tcW w:w="2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(Non-</w:t>
            </w:r>
          </w:p>
        </w:tc>
        <w:tc>
          <w:tcPr>
            <w:tcW w:w="8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w:t>
            </w:r>
          </w:p>
        </w:tc>
        <w:tc>
          <w:tcPr>
            <w:tcW w:w="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EPO and</w:t>
            </w:r>
          </w:p>
        </w:tc>
        <w:tc>
          <w:tcPr>
            <w:tcW w:w="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L.P.</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and</w:t>
            </w: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0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(EPO)</w:t>
            </w:r>
          </w:p>
        </w:tc>
        <w:tc>
          <w:tcPr>
            <w:tcW w:w="24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8"/>
              </w:rPr>
              <w:t>(Guarantor)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Comprehensive income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4,312.6</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4,468.5</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(4,260.1)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4,521.0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4,395.0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(4,454.9)</w:t>
            </w:r>
          </w:p>
        </w:tc>
        <w:tc>
          <w:tcPr>
            <w:tcW w:w="180" w:type="dxa"/>
            <w:vAlign w:val="bottom"/>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4,461.1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4"/>
                <w:szCs w:val="14"/>
                <w:color w:val="auto"/>
                <w:w w:val="94"/>
              </w:rPr>
              <w:t>Comprehensive loss (income) attributable to noncontrolling interests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(63.8)</w:t>
            </w:r>
          </w:p>
        </w:tc>
        <w:tc>
          <w:tcPr>
            <w:tcW w:w="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(71.4)</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5.3</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Comprehensive income attributable to entity</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4,312.6</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4,460.9</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(4,323.9)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4,449.6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4,395.0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(4,449.6)</w:t>
            </w:r>
          </w:p>
        </w:tc>
        <w:tc>
          <w:tcPr>
            <w:tcW w:w="180" w:type="dxa"/>
            <w:vAlign w:val="bottom"/>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4,395.0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EPO and Subsidiaries</w:t>
            </w: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Enterprise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0"/>
                <w:szCs w:val="10"/>
                <w:color w:val="auto"/>
              </w:rPr>
            </w:pPr>
          </w:p>
        </w:tc>
        <w:tc>
          <w:tcPr>
            <w:tcW w:w="100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95"/>
              </w:rPr>
              <w:t>EPO and</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Subsidiary</w:t>
            </w: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Subsidiaries</w:t>
            </w:r>
          </w:p>
        </w:tc>
        <w:tc>
          <w:tcPr>
            <w:tcW w:w="11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Consolidated</w:t>
            </w:r>
          </w:p>
        </w:tc>
        <w:tc>
          <w:tcPr>
            <w:tcW w:w="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Products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Subsidiaries</w:t>
            </w:r>
          </w:p>
        </w:tc>
        <w:tc>
          <w:tcPr>
            <w:tcW w:w="10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1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Partners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Issuer</w:t>
            </w:r>
          </w:p>
        </w:tc>
        <w:tc>
          <w:tcPr>
            <w:tcW w:w="2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(Non-</w:t>
            </w:r>
          </w:p>
        </w:tc>
        <w:tc>
          <w:tcPr>
            <w:tcW w:w="8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w:t>
            </w:r>
          </w:p>
        </w:tc>
        <w:tc>
          <w:tcPr>
            <w:tcW w:w="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EPO and</w:t>
            </w:r>
          </w:p>
        </w:tc>
        <w:tc>
          <w:tcPr>
            <w:tcW w:w="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L.P.</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and</w:t>
            </w: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0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(EPO)</w:t>
            </w:r>
          </w:p>
        </w:tc>
        <w:tc>
          <w:tcPr>
            <w:tcW w:w="24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8"/>
              </w:rPr>
              <w:t>(Guarantor)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Comprehensive income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2,951.7</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3,208.6</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(3,130.2)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3,030.1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2,907.6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(2,973.8)</w:t>
            </w:r>
          </w:p>
        </w:tc>
        <w:tc>
          <w:tcPr>
            <w:tcW w:w="180" w:type="dxa"/>
            <w:vAlign w:val="bottom"/>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2,963.9</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4"/>
                <w:szCs w:val="14"/>
                <w:color w:val="auto"/>
                <w:w w:val="94"/>
              </w:rPr>
              <w:t>Comprehensive loss (income) attributable to noncontrolling interests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(55.1)</w:t>
            </w:r>
          </w:p>
        </w:tc>
        <w:tc>
          <w:tcPr>
            <w:tcW w:w="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(61.6)</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5.3</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Comprehensive income attributable to entity</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2,951.7</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3,202.1</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(3,185.3)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2,968.5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2,907.6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(2,968.5)</w:t>
            </w:r>
          </w:p>
        </w:tc>
        <w:tc>
          <w:tcPr>
            <w:tcW w:w="180" w:type="dxa"/>
            <w:vAlign w:val="bottom"/>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2,907.6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32" w:name="page233"/>
    <w:bookmarkEnd w:id="2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2019</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4"/>
                <w:szCs w:val="14"/>
                <w:b w:val="1"/>
                <w:bCs w:val="1"/>
                <w:color w:val="auto"/>
              </w:rPr>
              <w:t>EPO and Subsidiaries</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Enterprise</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0"/>
                <w:szCs w:val="10"/>
                <w:color w:val="auto"/>
              </w:rPr>
            </w:pPr>
          </w:p>
        </w:tc>
        <w:tc>
          <w:tcPr>
            <w:tcW w:w="1220" w:type="dxa"/>
            <w:vAlign w:val="bottom"/>
            <w:gridSpan w:val="2"/>
          </w:tcPr>
          <w:p>
            <w:pPr>
              <w:jc w:val="center"/>
              <w:ind w:right="340"/>
              <w:spacing w:after="0" w:line="126" w:lineRule="exact"/>
              <w:rPr>
                <w:sz w:val="20"/>
                <w:szCs w:val="20"/>
                <w:color w:val="auto"/>
              </w:rPr>
            </w:pPr>
            <w:r>
              <w:rPr>
                <w:rFonts w:ascii="Arial" w:cs="Arial" w:eastAsia="Arial" w:hAnsi="Arial"/>
                <w:sz w:val="14"/>
                <w:szCs w:val="14"/>
                <w:b w:val="1"/>
                <w:bCs w:val="1"/>
                <w:color w:val="auto"/>
                <w:w w:val="95"/>
              </w:rPr>
              <w:t>EPO and</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Subsidiary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Consolidated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Products</w:t>
            </w:r>
          </w:p>
        </w:tc>
        <w:tc>
          <w:tcPr>
            <w:tcW w:w="14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Partners</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Issuer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(Non-</w:t>
            </w: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EPO and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L.P.</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and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(EPO)</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guarantor)</w:t>
            </w:r>
          </w:p>
        </w:tc>
        <w:tc>
          <w:tcPr>
            <w:tcW w:w="1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(Guarantor)</w:t>
            </w:r>
          </w:p>
        </w:tc>
        <w:tc>
          <w:tcPr>
            <w:tcW w:w="14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Operating activities: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4,717.2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4,854.0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(4,761.3)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4,809.9</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(4,714.1)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4,687.1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spacing w:after="0" w:line="130" w:lineRule="exact"/>
              <w:rPr>
                <w:sz w:val="20"/>
                <w:szCs w:val="20"/>
                <w:color w:val="auto"/>
              </w:rPr>
            </w:pPr>
            <w:r>
              <w:rPr>
                <w:rFonts w:ascii="Arial" w:cs="Arial" w:eastAsia="Arial" w:hAnsi="Arial"/>
                <w:sz w:val="14"/>
                <w:szCs w:val="14"/>
                <w:i w:val="1"/>
                <w:iCs w:val="1"/>
                <w:color w:val="auto"/>
                <w:w w:val="99"/>
              </w:rPr>
              <w:t>Reconciliation of net income to</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net cash flows provided</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Arial" w:cs="Arial" w:eastAsia="Arial" w:hAnsi="Arial"/>
                <w:sz w:val="14"/>
                <w:szCs w:val="14"/>
                <w:i w:val="1"/>
                <w:iCs w:val="1"/>
                <w:color w:val="auto"/>
              </w:rPr>
              <w:t>by operating activities: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Borders>
              <w:right w:val="single" w:sz="8" w:color="CCEEFF"/>
            </w:tcBorders>
            <w:shd w:val="clear" w:color="auto" w:fill="CCEEFF"/>
          </w:tcPr>
          <w:p>
            <w:pPr>
              <w:ind w:left="160"/>
              <w:spacing w:after="0" w:line="130" w:lineRule="exact"/>
              <w:rPr>
                <w:sz w:val="20"/>
                <w:szCs w:val="20"/>
                <w:color w:val="auto"/>
              </w:rPr>
            </w:pPr>
            <w:r>
              <w:rPr>
                <w:rFonts w:ascii="Arial" w:cs="Arial" w:eastAsia="Arial" w:hAnsi="Arial"/>
                <w:sz w:val="14"/>
                <w:szCs w:val="14"/>
                <w:color w:val="auto"/>
              </w:rPr>
              <w:t>Depreciation, amortization</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and accretion</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309.0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1,642.7</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1,949.3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1,949.3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rPr>
              <w:t>Equity in income of</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320"/>
              <w:spacing w:after="0"/>
              <w:rPr>
                <w:sz w:val="20"/>
                <w:szCs w:val="20"/>
                <w:color w:val="auto"/>
              </w:rPr>
            </w:pPr>
            <w:r>
              <w:rPr>
                <w:rFonts w:ascii="Arial" w:cs="Arial" w:eastAsia="Arial" w:hAnsi="Arial"/>
                <w:sz w:val="14"/>
                <w:szCs w:val="14"/>
                <w:color w:val="auto"/>
              </w:rPr>
              <w:t>unconsolidated affiliates</w:t>
            </w:r>
          </w:p>
        </w:tc>
        <w:tc>
          <w:tcPr>
            <w:tcW w:w="16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(4,667.1)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(648.7)</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4,752.8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(563.0)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(4,713.0)</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4,713.0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(563.0)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Borders>
              <w:right w:val="single" w:sz="8" w:color="CCEEFF"/>
            </w:tcBorders>
            <w:shd w:val="clear" w:color="auto" w:fill="CCEEFF"/>
          </w:tcPr>
          <w:p>
            <w:pPr>
              <w:ind w:left="160"/>
              <w:spacing w:after="0" w:line="130" w:lineRule="exact"/>
              <w:rPr>
                <w:sz w:val="20"/>
                <w:szCs w:val="20"/>
                <w:color w:val="auto"/>
              </w:rPr>
            </w:pPr>
            <w:r>
              <w:rPr>
                <w:rFonts w:ascii="Arial" w:cs="Arial" w:eastAsia="Arial" w:hAnsi="Arial"/>
                <w:sz w:val="14"/>
                <w:szCs w:val="14"/>
                <w:color w:val="auto"/>
              </w:rPr>
              <w:t>Distributions received from</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Borders>
              <w:right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unconsolidated affiliates</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attributable to earnings</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1,560.7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317.7</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(1,310.4)</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568.0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4,005.8</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(4,005.8)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rPr>
              <w:t>Net effect of changes in</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320"/>
              <w:spacing w:after="0" w:line="149" w:lineRule="exact"/>
              <w:rPr>
                <w:sz w:val="20"/>
                <w:szCs w:val="20"/>
                <w:color w:val="auto"/>
              </w:rPr>
            </w:pPr>
            <w:r>
              <w:rPr>
                <w:rFonts w:ascii="Arial" w:cs="Arial" w:eastAsia="Arial" w:hAnsi="Arial"/>
                <w:sz w:val="14"/>
                <w:szCs w:val="14"/>
                <w:color w:val="auto"/>
              </w:rPr>
              <w:t>operating accounts and</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Pr>
          <w:p>
            <w:pPr>
              <w:ind w:left="320"/>
              <w:spacing w:after="0"/>
              <w:rPr>
                <w:sz w:val="20"/>
                <w:szCs w:val="20"/>
                <w:color w:val="auto"/>
              </w:rPr>
            </w:pPr>
            <w:r>
              <w:rPr>
                <w:rFonts w:ascii="Arial" w:cs="Arial" w:eastAsia="Arial" w:hAnsi="Arial"/>
                <w:sz w:val="14"/>
                <w:szCs w:val="14"/>
                <w:color w:val="auto"/>
              </w:rPr>
              <w:t>other operating activities</w:t>
            </w:r>
          </w:p>
        </w:tc>
        <w:tc>
          <w:tcPr>
            <w:tcW w:w="16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3,007.5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(3,294.0)</w:t>
            </w:r>
          </w:p>
        </w:tc>
        <w:tc>
          <w:tcPr>
            <w:tcW w:w="12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(251.0)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129.9</w:t>
            </w:r>
          </w:p>
        </w:tc>
        <w:tc>
          <w:tcPr>
            <w:tcW w:w="1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(120.9)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Borders>
              <w:right w:val="single" w:sz="8" w:color="CCEEFF"/>
            </w:tcBorders>
            <w:shd w:val="clear" w:color="auto" w:fill="CCEEFF"/>
          </w:tcPr>
          <w:p>
            <w:pPr>
              <w:ind w:left="320"/>
              <w:spacing w:after="0" w:line="130" w:lineRule="exact"/>
              <w:rPr>
                <w:sz w:val="20"/>
                <w:szCs w:val="20"/>
                <w:color w:val="auto"/>
              </w:rPr>
            </w:pPr>
            <w:r>
              <w:rPr>
                <w:rFonts w:ascii="Arial" w:cs="Arial" w:eastAsia="Arial" w:hAnsi="Arial"/>
                <w:sz w:val="14"/>
                <w:szCs w:val="14"/>
                <w:color w:val="auto"/>
              </w:rPr>
              <w:t>Net cash flows provided</w:t>
            </w:r>
          </w:p>
        </w:tc>
        <w:tc>
          <w:tcPr>
            <w:tcW w:w="16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by operating activities</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4,927.3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2,871.7</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(1,285.8)</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6,513.2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4,014.0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(4,006.7)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6,520.5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Investing activities: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Capital expenditures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(3,850.2)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(4,531.7)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Proceeds from asset sales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20.6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Other investing activities</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(2,080.6)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(119.3)</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Borders>
              <w:top w:val="single" w:sz="8" w:color="CCEEFF"/>
            </w:tcBorders>
          </w:tcPr>
          <w:p>
            <w:pPr>
              <w:ind w:left="320"/>
              <w:spacing w:after="0" w:line="130" w:lineRule="exact"/>
              <w:rPr>
                <w:sz w:val="20"/>
                <w:szCs w:val="20"/>
                <w:color w:val="auto"/>
              </w:rPr>
            </w:pPr>
            <w:r>
              <w:rPr>
                <w:rFonts w:ascii="Arial" w:cs="Arial" w:eastAsia="Arial" w:hAnsi="Arial"/>
                <w:sz w:val="14"/>
                <w:szCs w:val="14"/>
                <w:color w:val="auto"/>
              </w:rPr>
              <w:t>Cash used in investing</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Pr>
          <w:p>
            <w:pPr>
              <w:ind w:left="480"/>
              <w:spacing w:after="0"/>
              <w:rPr>
                <w:sz w:val="20"/>
                <w:szCs w:val="20"/>
                <w:color w:val="auto"/>
              </w:rPr>
            </w:pPr>
            <w:r>
              <w:rPr>
                <w:rFonts w:ascii="Arial" w:cs="Arial" w:eastAsia="Arial" w:hAnsi="Arial"/>
                <w:sz w:val="14"/>
                <w:szCs w:val="14"/>
                <w:color w:val="auto"/>
              </w:rPr>
              <w:t>activities</w:t>
            </w:r>
          </w:p>
        </w:tc>
        <w:tc>
          <w:tcPr>
            <w:tcW w:w="16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(2,753.7)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(3,828.2)</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2,006.4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(4,575.5)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(119.3)</w:t>
            </w:r>
          </w:p>
        </w:tc>
        <w:tc>
          <w:tcPr>
            <w:tcW w:w="1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119.3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(4,575.5)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rPr>
              <w:t>Borrowings under debt</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320"/>
              <w:spacing w:after="0"/>
              <w:rPr>
                <w:sz w:val="20"/>
                <w:szCs w:val="20"/>
                <w:color w:val="auto"/>
              </w:rPr>
            </w:pPr>
            <w:r>
              <w:rPr>
                <w:rFonts w:ascii="Arial" w:cs="Arial" w:eastAsia="Arial" w:hAnsi="Arial"/>
                <w:sz w:val="14"/>
                <w:szCs w:val="14"/>
                <w:color w:val="auto"/>
              </w:rPr>
              <w:t>agreements</w:t>
            </w: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58,172.6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58,172.6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58,172.6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Repayments of debt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(56,716.4)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(56,716.5)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(56,716.5)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rPr>
              <w:t>Cash distributions paid to</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320"/>
              <w:spacing w:after="0"/>
              <w:rPr>
                <w:sz w:val="20"/>
                <w:szCs w:val="20"/>
                <w:color w:val="auto"/>
              </w:rPr>
            </w:pPr>
            <w:r>
              <w:rPr>
                <w:rFonts w:ascii="Arial" w:cs="Arial" w:eastAsia="Arial" w:hAnsi="Arial"/>
                <w:sz w:val="14"/>
                <w:szCs w:val="14"/>
                <w:color w:val="auto"/>
              </w:rPr>
              <w:t>partners</w:t>
            </w:r>
          </w:p>
        </w:tc>
        <w:tc>
          <w:tcPr>
            <w:tcW w:w="16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(4,005.8)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(1,871.7)</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1,871.7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(4,005.8)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(3,839.8)</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4,005.8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(3,839.8)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Borders>
              <w:right w:val="single" w:sz="8" w:color="CCEEFF"/>
            </w:tcBorders>
            <w:shd w:val="clear" w:color="auto" w:fill="CCEEFF"/>
          </w:tcPr>
          <w:p>
            <w:pPr>
              <w:ind w:left="160"/>
              <w:spacing w:after="0" w:line="130" w:lineRule="exact"/>
              <w:rPr>
                <w:sz w:val="20"/>
                <w:szCs w:val="20"/>
                <w:color w:val="auto"/>
              </w:rPr>
            </w:pPr>
            <w:r>
              <w:rPr>
                <w:rFonts w:ascii="Arial" w:cs="Arial" w:eastAsia="Arial" w:hAnsi="Arial"/>
                <w:sz w:val="14"/>
                <w:szCs w:val="14"/>
                <w:color w:val="auto"/>
              </w:rPr>
              <w:t>Cash payments made in</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connection with DERs</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(22.1)</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rPr>
              <w:t>Cash distributions paid to</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320"/>
              <w:spacing w:after="0"/>
              <w:rPr>
                <w:sz w:val="20"/>
                <w:szCs w:val="20"/>
                <w:color w:val="auto"/>
              </w:rPr>
            </w:pPr>
            <w:r>
              <w:rPr>
                <w:rFonts w:ascii="Arial" w:cs="Arial" w:eastAsia="Arial" w:hAnsi="Arial"/>
                <w:sz w:val="14"/>
                <w:szCs w:val="14"/>
                <w:color w:val="auto"/>
              </w:rPr>
              <w:t>noncontrolling interests</w:t>
            </w: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(97.6)</w:t>
            </w:r>
          </w:p>
        </w:tc>
        <w:tc>
          <w:tcPr>
            <w:tcW w:w="12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(107.1)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(106.2)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Borders>
              <w:right w:val="single" w:sz="8" w:color="CCEEFF"/>
            </w:tcBorders>
            <w:shd w:val="clear" w:color="auto" w:fill="CCEEFF"/>
          </w:tcPr>
          <w:p>
            <w:pPr>
              <w:ind w:left="160"/>
              <w:spacing w:after="0" w:line="130" w:lineRule="exact"/>
              <w:rPr>
                <w:sz w:val="20"/>
                <w:szCs w:val="20"/>
                <w:color w:val="auto"/>
              </w:rPr>
            </w:pPr>
            <w:r>
              <w:rPr>
                <w:rFonts w:ascii="Arial" w:cs="Arial" w:eastAsia="Arial" w:hAnsi="Arial"/>
                <w:sz w:val="14"/>
                <w:szCs w:val="14"/>
                <w:color w:val="auto"/>
              </w:rPr>
              <w:t>Cash contributions from</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noncontrolling interests</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632.8</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632.8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632.8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rPr>
              <w:t>Net cash proceeds from</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320"/>
              <w:spacing w:after="0"/>
              <w:rPr>
                <w:sz w:val="20"/>
                <w:szCs w:val="20"/>
                <w:color w:val="auto"/>
              </w:rPr>
            </w:pPr>
            <w:r>
              <w:rPr>
                <w:rFonts w:ascii="Arial" w:cs="Arial" w:eastAsia="Arial" w:hAnsi="Arial"/>
                <w:sz w:val="14"/>
                <w:szCs w:val="14"/>
                <w:color w:val="auto"/>
                <w:w w:val="97"/>
              </w:rPr>
              <w:t>issuance of common units</w:t>
            </w: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82.2</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Borders>
              <w:right w:val="single" w:sz="8" w:color="CCEEFF"/>
            </w:tcBorders>
            <w:shd w:val="clear" w:color="auto" w:fill="CCEEFF"/>
          </w:tcPr>
          <w:p>
            <w:pPr>
              <w:ind w:left="160"/>
              <w:spacing w:after="0" w:line="130" w:lineRule="exact"/>
              <w:rPr>
                <w:sz w:val="20"/>
                <w:szCs w:val="20"/>
                <w:color w:val="auto"/>
              </w:rPr>
            </w:pPr>
            <w:r>
              <w:rPr>
                <w:rFonts w:ascii="Arial" w:cs="Arial" w:eastAsia="Arial" w:hAnsi="Arial"/>
                <w:sz w:val="14"/>
                <w:szCs w:val="14"/>
                <w:color w:val="auto"/>
              </w:rPr>
              <w:t>Common units acquired in</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Borders>
              <w:right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connection with 2019</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Buyback Program</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(81.1)</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rPr>
              <w:t>Cash contributions from</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320"/>
              <w:spacing w:after="0"/>
              <w:rPr>
                <w:sz w:val="20"/>
                <w:szCs w:val="20"/>
                <w:color w:val="auto"/>
              </w:rPr>
            </w:pPr>
            <w:r>
              <w:rPr>
                <w:rFonts w:ascii="Arial" w:cs="Arial" w:eastAsia="Arial" w:hAnsi="Arial"/>
                <w:sz w:val="14"/>
                <w:szCs w:val="14"/>
                <w:color w:val="auto"/>
              </w:rPr>
              <w:t>owners</w:t>
            </w: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119.3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3,109.0</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(3,109.0)</w:t>
            </w: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119.3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(119.3)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Other financing activities</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(33.8)</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Borders>
              <w:top w:val="single" w:sz="8" w:color="CCEEFF"/>
            </w:tcBorders>
          </w:tcPr>
          <w:p>
            <w:pPr>
              <w:ind w:left="320"/>
              <w:spacing w:after="0" w:line="130" w:lineRule="exact"/>
              <w:rPr>
                <w:sz w:val="20"/>
                <w:szCs w:val="20"/>
                <w:color w:val="auto"/>
              </w:rPr>
            </w:pPr>
            <w:r>
              <w:rPr>
                <w:rFonts w:ascii="Arial" w:cs="Arial" w:eastAsia="Arial" w:hAnsi="Arial"/>
                <w:sz w:val="14"/>
                <w:szCs w:val="14"/>
                <w:color w:val="auto"/>
              </w:rPr>
              <w:t>Cash provided by (used</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Pr>
          <w:p>
            <w:pPr>
              <w:ind w:left="480"/>
              <w:spacing w:after="0"/>
              <w:rPr>
                <w:sz w:val="20"/>
                <w:szCs w:val="20"/>
                <w:color w:val="auto"/>
              </w:rPr>
            </w:pPr>
            <w:r>
              <w:rPr>
                <w:rFonts w:ascii="Arial" w:cs="Arial" w:eastAsia="Arial" w:hAnsi="Arial"/>
                <w:sz w:val="14"/>
                <w:szCs w:val="14"/>
                <w:color w:val="auto"/>
              </w:rPr>
              <w:t>in) financing activities</w:t>
            </w:r>
          </w:p>
        </w:tc>
        <w:tc>
          <w:tcPr>
            <w:tcW w:w="16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(2,457.8)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1,222.0</w:t>
            </w:r>
          </w:p>
        </w:tc>
        <w:tc>
          <w:tcPr>
            <w:tcW w:w="1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(702.1)</w:t>
            </w:r>
          </w:p>
        </w:tc>
        <w:tc>
          <w:tcPr>
            <w:tcW w:w="1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(1,937.9)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(3,894.6)</w:t>
            </w:r>
          </w:p>
        </w:tc>
        <w:tc>
          <w:tcPr>
            <w:tcW w:w="1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3,887.4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(1,945.1)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40" w:type="dxa"/>
            <w:vAlign w:val="bottom"/>
            <w:tcBorders>
              <w:right w:val="single" w:sz="8" w:color="CCEEFF"/>
            </w:tcBorders>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8"/>
              </w:rPr>
              <w:t>Net change in cash and cash</w:t>
            </w:r>
          </w:p>
        </w:tc>
        <w:tc>
          <w:tcPr>
            <w:tcW w:w="16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Borders>
              <w:right w:val="single" w:sz="8" w:color="CCEEFF"/>
            </w:tcBorders>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equivalents,</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including restricted cash</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(284.2)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265.5</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40" w:type="dxa"/>
            <w:vAlign w:val="bottom"/>
          </w:tcPr>
          <w:p>
            <w:pPr>
              <w:spacing w:after="0" w:line="126" w:lineRule="exact"/>
              <w:rPr>
                <w:sz w:val="20"/>
                <w:szCs w:val="20"/>
                <w:color w:val="auto"/>
              </w:rPr>
            </w:pPr>
            <w:r>
              <w:rPr>
                <w:rFonts w:ascii="Arial" w:cs="Arial" w:eastAsia="Arial" w:hAnsi="Arial"/>
                <w:sz w:val="14"/>
                <w:szCs w:val="14"/>
                <w:b w:val="1"/>
                <w:bCs w:val="1"/>
                <w:color w:val="auto"/>
              </w:rPr>
              <w:t>Cash and cash equivalents,</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including</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940" w:type="dxa"/>
            <w:vAlign w:val="bottom"/>
          </w:tcPr>
          <w:p>
            <w:pPr>
              <w:ind w:left="100"/>
              <w:spacing w:after="0"/>
              <w:rPr>
                <w:sz w:val="20"/>
                <w:szCs w:val="20"/>
                <w:color w:val="auto"/>
              </w:rPr>
            </w:pPr>
            <w:r>
              <w:rPr>
                <w:rFonts w:ascii="Arial" w:cs="Arial" w:eastAsia="Arial" w:hAnsi="Arial"/>
                <w:sz w:val="14"/>
                <w:szCs w:val="14"/>
                <w:b w:val="1"/>
                <w:bCs w:val="1"/>
                <w:color w:val="auto"/>
              </w:rPr>
              <w:t>restricted cash, January 1</w:t>
            </w:r>
          </w:p>
        </w:tc>
        <w:tc>
          <w:tcPr>
            <w:tcW w:w="16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393.4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50.3</w:t>
            </w:r>
          </w:p>
        </w:tc>
        <w:tc>
          <w:tcPr>
            <w:tcW w:w="1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410.1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410.1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40" w:type="dxa"/>
            <w:vAlign w:val="bottom"/>
            <w:tcBorders>
              <w:right w:val="single" w:sz="8" w:color="CCEEFF"/>
            </w:tcBorders>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Cash and cash equivalents,</w:t>
            </w:r>
          </w:p>
        </w:tc>
        <w:tc>
          <w:tcPr>
            <w:tcW w:w="16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Borders>
              <w:right w:val="single" w:sz="8" w:color="CCEEFF"/>
            </w:tcBorders>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including</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Borders>
              <w:right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restricted cash, December</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9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4"/>
                <w:szCs w:val="14"/>
                <w:b w:val="1"/>
                <w:bCs w:val="1"/>
                <w:color w:val="auto"/>
              </w:rPr>
              <w:t>31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109.2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315.8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409.9</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33" w:name="page234"/>
    <w:bookmarkEnd w:id="2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2018</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4"/>
                <w:szCs w:val="14"/>
                <w:b w:val="1"/>
                <w:bCs w:val="1"/>
                <w:color w:val="auto"/>
              </w:rPr>
              <w:t>EPO and Subsidiaries</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Enterprise</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0"/>
                <w:szCs w:val="10"/>
                <w:color w:val="auto"/>
              </w:rPr>
            </w:pPr>
          </w:p>
        </w:tc>
        <w:tc>
          <w:tcPr>
            <w:tcW w:w="1220" w:type="dxa"/>
            <w:vAlign w:val="bottom"/>
            <w:gridSpan w:val="2"/>
          </w:tcPr>
          <w:p>
            <w:pPr>
              <w:jc w:val="center"/>
              <w:ind w:right="340"/>
              <w:spacing w:after="0" w:line="126" w:lineRule="exact"/>
              <w:rPr>
                <w:sz w:val="20"/>
                <w:szCs w:val="20"/>
                <w:color w:val="auto"/>
              </w:rPr>
            </w:pPr>
            <w:r>
              <w:rPr>
                <w:rFonts w:ascii="Arial" w:cs="Arial" w:eastAsia="Arial" w:hAnsi="Arial"/>
                <w:sz w:val="14"/>
                <w:szCs w:val="14"/>
                <w:b w:val="1"/>
                <w:bCs w:val="1"/>
                <w:color w:val="auto"/>
                <w:w w:val="95"/>
              </w:rPr>
              <w:t>EPO and</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Subsidiary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Consolidated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Products</w:t>
            </w:r>
          </w:p>
        </w:tc>
        <w:tc>
          <w:tcPr>
            <w:tcW w:w="14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Partners</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Issuer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(Non-</w:t>
            </w: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EPO and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L.P.</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and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(EPO)</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guarantor)</w:t>
            </w:r>
          </w:p>
        </w:tc>
        <w:tc>
          <w:tcPr>
            <w:tcW w:w="1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(Guarantor)</w:t>
            </w:r>
          </w:p>
        </w:tc>
        <w:tc>
          <w:tcPr>
            <w:tcW w:w="14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Operating activities: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4,230.5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4,328.1</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(4,260.1)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4,298.5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(4,232.4)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4,238.5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spacing w:after="0" w:line="130" w:lineRule="exact"/>
              <w:rPr>
                <w:sz w:val="20"/>
                <w:szCs w:val="20"/>
                <w:color w:val="auto"/>
              </w:rPr>
            </w:pPr>
            <w:r>
              <w:rPr>
                <w:rFonts w:ascii="Arial" w:cs="Arial" w:eastAsia="Arial" w:hAnsi="Arial"/>
                <w:sz w:val="14"/>
                <w:szCs w:val="14"/>
                <w:i w:val="1"/>
                <w:iCs w:val="1"/>
                <w:color w:val="auto"/>
              </w:rPr>
              <w:t>Reconciliation of net income to</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net cash flows provided</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Arial" w:cs="Arial" w:eastAsia="Arial" w:hAnsi="Arial"/>
                <w:sz w:val="14"/>
                <w:szCs w:val="14"/>
                <w:i w:val="1"/>
                <w:iCs w:val="1"/>
                <w:color w:val="auto"/>
              </w:rPr>
              <w:t>by operating activities: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Depreciation, amortization</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and accretion</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279.9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1,512.1</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1,791.6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rPr>
              <w:t>Equity in income of</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320"/>
              <w:spacing w:after="0"/>
              <w:rPr>
                <w:sz w:val="20"/>
                <w:szCs w:val="20"/>
                <w:color w:val="auto"/>
              </w:rPr>
            </w:pPr>
            <w:r>
              <w:rPr>
                <w:rFonts w:ascii="Arial" w:cs="Arial" w:eastAsia="Arial" w:hAnsi="Arial"/>
                <w:sz w:val="14"/>
                <w:szCs w:val="14"/>
                <w:color w:val="auto"/>
              </w:rPr>
              <w:t>unconsolidated affiliates</w:t>
            </w:r>
          </w:p>
        </w:tc>
        <w:tc>
          <w:tcPr>
            <w:tcW w:w="16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(4,148.3)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(587.2)</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4,255.5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(480.0)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(4,230.8)</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4,230.8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(480.0)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Distributions received from</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unconsolidated affiliates</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attributable to earnings</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1,248.9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263.0</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(1,032.5)</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479.4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3,780.0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(3,780.0)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479.4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rPr>
              <w:t>Net effect of changes in</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320"/>
              <w:spacing w:after="0" w:line="149" w:lineRule="exact"/>
              <w:rPr>
                <w:sz w:val="20"/>
                <w:szCs w:val="20"/>
                <w:color w:val="auto"/>
              </w:rPr>
            </w:pPr>
            <w:r>
              <w:rPr>
                <w:rFonts w:ascii="Arial" w:cs="Arial" w:eastAsia="Arial" w:hAnsi="Arial"/>
                <w:sz w:val="14"/>
                <w:szCs w:val="14"/>
                <w:color w:val="auto"/>
              </w:rPr>
              <w:t>operating accounts and</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Pr>
          <w:p>
            <w:pPr>
              <w:ind w:left="320"/>
              <w:spacing w:after="0"/>
              <w:rPr>
                <w:sz w:val="20"/>
                <w:szCs w:val="20"/>
                <w:color w:val="auto"/>
              </w:rPr>
            </w:pPr>
            <w:r>
              <w:rPr>
                <w:rFonts w:ascii="Arial" w:cs="Arial" w:eastAsia="Arial" w:hAnsi="Arial"/>
                <w:sz w:val="14"/>
                <w:szCs w:val="14"/>
                <w:color w:val="auto"/>
              </w:rPr>
              <w:t>other operating activities</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3,221.5</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(3,244.2)</w:t>
            </w: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(25.0)</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121.2</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0.6</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96.8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Net cash flows provided</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by operating activities</w:t>
            </w: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4,832.5</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2,271.8</w:t>
            </w: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(1,039.8)</w:t>
            </w: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6,064.5</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3,842.8</w:t>
            </w:r>
          </w:p>
        </w:tc>
        <w:tc>
          <w:tcPr>
            <w:tcW w:w="2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(3,781.0)</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6,126.3</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Investing activities: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Capital expenditures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(3,476.0)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(4,168.0)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(55.2)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(4,223.2)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rPr>
              <w:t>Cash used for business</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320"/>
              <w:spacing w:after="0" w:line="149" w:lineRule="exact"/>
              <w:rPr>
                <w:sz w:val="20"/>
                <w:szCs w:val="20"/>
                <w:color w:val="auto"/>
              </w:rPr>
            </w:pPr>
            <w:r>
              <w:rPr>
                <w:rFonts w:ascii="Arial" w:cs="Arial" w:eastAsia="Arial" w:hAnsi="Arial"/>
                <w:sz w:val="14"/>
                <w:szCs w:val="14"/>
                <w:color w:val="auto"/>
              </w:rPr>
              <w:t>combinations, net of cash</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320"/>
              <w:spacing w:after="0"/>
              <w:rPr>
                <w:sz w:val="20"/>
                <w:szCs w:val="20"/>
                <w:color w:val="auto"/>
              </w:rPr>
            </w:pPr>
            <w:r>
              <w:rPr>
                <w:rFonts w:ascii="Arial" w:cs="Arial" w:eastAsia="Arial" w:hAnsi="Arial"/>
                <w:sz w:val="14"/>
                <w:szCs w:val="14"/>
                <w:color w:val="auto"/>
              </w:rPr>
              <w:t>received</w:t>
            </w: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(150.6)</w:t>
            </w: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(150.6)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Proceeds from asset sales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31.9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Other investing activities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(2,288.2)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196.2</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2,023.0</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(69.0)</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(523.3)</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523.3</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Cash used in investing</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activities</w:t>
            </w: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(2,850.9)</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(3,398.5)</w:t>
            </w: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2,023.0</w:t>
            </w:r>
          </w:p>
        </w:tc>
        <w:tc>
          <w:tcPr>
            <w:tcW w:w="2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(4,226.4)</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(578.5)</w:t>
            </w: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523.3</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(4,281.6)</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Financing activities: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Borrowings under debt</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agreements</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79,588.7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79,588.7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79,588.7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Repayments of debt</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(77,956.7)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(77,957.1)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(77,957.1)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Cash distributions paid to</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partners</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(3,780.0)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(1,333.1)</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1,333.1</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(3,780.0)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(3,726.9)</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3,780.0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(3,726.9)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rPr>
              <w:t>Cash payments made in</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320"/>
              <w:spacing w:after="0"/>
              <w:rPr>
                <w:sz w:val="20"/>
                <w:szCs w:val="20"/>
                <w:color w:val="auto"/>
              </w:rPr>
            </w:pPr>
            <w:r>
              <w:rPr>
                <w:rFonts w:ascii="Arial" w:cs="Arial" w:eastAsia="Arial" w:hAnsi="Arial"/>
                <w:sz w:val="14"/>
                <w:szCs w:val="14"/>
                <w:color w:val="auto"/>
              </w:rPr>
              <w:t>connection with DERs</w:t>
            </w: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(17.7)</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Cash distributions paid to</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noncontrolling interests</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(73.4)</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rPr>
              <w:t>Cash contributions from</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320"/>
              <w:spacing w:after="0"/>
              <w:rPr>
                <w:sz w:val="20"/>
                <w:szCs w:val="20"/>
                <w:color w:val="auto"/>
              </w:rPr>
            </w:pPr>
            <w:r>
              <w:rPr>
                <w:rFonts w:ascii="Arial" w:cs="Arial" w:eastAsia="Arial" w:hAnsi="Arial"/>
                <w:sz w:val="14"/>
                <w:szCs w:val="14"/>
                <w:color w:val="auto"/>
              </w:rPr>
              <w:t>noncontrolling interests</w:t>
            </w: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238.1</w:t>
            </w: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238.1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238.1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Net cash proceeds from</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4"/>
                <w:szCs w:val="14"/>
                <w:color w:val="auto"/>
                <w:w w:val="98"/>
              </w:rPr>
              <w:t>issuance of common units</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538.4</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538.4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rPr>
              <w:t>Common units acquired in</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320"/>
              <w:spacing w:after="0" w:line="149" w:lineRule="exact"/>
              <w:rPr>
                <w:sz w:val="20"/>
                <w:szCs w:val="20"/>
                <w:color w:val="auto"/>
              </w:rPr>
            </w:pPr>
            <w:r>
              <w:rPr>
                <w:rFonts w:ascii="Arial" w:cs="Arial" w:eastAsia="Arial" w:hAnsi="Arial"/>
                <w:sz w:val="14"/>
                <w:szCs w:val="14"/>
                <w:color w:val="auto"/>
              </w:rPr>
              <w:t>connection with Legacy</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320"/>
              <w:spacing w:after="0"/>
              <w:rPr>
                <w:sz w:val="20"/>
                <w:szCs w:val="20"/>
                <w:color w:val="auto"/>
              </w:rPr>
            </w:pPr>
            <w:r>
              <w:rPr>
                <w:rFonts w:ascii="Arial" w:cs="Arial" w:eastAsia="Arial" w:hAnsi="Arial"/>
                <w:sz w:val="14"/>
                <w:szCs w:val="14"/>
                <w:color w:val="auto"/>
              </w:rPr>
              <w:t>Buyback Program</w:t>
            </w: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(30.8)</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Cash contributions from</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owners</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523.3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2,476.7</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(2,476.7)</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523.3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(523.3)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Other financing activities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(28.7)</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(28.7)</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(27.3)</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Cash provided by (used</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in) financing activities</w:t>
            </w: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(1,653.4)</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1,145.5</w:t>
            </w: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(990.4)</w:t>
            </w: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(1,498.3)</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(3,264.3)</w:t>
            </w: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3,257.7</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(1,504.9)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40" w:type="dxa"/>
            <w:vAlign w:val="bottom"/>
          </w:tcPr>
          <w:p>
            <w:pPr>
              <w:spacing w:after="0" w:line="126" w:lineRule="exact"/>
              <w:rPr>
                <w:sz w:val="20"/>
                <w:szCs w:val="20"/>
                <w:color w:val="auto"/>
              </w:rPr>
            </w:pPr>
            <w:r>
              <w:rPr>
                <w:rFonts w:ascii="Arial" w:cs="Arial" w:eastAsia="Arial" w:hAnsi="Arial"/>
                <w:sz w:val="14"/>
                <w:szCs w:val="14"/>
                <w:b w:val="1"/>
                <w:bCs w:val="1"/>
                <w:color w:val="auto"/>
                <w:w w:val="99"/>
              </w:rPr>
              <w:t>Net change in cash and cash</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equivalents,</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ind w:left="100"/>
              <w:spacing w:after="0"/>
              <w:rPr>
                <w:sz w:val="20"/>
                <w:szCs w:val="20"/>
                <w:color w:val="auto"/>
              </w:rPr>
            </w:pPr>
            <w:r>
              <w:rPr>
                <w:rFonts w:ascii="Arial" w:cs="Arial" w:eastAsia="Arial" w:hAnsi="Arial"/>
                <w:sz w:val="14"/>
                <w:szCs w:val="14"/>
                <w:b w:val="1"/>
                <w:bCs w:val="1"/>
                <w:color w:val="auto"/>
              </w:rPr>
              <w:t>including restricted cash</w:t>
            </w: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328.2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339.8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339.8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Cash and cash equivalents,</w:t>
            </w: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including</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restricted cash, January 1</w:t>
            </w: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65.2</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31.5</w:t>
            </w: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(26.4)</w:t>
            </w: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70.3</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40" w:type="dxa"/>
            <w:vAlign w:val="bottom"/>
          </w:tcPr>
          <w:p>
            <w:pPr>
              <w:spacing w:after="0" w:line="126" w:lineRule="exact"/>
              <w:rPr>
                <w:sz w:val="20"/>
                <w:szCs w:val="20"/>
                <w:color w:val="auto"/>
              </w:rPr>
            </w:pPr>
            <w:r>
              <w:rPr>
                <w:rFonts w:ascii="Arial" w:cs="Arial" w:eastAsia="Arial" w:hAnsi="Arial"/>
                <w:sz w:val="14"/>
                <w:szCs w:val="14"/>
                <w:b w:val="1"/>
                <w:bCs w:val="1"/>
                <w:color w:val="auto"/>
              </w:rPr>
              <w:t>Cash and cash equivalents,</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including</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restricted cash, December</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60" w:type="dxa"/>
            <w:vAlign w:val="bottom"/>
            <w:gridSpan w:val="2"/>
          </w:tcPr>
          <w:p>
            <w:pPr>
              <w:ind w:left="180"/>
              <w:spacing w:after="0"/>
              <w:rPr>
                <w:sz w:val="20"/>
                <w:szCs w:val="20"/>
                <w:color w:val="auto"/>
              </w:rPr>
            </w:pPr>
            <w:r>
              <w:rPr>
                <w:rFonts w:ascii="Arial" w:cs="Arial" w:eastAsia="Arial" w:hAnsi="Arial"/>
                <w:sz w:val="14"/>
                <w:szCs w:val="14"/>
                <w:b w:val="1"/>
                <w:bCs w:val="1"/>
                <w:color w:val="auto"/>
              </w:rPr>
              <w:t>31</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393.4</w:t>
            </w:r>
          </w:p>
        </w:tc>
        <w:tc>
          <w:tcPr>
            <w:tcW w:w="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50.3</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(33.6)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410.1</w:t>
            </w:r>
          </w:p>
        </w:tc>
        <w:tc>
          <w:tcPr>
            <w:tcW w:w="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410.1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34" w:name="page235"/>
    <w:bookmarkEnd w:id="2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4"/>
                <w:szCs w:val="14"/>
                <w:b w:val="1"/>
                <w:bCs w:val="1"/>
                <w:color w:val="auto"/>
              </w:rPr>
              <w:t>EPO and Subsidiaries</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Enterprise</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0"/>
                <w:szCs w:val="10"/>
                <w:color w:val="auto"/>
              </w:rPr>
            </w:pPr>
          </w:p>
        </w:tc>
        <w:tc>
          <w:tcPr>
            <w:tcW w:w="1220" w:type="dxa"/>
            <w:vAlign w:val="bottom"/>
            <w:gridSpan w:val="2"/>
          </w:tcPr>
          <w:p>
            <w:pPr>
              <w:jc w:val="center"/>
              <w:ind w:right="340"/>
              <w:spacing w:after="0" w:line="126" w:lineRule="exact"/>
              <w:rPr>
                <w:sz w:val="20"/>
                <w:szCs w:val="20"/>
                <w:color w:val="auto"/>
              </w:rPr>
            </w:pPr>
            <w:r>
              <w:rPr>
                <w:rFonts w:ascii="Arial" w:cs="Arial" w:eastAsia="Arial" w:hAnsi="Arial"/>
                <w:sz w:val="14"/>
                <w:szCs w:val="14"/>
                <w:b w:val="1"/>
                <w:bCs w:val="1"/>
                <w:color w:val="auto"/>
                <w:w w:val="95"/>
              </w:rPr>
              <w:t>EPO and</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Subsidiary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Consolidated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Products</w:t>
            </w:r>
          </w:p>
        </w:tc>
        <w:tc>
          <w:tcPr>
            <w:tcW w:w="14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Partners</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Issuer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(Non-</w:t>
            </w: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EPO and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L.P.</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and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(EPO)</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guarantor)</w:t>
            </w:r>
          </w:p>
        </w:tc>
        <w:tc>
          <w:tcPr>
            <w:tcW w:w="1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(Guarantor)</w:t>
            </w:r>
          </w:p>
        </w:tc>
        <w:tc>
          <w:tcPr>
            <w:tcW w:w="14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Operating activities:</w:t>
            </w: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2,860.6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3,191.4</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(3,130.3)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2,921.7</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(2,865.4)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2,855.6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i w:val="1"/>
                <w:iCs w:val="1"/>
                <w:color w:val="auto"/>
                <w:w w:val="97"/>
              </w:rPr>
              <w:t>Reconciliation of net income to</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net cash flows provided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tcPr>
          <w:p>
            <w:pPr>
              <w:ind w:left="160"/>
              <w:spacing w:after="0"/>
              <w:rPr>
                <w:sz w:val="20"/>
                <w:szCs w:val="20"/>
                <w:color w:val="auto"/>
              </w:rPr>
            </w:pPr>
            <w:r>
              <w:rPr>
                <w:rFonts w:ascii="Arial" w:cs="Arial" w:eastAsia="Arial" w:hAnsi="Arial"/>
                <w:sz w:val="14"/>
                <w:szCs w:val="14"/>
                <w:i w:val="1"/>
                <w:iCs w:val="1"/>
                <w:color w:val="auto"/>
              </w:rPr>
              <w:t>by operating activities: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Depreciation, amortization</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and accretion</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216.6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1,427.8</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1,644.0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1,644.0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ind w:left="160"/>
              <w:spacing w:after="0" w:line="130" w:lineRule="exact"/>
              <w:rPr>
                <w:sz w:val="20"/>
                <w:szCs w:val="20"/>
                <w:color w:val="auto"/>
              </w:rPr>
            </w:pPr>
            <w:r>
              <w:rPr>
                <w:rFonts w:ascii="Arial" w:cs="Arial" w:eastAsia="Arial" w:hAnsi="Arial"/>
                <w:sz w:val="14"/>
                <w:szCs w:val="14"/>
                <w:color w:val="auto"/>
              </w:rPr>
              <w:t>Equity in income of</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tcPr>
          <w:p>
            <w:pPr>
              <w:ind w:left="320"/>
              <w:spacing w:after="0"/>
              <w:rPr>
                <w:sz w:val="20"/>
                <w:szCs w:val="20"/>
                <w:color w:val="auto"/>
              </w:rPr>
            </w:pPr>
            <w:r>
              <w:rPr>
                <w:rFonts w:ascii="Arial" w:cs="Arial" w:eastAsia="Arial" w:hAnsi="Arial"/>
                <w:sz w:val="14"/>
                <w:szCs w:val="14"/>
                <w:color w:val="auto"/>
              </w:rPr>
              <w:t>unconsolidated affiliates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(2,990.1)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(566.8)</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3,130.9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(426.0)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(2,865.4)</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2,865.4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(426.0)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Distributions received from</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unconsolidated affiliates</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attributable to earnings</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1,162.8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272.7</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(1,001.8)</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433.7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3,574.6</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(3,574.6)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ind w:left="160"/>
              <w:spacing w:after="0" w:line="130" w:lineRule="exact"/>
              <w:rPr>
                <w:sz w:val="20"/>
                <w:szCs w:val="20"/>
                <w:color w:val="auto"/>
              </w:rPr>
            </w:pPr>
            <w:r>
              <w:rPr>
                <w:rFonts w:ascii="Arial" w:cs="Arial" w:eastAsia="Arial" w:hAnsi="Arial"/>
                <w:sz w:val="14"/>
                <w:szCs w:val="14"/>
                <w:color w:val="auto"/>
              </w:rPr>
              <w:t>Net effect of changes in</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ind w:left="320"/>
              <w:spacing w:after="0" w:line="149" w:lineRule="exact"/>
              <w:rPr>
                <w:sz w:val="20"/>
                <w:szCs w:val="20"/>
                <w:color w:val="auto"/>
              </w:rPr>
            </w:pPr>
            <w:r>
              <w:rPr>
                <w:rFonts w:ascii="Arial" w:cs="Arial" w:eastAsia="Arial" w:hAnsi="Arial"/>
                <w:sz w:val="14"/>
                <w:szCs w:val="14"/>
                <w:color w:val="auto"/>
              </w:rPr>
              <w:t>operating accounts and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80" w:type="dxa"/>
            <w:vAlign w:val="bottom"/>
          </w:tcPr>
          <w:p>
            <w:pPr>
              <w:ind w:left="320"/>
              <w:spacing w:after="0"/>
              <w:rPr>
                <w:sz w:val="20"/>
                <w:szCs w:val="20"/>
                <w:color w:val="auto"/>
              </w:rPr>
            </w:pPr>
            <w:r>
              <w:rPr>
                <w:rFonts w:ascii="Arial" w:cs="Arial" w:eastAsia="Arial" w:hAnsi="Arial"/>
                <w:sz w:val="14"/>
                <w:szCs w:val="14"/>
                <w:color w:val="auto"/>
              </w:rPr>
              <w:t>other operating activities</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2,812.2</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(2,726.3)</w:t>
            </w: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(19.1)</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66.8</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93.2</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159.0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Net cash flows provided</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by operating activities</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4,062.1</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1,598.8</w:t>
            </w: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(1,020.7)</w:t>
            </w: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4,640.2</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3,601.7</w:t>
            </w:r>
          </w:p>
        </w:tc>
        <w:tc>
          <w:tcPr>
            <w:tcW w:w="2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(3,575.6)</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4,666.3</w:t>
            </w: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Investing activities: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Capital expenditures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(2,255.0)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(3,101.8)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(3,101.8)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ind w:left="160"/>
              <w:spacing w:after="0" w:line="130" w:lineRule="exact"/>
              <w:rPr>
                <w:sz w:val="20"/>
                <w:szCs w:val="20"/>
                <w:color w:val="auto"/>
              </w:rPr>
            </w:pPr>
            <w:r>
              <w:rPr>
                <w:rFonts w:ascii="Arial" w:cs="Arial" w:eastAsia="Arial" w:hAnsi="Arial"/>
                <w:sz w:val="14"/>
                <w:szCs w:val="14"/>
                <w:color w:val="auto"/>
              </w:rPr>
              <w:t>Cash used for business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ind w:left="320"/>
              <w:spacing w:after="0" w:line="149" w:lineRule="exact"/>
              <w:rPr>
                <w:sz w:val="20"/>
                <w:szCs w:val="20"/>
                <w:color w:val="auto"/>
              </w:rPr>
            </w:pPr>
            <w:r>
              <w:rPr>
                <w:rFonts w:ascii="Arial" w:cs="Arial" w:eastAsia="Arial" w:hAnsi="Arial"/>
                <w:sz w:val="14"/>
                <w:szCs w:val="14"/>
                <w:color w:val="auto"/>
                <w:w w:val="96"/>
              </w:rPr>
              <w:t>combinations, net of cash</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tcPr>
          <w:p>
            <w:pPr>
              <w:ind w:left="320"/>
              <w:spacing w:after="0"/>
              <w:rPr>
                <w:sz w:val="20"/>
                <w:szCs w:val="20"/>
                <w:color w:val="auto"/>
              </w:rPr>
            </w:pPr>
            <w:r>
              <w:rPr>
                <w:rFonts w:ascii="Arial" w:cs="Arial" w:eastAsia="Arial" w:hAnsi="Arial"/>
                <w:sz w:val="14"/>
                <w:szCs w:val="14"/>
                <w:color w:val="auto"/>
              </w:rPr>
              <w:t>received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(191.4)</w:t>
            </w: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(198.7)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Proceeds from asset sales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80" w:type="dxa"/>
            <w:vAlign w:val="bottom"/>
          </w:tcPr>
          <w:p>
            <w:pPr>
              <w:ind w:left="160"/>
              <w:spacing w:after="0"/>
              <w:rPr>
                <w:sz w:val="20"/>
                <w:szCs w:val="20"/>
                <w:color w:val="auto"/>
              </w:rPr>
            </w:pPr>
            <w:r>
              <w:rPr>
                <w:rFonts w:ascii="Arial" w:cs="Arial" w:eastAsia="Arial" w:hAnsi="Arial"/>
                <w:sz w:val="14"/>
                <w:szCs w:val="14"/>
                <w:color w:val="auto"/>
              </w:rPr>
              <w:t>Other investing activities</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(1,908.5)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(28.0)</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1,910.8</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(25.7)</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(1,060.5)</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1,060.5</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Cash used in investing</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activities</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(2,745.6)</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(2,451.3)</w:t>
            </w: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1,910.8</w:t>
            </w:r>
          </w:p>
        </w:tc>
        <w:tc>
          <w:tcPr>
            <w:tcW w:w="2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(3,286.1)</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(1,060.5)</w:t>
            </w: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1,060.5</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(3,286.1)</w:t>
            </w: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Financing activities: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Borrowings under debt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agreements</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69,349.3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(34.0)</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69,315.3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69,315.3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ind w:left="160"/>
              <w:spacing w:after="0"/>
              <w:rPr>
                <w:sz w:val="20"/>
                <w:szCs w:val="20"/>
                <w:color w:val="auto"/>
              </w:rPr>
            </w:pPr>
            <w:r>
              <w:rPr>
                <w:rFonts w:ascii="Arial" w:cs="Arial" w:eastAsia="Arial" w:hAnsi="Arial"/>
                <w:sz w:val="14"/>
                <w:szCs w:val="14"/>
                <w:color w:val="auto"/>
              </w:rPr>
              <w:t>Repayments of debt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(68,459.5)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(68,459.6)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(68,459.6)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Cash distributions paid to</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partners</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(3,574.6)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(1,065.3)</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(3,574.6)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(3,569.9)</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3,574.6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(3,569.9)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ind w:left="160"/>
              <w:spacing w:after="0" w:line="130" w:lineRule="exact"/>
              <w:rPr>
                <w:sz w:val="20"/>
                <w:szCs w:val="20"/>
                <w:color w:val="auto"/>
              </w:rPr>
            </w:pPr>
            <w:r>
              <w:rPr>
                <w:rFonts w:ascii="Arial" w:cs="Arial" w:eastAsia="Arial" w:hAnsi="Arial"/>
                <w:sz w:val="14"/>
                <w:szCs w:val="14"/>
                <w:color w:val="auto"/>
              </w:rPr>
              <w:t>Cash payments made in</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tcPr>
          <w:p>
            <w:pPr>
              <w:ind w:left="320"/>
              <w:spacing w:after="0"/>
              <w:rPr>
                <w:sz w:val="20"/>
                <w:szCs w:val="20"/>
                <w:color w:val="auto"/>
              </w:rPr>
            </w:pPr>
            <w:r>
              <w:rPr>
                <w:rFonts w:ascii="Arial" w:cs="Arial" w:eastAsia="Arial" w:hAnsi="Arial"/>
                <w:sz w:val="14"/>
                <w:szCs w:val="14"/>
                <w:color w:val="auto"/>
              </w:rPr>
              <w:t>connection with DERs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(15.1)</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Cash distributions paid to</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noncontrolling interests</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(40.6)</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ind w:left="160"/>
              <w:spacing w:after="0" w:line="130" w:lineRule="exact"/>
              <w:rPr>
                <w:sz w:val="20"/>
                <w:szCs w:val="20"/>
                <w:color w:val="auto"/>
              </w:rPr>
            </w:pPr>
            <w:r>
              <w:rPr>
                <w:rFonts w:ascii="Arial" w:cs="Arial" w:eastAsia="Arial" w:hAnsi="Arial"/>
                <w:sz w:val="14"/>
                <w:szCs w:val="14"/>
                <w:color w:val="auto"/>
              </w:rPr>
              <w:t>Cash contributions from</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tcPr>
          <w:p>
            <w:pPr>
              <w:ind w:left="320"/>
              <w:spacing w:after="0"/>
              <w:rPr>
                <w:sz w:val="20"/>
                <w:szCs w:val="20"/>
                <w:color w:val="auto"/>
              </w:rPr>
            </w:pPr>
            <w:r>
              <w:rPr>
                <w:rFonts w:ascii="Arial" w:cs="Arial" w:eastAsia="Arial" w:hAnsi="Arial"/>
                <w:sz w:val="14"/>
                <w:szCs w:val="14"/>
                <w:color w:val="auto"/>
              </w:rPr>
              <w:t>noncontrolling interests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Net cash proceeds from</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shd w:val="clear" w:color="auto" w:fill="CCEEFF"/>
          </w:tcPr>
          <w:p>
            <w:pPr>
              <w:ind w:left="320"/>
              <w:spacing w:after="0"/>
              <w:rPr>
                <w:sz w:val="20"/>
                <w:szCs w:val="20"/>
                <w:color w:val="auto"/>
              </w:rPr>
            </w:pPr>
            <w:r>
              <w:rPr>
                <w:rFonts w:ascii="Arial" w:cs="Arial" w:eastAsia="Arial" w:hAnsi="Arial"/>
                <w:sz w:val="14"/>
                <w:szCs w:val="14"/>
                <w:color w:val="auto"/>
                <w:w w:val="95"/>
              </w:rPr>
              <w:t>issuance of common units</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1,073.4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ind w:left="160"/>
              <w:spacing w:after="0" w:line="130" w:lineRule="exact"/>
              <w:rPr>
                <w:sz w:val="20"/>
                <w:szCs w:val="20"/>
                <w:color w:val="auto"/>
              </w:rPr>
            </w:pPr>
            <w:r>
              <w:rPr>
                <w:rFonts w:ascii="Arial" w:cs="Arial" w:eastAsia="Arial" w:hAnsi="Arial"/>
                <w:sz w:val="14"/>
                <w:szCs w:val="14"/>
                <w:color w:val="auto"/>
              </w:rPr>
              <w:t>Cash contributions from</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tcPr>
          <w:p>
            <w:pPr>
              <w:ind w:left="320"/>
              <w:spacing w:after="0"/>
              <w:rPr>
                <w:sz w:val="20"/>
                <w:szCs w:val="20"/>
                <w:color w:val="auto"/>
              </w:rPr>
            </w:pPr>
            <w:r>
              <w:rPr>
                <w:rFonts w:ascii="Arial" w:cs="Arial" w:eastAsia="Arial" w:hAnsi="Arial"/>
                <w:sz w:val="14"/>
                <w:szCs w:val="14"/>
                <w:color w:val="auto"/>
              </w:rPr>
              <w:t>owners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1,060.5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1,900.0</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(1,900.0)</w:t>
            </w: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1,060.5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(1,060.5)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Other financing activities</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6.8</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(29.6)</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ind w:left="320"/>
              <w:spacing w:after="0" w:line="130" w:lineRule="exact"/>
              <w:rPr>
                <w:sz w:val="20"/>
                <w:szCs w:val="20"/>
                <w:color w:val="auto"/>
              </w:rPr>
            </w:pPr>
            <w:r>
              <w:rPr>
                <w:rFonts w:ascii="Arial" w:cs="Arial" w:eastAsia="Arial" w:hAnsi="Arial"/>
                <w:sz w:val="14"/>
                <w:szCs w:val="14"/>
                <w:color w:val="auto"/>
              </w:rPr>
              <w:t>Cash provided by (used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80" w:type="dxa"/>
            <w:vAlign w:val="bottom"/>
          </w:tcPr>
          <w:p>
            <w:pPr>
              <w:ind w:left="480"/>
              <w:spacing w:after="0"/>
              <w:rPr>
                <w:sz w:val="20"/>
                <w:szCs w:val="20"/>
                <w:color w:val="auto"/>
              </w:rPr>
            </w:pPr>
            <w:r>
              <w:rPr>
                <w:rFonts w:ascii="Arial" w:cs="Arial" w:eastAsia="Arial" w:hAnsi="Arial"/>
                <w:sz w:val="14"/>
                <w:szCs w:val="14"/>
                <w:color w:val="auto"/>
              </w:rPr>
              <w:t>in) financing activities</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(1,617.5)</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825.1</w:t>
            </w: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(909.0)</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(1,701.4)</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(2,541.2)</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2,515.1</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(1,727.5)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6"/>
              </w:rPr>
              <w:t>Net change in cash and cash</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equivalents,</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including restricted cash</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(27.4)</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(347.3)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(347.3)</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tcPr>
          <w:p>
            <w:pPr>
              <w:spacing w:after="0" w:line="126" w:lineRule="exact"/>
              <w:rPr>
                <w:sz w:val="20"/>
                <w:szCs w:val="20"/>
                <w:color w:val="auto"/>
              </w:rPr>
            </w:pPr>
            <w:r>
              <w:rPr>
                <w:rFonts w:ascii="Arial" w:cs="Arial" w:eastAsia="Arial" w:hAnsi="Arial"/>
                <w:sz w:val="14"/>
                <w:szCs w:val="14"/>
                <w:b w:val="1"/>
                <w:bCs w:val="1"/>
                <w:color w:val="auto"/>
              </w:rPr>
              <w:t>Cash and cash equivalents,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including</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80" w:type="dxa"/>
            <w:vAlign w:val="bottom"/>
          </w:tcPr>
          <w:p>
            <w:pPr>
              <w:ind w:left="100"/>
              <w:spacing w:after="0"/>
              <w:rPr>
                <w:sz w:val="20"/>
                <w:szCs w:val="20"/>
                <w:color w:val="auto"/>
              </w:rPr>
            </w:pPr>
            <w:r>
              <w:rPr>
                <w:rFonts w:ascii="Arial" w:cs="Arial" w:eastAsia="Arial" w:hAnsi="Arial"/>
                <w:sz w:val="14"/>
                <w:szCs w:val="14"/>
                <w:b w:val="1"/>
                <w:bCs w:val="1"/>
                <w:color w:val="auto"/>
              </w:rPr>
              <w:t>restricted cash, January 1</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366.2</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58.9</w:t>
            </w: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417.6</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417.6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Cash and cash equivalents,</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including</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restricted cash, December</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b w:val="1"/>
                <w:bCs w:val="1"/>
                <w:color w:val="auto"/>
              </w:rPr>
              <w:t>31</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65.2</w:t>
            </w:r>
          </w:p>
        </w:tc>
        <w:tc>
          <w:tcPr>
            <w:tcW w:w="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31.5</w:t>
            </w: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70.3</w:t>
            </w:r>
          </w:p>
        </w:tc>
        <w:tc>
          <w:tcPr>
            <w:tcW w:w="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35" w:name="page236"/>
    <w:bookmarkEnd w:id="2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ENTERPRISE PRODUCTS PARTNERS 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Subsequent Event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$3.0 Billion of Senior Notes in January 2020</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2020, EPO issued $3.0 billion aggregate principal amount of senior notes comprised of (i) $1.0 billion principal amount of senior notes due January 2030 (“Senior Notes AAA”), (ii) $1.0 billion principal amount of senior notes due January 2051 (“Senior Notes BBB”) and (iii) $1.0 billion principal amount of senior notes due January 2060 (“Senior Notes CCC”). Net proceeds from this offering were used by EPO for the repayment of $500 million principal amount of its Senior Notes Q that matured in January 2020, temporary repayment of amounts outstanding under its commercial paper program and for general company purposes. In addition, net proceeds from this offering will be used by EPO for the repayment of $1.0 billion principal amount of its Senior Notes Y upon their maturity in September 2020.</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Senior Notes AAA were issued at 99.921% of their principal amount and have a fixed-rate interest rate of 2.80% per year. Senior Notes BBB were issued at 99.413% of their principal amount and have a fixed-rate interest rate of 3.70% per year. Senior Notes CCC were issued at 99.360% of their principal amount and have a fixed-rate interest rate of 3.95% per year. EPD guaranteed these senior notes through an unconditional guarantee on an unsecured and unsubordinated basis.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2020, we terminated an aggregate $575 million notional amount of forward-starting swaps (cash flow hedges), which resulted in cash payments of $33.3 million. The termination of these swaps was done in connection with EPO’s issuance of $3.0 billion aggregate principal amount of senior notes in January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Liquidity Option in February 2020</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25, 2020, the Partnership received notice from M&amp;B of M&amp;B’s election to exercise its Liquidity Option right. Settlement of the option exercise transaction is expected to occur on March 5, 2020. For additional information regarding the Liquidity Option and the effects of the option exercise, see Note 17.</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420"/>
          </w:cols>
          <w:pgMar w:left="240" w:top="122" w:right="2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REGISTERED PURSUANT TO SECTION 12 OF THE SECURITIES EXCHANGE ACT 0F 1934</w:t>
      </w:r>
    </w:p>
    <w:p>
      <w:pPr>
        <w:spacing w:after="0" w:line="21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As used herein, the “partnership,” “we,” “us,” and “our” mean Enterprise Products Partners L.P. and, where the context requires, include its operating subsidiaries, but does not include its general partner (referred to as such herein), Enterprise Products Holdings LLC.</w:t>
      </w:r>
    </w:p>
    <w:p>
      <w:pPr>
        <w:spacing w:after="0" w:line="17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common units described herein represent limited partner interests in the partnership and entitle holders thereof to the rights and privileges specified in our partnership agreement. A description of the common units is set forth below. The following summary does not purport to be complete, and reference is made to the more detailed provisions of the partnership’s Certificate of Limited Partnership, as amended to date, and its partnership agreement, which are filed as additional exhibits to the annual report on Form 10-K (the “Annual Report”) of which this exhibit forms a part.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COMMON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Units</w:t>
      </w:r>
    </w:p>
    <w:p>
      <w:pPr>
        <w:spacing w:after="0" w:line="229"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unitholders in and to cash distributions, please read “Cash Distribution Policy” elsewhere in this exhibit.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outstanding common units are listed on the NYSE under the symbol “EPD.” Any additional common units we issue will also be listed on the NYSE.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transfer agent and registrar for our common units is Equiniti Trust Company (an affiliate of Equiniti Group plc), d/b/a EQ Shareowner Services.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Meetings/Voting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holder of our common units is entitled to one vote for each unit on all matters submitted to a vote of the unitholders.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Except as described below under “— Limited Liability,” our common units will be fully paid, and unitholders will not be required to make additional capital contributions to us.</w:t>
      </w:r>
    </w:p>
    <w:p>
      <w:pPr>
        <w:spacing w:after="0" w:line="170"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Each purchaser of our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or other evidence of the issuance of uncertificated units. Purchasers may hold common units in nominee accounts.</w:t>
      </w:r>
    </w:p>
    <w:p>
      <w:pPr>
        <w:spacing w:after="0" w:line="18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our common units owned by an assignee who has not become a substituted limited partner at the written direction of the assignee. Transferees who do not execute and deliver transfer applications will be treated neither as assignees nor as record holders of common units and will not receive distributions, U.S. federal income tax allocations or reports furnished to record holders of our common units. The only right the transferees will have is the right to admission as a substituted limited partner in respect of the transferred common units upon execution of a transfer application in respect of the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7" w:name="page238"/>
    <w:bookmarkEnd w:id="237"/>
    <w:p>
      <w:pPr>
        <w:ind w:right="700"/>
        <w:spacing w:after="0" w:line="277" w:lineRule="auto"/>
        <w:rPr>
          <w:sz w:val="20"/>
          <w:szCs w:val="20"/>
          <w:color w:val="auto"/>
        </w:rPr>
      </w:pPr>
      <w:r>
        <w:rPr>
          <w:rFonts w:ascii="Arial" w:cs="Arial" w:eastAsia="Arial" w:hAnsi="Arial"/>
          <w:sz w:val="18"/>
          <w:szCs w:val="18"/>
          <w:color w:val="auto"/>
        </w:rPr>
        <w:t>A nominee or broker who has executed a transfer application with respect to our common units held in street name or nominee accounts will receive distributions and reports pertaining to its common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87"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w:t>
      </w:r>
    </w:p>
    <w:p>
      <w:pPr>
        <w:spacing w:after="0" w:line="16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As soon as practicable, but in no event later than 120 days after the close of each fiscal year, our general partner will mail or furnish to each unitholder of record (as of a record date selected by our general partner) an annual report containing our audited financial statements for the past fiscal year. These financial statements will be prepared in accordance with U.S. generally accepted accounting principles. In addition, no later than 90 days after the close of each quarter (except the fourth quarter), our general partner will mail or furnish to each unitholder of record (as of a record date selected by our general partner) a report containing our unaudited quarterly financial statements and any other information required by law. We may furnish such reports by making them generally available on our website: </w:t>
      </w:r>
      <w:r>
        <w:rPr>
          <w:rFonts w:ascii="Arial" w:cs="Arial" w:eastAsia="Arial" w:hAnsi="Arial"/>
          <w:sz w:val="18"/>
          <w:szCs w:val="18"/>
          <w:i w:val="1"/>
          <w:iCs w:val="1"/>
          <w:color w:val="auto"/>
        </w:rPr>
        <w:t>www.enterpriseproducts.com</w:t>
      </w:r>
      <w:r>
        <w:rPr>
          <w:rFonts w:ascii="Arial" w:cs="Arial" w:eastAsia="Arial" w:hAnsi="Arial"/>
          <w:sz w:val="18"/>
          <w:szCs w:val="18"/>
          <w:color w:val="auto"/>
        </w:rPr>
        <w:t>.</w:t>
      </w:r>
    </w:p>
    <w:p>
      <w:pPr>
        <w:spacing w:after="0" w:line="19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187"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387" w:lineRule="exact"/>
        <w:rPr>
          <w:sz w:val="20"/>
          <w:szCs w:val="20"/>
          <w:color w:val="auto"/>
        </w:rPr>
      </w:pPr>
    </w:p>
    <w:p>
      <w:pPr>
        <w:ind w:left="1040" w:hanging="384"/>
        <w:spacing w:after="0"/>
        <w:tabs>
          <w:tab w:leader="none" w:pos="10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225" w:lineRule="exact"/>
        <w:rPr>
          <w:rFonts w:ascii="Arial" w:cs="Arial" w:eastAsia="Arial" w:hAnsi="Arial"/>
          <w:sz w:val="18"/>
          <w:szCs w:val="18"/>
          <w:color w:val="auto"/>
        </w:rPr>
      </w:pPr>
    </w:p>
    <w:p>
      <w:pPr>
        <w:ind w:left="720" w:right="80" w:hanging="64"/>
        <w:spacing w:after="0" w:line="277" w:lineRule="auto"/>
        <w:tabs>
          <w:tab w:leader="none" w:pos="104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70" w:lineRule="exact"/>
        <w:rPr>
          <w:rFonts w:ascii="Arial" w:cs="Arial" w:eastAsia="Arial" w:hAnsi="Arial"/>
          <w:sz w:val="18"/>
          <w:szCs w:val="18"/>
          <w:color w:val="auto"/>
        </w:rPr>
      </w:pPr>
    </w:p>
    <w:p>
      <w:pPr>
        <w:ind w:left="720" w:right="260" w:hanging="64"/>
        <w:spacing w:after="0" w:line="277" w:lineRule="auto"/>
        <w:tabs>
          <w:tab w:leader="none" w:pos="104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238" w:name="page239"/>
    <w:bookmarkEnd w:id="238"/>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jc w:val="both"/>
        <w:ind w:right="380" w:firstLine="324"/>
        <w:spacing w:after="0" w:line="34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have agreed to certain registration rights under our partnership agreement as described under “Description of Our Partnership Agreement — Registration Rights.” In addition, in connection with our October 2014 acquisition of the general partner of Oiltanking Partners, L.P. (“Oiltanking”), and approximately 65.9% of the outstanding limited partner interests in Oiltanking, we issued 54,807,352 common units to Oiltanking Holding Americas, Inc. (“OTA”) in a transaction exempt from the registration requirements of the Securities Act of 1933, as amended (the “Securities Act”), pursuant to Section 4(a)</w:t>
      </w:r>
    </w:p>
    <w:p>
      <w:pPr>
        <w:spacing w:after="0" w:line="2" w:lineRule="exact"/>
        <w:rPr>
          <w:sz w:val="20"/>
          <w:szCs w:val="20"/>
          <w:color w:val="auto"/>
        </w:rPr>
      </w:pPr>
    </w:p>
    <w:p>
      <w:pPr>
        <w:ind w:right="80" w:firstLine="8"/>
        <w:spacing w:after="0" w:line="254" w:lineRule="auto"/>
        <w:tabs>
          <w:tab w:leader="none" w:pos="2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thereof, and we granted OTA registration rights with respect to these common units under a Registration Rights Agreement between us and OTA. OTA may request pursuant to this agreement that we prepare and file a registration statement to permit and otherwise facilitate the public resale of all or a portion of the 54,807,352 Enterprise common units that OTA owns. Our obligation to OTA to effect such transactions is limited to five registration statements and underwritten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39" w:name="page240"/>
    <w:bookmarkEnd w:id="239"/>
    <w:p>
      <w:pPr>
        <w:ind w:left="4720"/>
        <w:spacing w:after="0"/>
        <w:rPr>
          <w:sz w:val="20"/>
          <w:szCs w:val="20"/>
          <w:color w:val="auto"/>
        </w:rPr>
      </w:pPr>
      <w:r>
        <w:rPr>
          <w:rFonts w:ascii="Arial" w:cs="Arial" w:eastAsia="Arial" w:hAnsi="Arial"/>
          <w:sz w:val="18"/>
          <w:szCs w:val="18"/>
          <w:b w:val="1"/>
          <w:bCs w:val="1"/>
          <w:color w:val="auto"/>
        </w:rPr>
        <w:t>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Within approximately 45 days after the end of each quarter, we distribute all of our available cash to unitholders of record on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record date.</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Definition of Available Cash</w:t>
      </w:r>
      <w:r>
        <w:rPr>
          <w:rFonts w:ascii="Arial" w:cs="Arial" w:eastAsia="Arial" w:hAnsi="Arial"/>
          <w:sz w:val="18"/>
          <w:szCs w:val="18"/>
          <w:color w:val="auto"/>
        </w:rPr>
        <w:t>. Available cash is defined in our partnership agreement and generally means, with respect to any calendar quarter, all cash</w:t>
      </w:r>
      <w:r>
        <w:rPr>
          <w:rFonts w:ascii="Arial" w:cs="Arial" w:eastAsia="Arial" w:hAnsi="Arial"/>
          <w:sz w:val="18"/>
          <w:szCs w:val="18"/>
          <w:i w:val="1"/>
          <w:iCs w:val="1"/>
          <w:color w:val="auto"/>
        </w:rPr>
        <w:t xml:space="preserve"> </w:t>
      </w:r>
      <w:r>
        <w:rPr>
          <w:rFonts w:ascii="Arial" w:cs="Arial" w:eastAsia="Arial" w:hAnsi="Arial"/>
          <w:sz w:val="18"/>
          <w:szCs w:val="18"/>
          <w:color w:val="auto"/>
        </w:rPr>
        <w:t>on hand at the end of such quarter:</w:t>
      </w:r>
    </w:p>
    <w:p>
      <w:pPr>
        <w:spacing w:after="0" w:line="170" w:lineRule="exact"/>
        <w:rPr>
          <w:sz w:val="20"/>
          <w:szCs w:val="20"/>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 xml:space="preserve">less </w:t>
      </w:r>
      <w:r>
        <w:rPr>
          <w:rFonts w:ascii="Arial" w:cs="Arial" w:eastAsia="Arial" w:hAnsi="Arial"/>
          <w:sz w:val="18"/>
          <w:szCs w:val="18"/>
          <w:color w:val="auto"/>
        </w:rPr>
        <w:t>the amount of cash reserves that is necessary or appropriate in the reasonable discretion of the general partner to:</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provide for the proper conduct of our business (including reserves for our future capital expenditures and for our future credit needs) subsequent to such quarter;</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comply with applicable law or any loan agreement, security agreement, mortgage, debt instrument or other agreement or obligation to which we are a party or to which we are bound or our assets are subject;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provide funds for distributions to unitholders in respect of any one or more of the next four quarters;</w:t>
      </w:r>
    </w:p>
    <w:p>
      <w:pPr>
        <w:spacing w:after="0" w:line="225"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 xml:space="preserve">plus </w:t>
      </w:r>
      <w:r>
        <w:rPr>
          <w:rFonts w:ascii="Arial" w:cs="Arial" w:eastAsia="Arial" w:hAnsi="Arial"/>
          <w:sz w:val="18"/>
          <w:szCs w:val="18"/>
          <w:color w:val="auto"/>
        </w:rPr>
        <w:t>all cash on hand on the date of determination of available cash for the quarter resulting from working capital borrowings made after the end of</w:t>
      </w:r>
      <w:r>
        <w:rPr>
          <w:rFonts w:ascii="Arial" w:cs="Arial" w:eastAsia="Arial" w:hAnsi="Arial"/>
          <w:sz w:val="18"/>
          <w:szCs w:val="18"/>
          <w:i w:val="1"/>
          <w:iCs w:val="1"/>
          <w:color w:val="auto"/>
        </w:rPr>
        <w:t xml:space="preserve"> </w:t>
      </w:r>
      <w:r>
        <w:rPr>
          <w:rFonts w:ascii="Arial" w:cs="Arial" w:eastAsia="Arial" w:hAnsi="Arial"/>
          <w:sz w:val="18"/>
          <w:szCs w:val="18"/>
          <w:color w:val="auto"/>
        </w:rPr>
        <w:t>the quarter or certain interim capital transactions after the end of such quarter designated by our general partner as operating surplus in accordance with the partnership agreement. Working capital borrowings are generally borrowings that are made under our credit facilities and in all cases are used solely for working capital purposes or to pay distributions to partners.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we dissolve in accordance with our partnership agreement, we will sell or otherwise dispose of our assets in a process called a liquidation. We will first apply the proceeds of liquidation to the payment of our creditors in the order of priority provided in the partnership agreement and by law and, thereafter, we will distribute any remaining proceeds to the unitholders in accordance with their respective capital account balances as so adjusted.</w:t>
      </w:r>
    </w:p>
    <w:p>
      <w:pPr>
        <w:spacing w:after="0" w:line="16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Manner of Adjustments for Gain</w:t>
      </w:r>
      <w:r>
        <w:rPr>
          <w:rFonts w:ascii="Arial" w:cs="Arial" w:eastAsia="Arial" w:hAnsi="Arial"/>
          <w:sz w:val="18"/>
          <w:szCs w:val="18"/>
          <w:color w:val="auto"/>
        </w:rPr>
        <w:t>. The manner of the adjustment is set forth in the partnership agreement. Upon our liquidation, we will allocate any net</w:t>
      </w:r>
      <w:r>
        <w:rPr>
          <w:rFonts w:ascii="Arial" w:cs="Arial" w:eastAsia="Arial" w:hAnsi="Arial"/>
          <w:sz w:val="18"/>
          <w:szCs w:val="18"/>
          <w:i w:val="1"/>
          <w:iCs w:val="1"/>
          <w:color w:val="auto"/>
        </w:rPr>
        <w:t xml:space="preserve"> </w:t>
      </w:r>
      <w:r>
        <w:rPr>
          <w:rFonts w:ascii="Arial" w:cs="Arial" w:eastAsia="Arial" w:hAnsi="Arial"/>
          <w:sz w:val="18"/>
          <w:szCs w:val="18"/>
          <w:color w:val="auto"/>
        </w:rPr>
        <w:t>gain (or unrealized gain attributable to assets distributed in kind to the partners) as follows:</w:t>
      </w:r>
    </w:p>
    <w:p>
      <w:pPr>
        <w:spacing w:after="0" w:line="170" w:lineRule="exact"/>
        <w:rPr>
          <w:sz w:val="20"/>
          <w:szCs w:val="20"/>
          <w:color w:val="auto"/>
        </w:rPr>
      </w:pPr>
    </w:p>
    <w:p>
      <w:pPr>
        <w:ind w:left="660" w:hanging="328"/>
        <w:spacing w:after="0"/>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i w:val="1"/>
          <w:iCs w:val="1"/>
          <w:color w:val="auto"/>
        </w:rPr>
        <w:t>first</w:t>
      </w:r>
      <w:r>
        <w:rPr>
          <w:rFonts w:ascii="Arial" w:cs="Arial" w:eastAsia="Arial" w:hAnsi="Arial"/>
          <w:sz w:val="17"/>
          <w:szCs w:val="17"/>
          <w:color w:val="auto"/>
        </w:rPr>
        <w:t>, to the unitholders having negative balances in their capital accounts to the extent of and in proportion to such negative balances;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unitholders, pro rata.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Manner of Adjustments for Losses</w:t>
      </w:r>
      <w:r>
        <w:rPr>
          <w:rFonts w:ascii="Arial" w:cs="Arial" w:eastAsia="Arial" w:hAnsi="Arial"/>
          <w:sz w:val="18"/>
          <w:szCs w:val="18"/>
          <w:color w:val="auto"/>
        </w:rPr>
        <w:t>. Upon our liquidation, any net loss will generally be allocated to the unitholders as follows:</w:t>
      </w:r>
    </w:p>
    <w:p>
      <w:pPr>
        <w:spacing w:after="0" w:line="225" w:lineRule="exact"/>
        <w:rPr>
          <w:sz w:val="20"/>
          <w:szCs w:val="20"/>
          <w:color w:val="auto"/>
        </w:rPr>
      </w:pPr>
    </w:p>
    <w:p>
      <w:pPr>
        <w:ind w:left="660" w:right="240" w:hanging="328"/>
        <w:spacing w:after="0" w:line="277"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unitholders in proportion to the positive balances in their respective capital accounts, until the capital accounts of the unitholders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reduced to zero;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unitholders, pro rata.</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i w:val="1"/>
          <w:iCs w:val="1"/>
          <w:color w:val="auto"/>
        </w:rPr>
        <w:t>Adjustments to Capital Accounts</w:t>
      </w:r>
      <w:r>
        <w:rPr>
          <w:rFonts w:ascii="Arial" w:cs="Arial" w:eastAsia="Arial" w:hAnsi="Arial"/>
          <w:sz w:val="17"/>
          <w:szCs w:val="17"/>
          <w:color w:val="auto"/>
        </w:rPr>
        <w:t>. In addition, interim adjustments to capital accounts will be made at the time we issue additional partnership interests or</w:t>
      </w:r>
      <w:r>
        <w:rPr>
          <w:rFonts w:ascii="Arial" w:cs="Arial" w:eastAsia="Arial" w:hAnsi="Arial"/>
          <w:sz w:val="17"/>
          <w:szCs w:val="17"/>
          <w:i w:val="1"/>
          <w:iCs w:val="1"/>
          <w:color w:val="auto"/>
        </w:rPr>
        <w:t xml:space="preserve"> </w:t>
      </w:r>
      <w:r>
        <w:rPr>
          <w:rFonts w:ascii="Arial" w:cs="Arial" w:eastAsia="Arial" w:hAnsi="Arial"/>
          <w:sz w:val="17"/>
          <w:szCs w:val="17"/>
          <w:color w:val="auto"/>
        </w:rPr>
        <w:t>make distributions of property. Such adjustments will be based on the fair market value of the partnership interests or the property distributed and any gain or loss resulting therefrom will be allocated to the unitholders in the same manner as gain or loss is allocated upon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40" w:name="page241"/>
    <w:bookmarkEnd w:id="240"/>
    <w:p>
      <w:pPr>
        <w:jc w:val="center"/>
        <w:ind w:left="660"/>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is a summary of the material provisions of our partnership agreement. Our amended and restated partnership agreement has been filed with the U.S. Securities and Exchange Commission (the “Commission”). The following provisions of our partnership agreement are summarized elsewhere in this exhibit:</w:t>
      </w:r>
    </w:p>
    <w:p>
      <w:pPr>
        <w:spacing w:after="0" w:line="181" w:lineRule="exact"/>
        <w:rPr>
          <w:sz w:val="20"/>
          <w:szCs w:val="20"/>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purpose under our partnership agreement is to serve as a member of Enterprise Products Operating LLC (“EPO”), our primary operating subsidiary, and to engage in any business activities that may be engaged in by EPO or that are approved by our general partner. The limited liability company agreement of EPO provides that it may engage in any activity that was engaged in by our predecessors at the time of our initial public offering or reasonably related thereto and any other activity approved by our general partner.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Unitholders will not have voting rights except with respect to the following matters, for which our partnership agreement requires the approval of the holders of a majority of the common units, unless otherwise indicated:</w:t>
      </w:r>
    </w:p>
    <w:p>
      <w:pPr>
        <w:spacing w:after="0" w:line="170" w:lineRule="exact"/>
        <w:rPr>
          <w:sz w:val="20"/>
          <w:szCs w:val="20"/>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merger of our partnership or a sale, exchange or other disposition of all or substantially all of our assets;</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removal of our general partner (requires 60% of the outstanding common units, including common units held by our general partner and its affiliates);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election of a successor general partner;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dissolution of our partnership or the reconstitution of our partnership upon dissolution;</w:t>
      </w:r>
    </w:p>
    <w:p>
      <w:pPr>
        <w:spacing w:after="0" w:line="225" w:lineRule="exact"/>
        <w:rPr>
          <w:rFonts w:ascii="Arial" w:cs="Arial" w:eastAsia="Arial" w:hAnsi="Arial"/>
          <w:sz w:val="18"/>
          <w:szCs w:val="18"/>
          <w:color w:val="auto"/>
        </w:rPr>
      </w:pPr>
    </w:p>
    <w:p>
      <w:pPr>
        <w:ind w:left="660" w:right="880" w:hanging="328"/>
        <w:spacing w:after="0" w:line="277"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approval of certain actions of our general partner (including the transfer by the general partner of its general partner interest under certain circumstances); and</w:t>
      </w:r>
    </w:p>
    <w:p>
      <w:pPr>
        <w:spacing w:after="0" w:line="170"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certain amendments to the partnership agreement, including any amendment that would cause us to be treated as an association taxable as a corporation.</w:t>
      </w:r>
    </w:p>
    <w:p>
      <w:pPr>
        <w:spacing w:after="0" w:line="170"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Under the partnership agreement, our general partner generally will be permitted to effect, without the approval of unitholders, amendments to the partnership agreement that do not adversely affect unitholders.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29"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1" w:name="page242"/>
    <w:bookmarkEnd w:id="241"/>
    <w:p>
      <w:pPr>
        <w:jc w:val="both"/>
        <w:ind w:firstLine="324"/>
        <w:spacing w:after="0" w:line="286" w:lineRule="auto"/>
        <w:rPr>
          <w:sz w:val="20"/>
          <w:szCs w:val="20"/>
          <w:color w:val="auto"/>
        </w:rPr>
      </w:pPr>
      <w:r>
        <w:rPr>
          <w:rFonts w:ascii="Arial" w:cs="Arial" w:eastAsia="Arial" w:hAnsi="Arial"/>
          <w:sz w:val="17"/>
          <w:szCs w:val="17"/>
          <w:color w:val="auto"/>
        </w:rPr>
        <w:t>It is possible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6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70"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to reflect:</w:t>
      </w:r>
    </w:p>
    <w:p>
      <w:pPr>
        <w:spacing w:after="0" w:line="188" w:lineRule="exact"/>
        <w:rPr>
          <w:sz w:val="20"/>
          <w:szCs w:val="20"/>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change in our names, the location of our principal place of business, our registered agent or our registered office;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w:t>
      </w:r>
    </w:p>
    <w:p>
      <w:pPr>
        <w:spacing w:after="0" w:line="225" w:lineRule="exact"/>
        <w:rPr>
          <w:rFonts w:ascii="Arial" w:cs="Arial" w:eastAsia="Arial" w:hAnsi="Arial"/>
          <w:sz w:val="18"/>
          <w:szCs w:val="18"/>
          <w:color w:val="auto"/>
        </w:rPr>
      </w:pPr>
    </w:p>
    <w:p>
      <w:pPr>
        <w:ind w:left="660" w:right="240" w:hanging="328"/>
        <w:spacing w:after="0" w:line="264"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change to qualify or continue our qualification as a limited partnership or a partnership in which our limited partners have limited liability under the laws of any state or to ensure that neither we, EPO, nor any of our subsidiaries will be treated as an association taxable as a corporation or otherwise taxed as an entity for U.S. federal income tax purposes;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change that does not adversely affect our limited partners in any material respect;</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change to (i) satisfy any requirements, conditions or guidelines contained in any opinion, directive, order, ruling or regulation of any federal or state agency or judicial authority or contained in any federal or state statute or (ii) facilitate the trading of our limited partner interests or comply with any rule, regulation, guideline or requirement of any national securities exchange on which our limited partner interests are or will be listed for trading;</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 change in our fiscal year or taxable year and any changes that are necessary or advisable as a result of a change in our fiscal year or taxable year;</w:t>
      </w:r>
    </w:p>
    <w:p>
      <w:pPr>
        <w:spacing w:after="0" w:line="248" w:lineRule="exact"/>
        <w:rPr>
          <w:rFonts w:ascii="Arial" w:cs="Arial" w:eastAsia="Arial" w:hAnsi="Arial"/>
          <w:sz w:val="16"/>
          <w:szCs w:val="16"/>
          <w:color w:val="auto"/>
        </w:rPr>
      </w:pPr>
    </w:p>
    <w:p>
      <w:pPr>
        <w:ind w:left="660" w:right="440" w:hanging="328"/>
        <w:spacing w:after="0" w:line="264"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amendment that is necessary to prevent us, or our general partner or its directors, officers, trustees or agents from being subjected to the provisions of the Investment Company Act of 1940, as amended, the Investment Advisers Act of 1940, as amended, or “plan asset” regulations adopted under the Employee Retirement Income Security Act of 1974, as amended;</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amendment that is necessary or advisable in connection with the authorization or issuance of any class or series of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amendment expressly permitted in our partnership agreement to be made by our general partner acting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2466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2" w:name="page243"/>
    <w:bookmarkEnd w:id="242"/>
    <w:p>
      <w:pPr>
        <w:ind w:left="1040" w:hanging="384"/>
        <w:spacing w:after="0"/>
        <w:tabs>
          <w:tab w:leader="none" w:pos="10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an amendment effected, necessitated or contemplated by a merger agreement approved in accordance with our partnership agreement;</w:t>
      </w:r>
    </w:p>
    <w:p>
      <w:pPr>
        <w:spacing w:after="0" w:line="236" w:lineRule="exact"/>
        <w:rPr>
          <w:rFonts w:ascii="Arial" w:cs="Arial" w:eastAsia="Arial" w:hAnsi="Arial"/>
          <w:sz w:val="17"/>
          <w:szCs w:val="17"/>
          <w:color w:val="auto"/>
        </w:rPr>
      </w:pPr>
    </w:p>
    <w:p>
      <w:pPr>
        <w:ind w:left="720" w:right="620" w:hanging="64"/>
        <w:spacing w:after="0" w:line="264" w:lineRule="auto"/>
        <w:tabs>
          <w:tab w:leader="none" w:pos="104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 amendment that is necessary or advisable to reflect, account for and deal with appropriately our formation of, or investment in, any corporation, partnership, joint venture, limited liability company or other entity other than EPO, in connection with our conduct of activities permitted by our partnership agreement;</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merger or conveyance to effect a change in our legal form; or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other amendments substantially similar to the foregoing.</w:t>
      </w:r>
    </w:p>
    <w:p>
      <w:pPr>
        <w:spacing w:after="0" w:line="225"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Any amendment to our partnership agreement that would have the effect of reducing the voting percentage required to take any action must be approved by the written consent or the affirmative vote of our limited partners constituting not less than the voting requirement sought to be reduced.</w:t>
      </w:r>
    </w:p>
    <w:p>
      <w:pPr>
        <w:spacing w:after="0" w:line="14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No amendment to our partnership agreement may (i) enlarge the obligations of any limited partner without its consent, unless such shall have occurred as a result of an amendment approved by not less than a majority of the outstanding partnership interests of the class affected, (ii) enlarge the obligations of, restrict in any way any action by or rights of, or reduce in any way the amounts distributable, reimbursable or otherwise payable to, our general partner or any of its affiliates without its consent, which consent may be given or withheld in its sole discretion, (iii) change the provision of our partnership agreement that provides for our dissolution (A) at the expiration of its term or (B) upon the election to dissolve us by the general partner that is approved by the holders of a majority of our outstanding common units and by “special approval” (as such term is defined under our partnership agreement), or (iv) change the term of us or, except as set forth in the provision described in clause (iii)(B) of this paragraph, give any person the right to dissolve us.</w:t>
      </w:r>
    </w:p>
    <w:p>
      <w:pPr>
        <w:spacing w:after="0" w:line="16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Except for certain amendments in connection with the merger or consolidation of us and except for those amendments that may be effected by the general partner without the consent of limited partners as described above, any amendment that would have a material adverse effect on the rights or preferences of any class of partnership interests in relation to other classes of partnership interests must be approved by the holders of not less than a majority of the outstanding partnership interests of the class so affected.</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Except for those amendments that may be effected by the general partner without the consent of limited partners as described above or certain provisions in connection with our merger or consolidation, no amendment shall become effective without the approval of the holders of at least 90% of the outstanding common units unless we obtain an opinion of counsel to the effect that such amendment will not affect the limited liability of any limited partner under applicable law.</w:t>
      </w:r>
    </w:p>
    <w:p>
      <w:pPr>
        <w:spacing w:after="0" w:line="18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Except for those amendments that may be effected by the general partner without the consent of limited partners as described above, the foregoing provisions described above relating to the amendment of our partnership agreement may only be amended with the approval of the holders of at least 90% of the outstanding common units.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2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partnership agreement generally prohibits the general partner, without the prior approval of a majority of our outstanding common units, from causing us to, among other things, sell, exchange or otherwise dispose of all or substantially all of the assets of us or EPO in a single transaction or a series of related transactions (including by way of merger, consolidation or other combination). The general partner may, however, mortgage, pledge, hypothecate or grant a security interest in all or substantially all of the assets of us or EPO without the approval of a Unit Majority (as defined in our partnership agreement). Our partnership agreement generally prohibits the general partner from causing us to merge or consolidate with another entity without the approval of a majority of the members of our Audit and Conflicts Committee, at least one of which majority meets certain independence requirements (such approval constituting “special approval” under our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671195</wp:posOffset>
            </wp:positionV>
            <wp:extent cx="72466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3" w:name="page244"/>
    <w:bookmarkEnd w:id="243"/>
    <w:p>
      <w:pPr>
        <w:ind w:right="240" w:firstLine="324"/>
        <w:spacing w:after="0" w:line="264" w:lineRule="auto"/>
        <w:rPr>
          <w:sz w:val="20"/>
          <w:szCs w:val="20"/>
          <w:color w:val="auto"/>
        </w:rPr>
      </w:pPr>
      <w:r>
        <w:rPr>
          <w:rFonts w:ascii="Arial" w:cs="Arial" w:eastAsia="Arial" w:hAnsi="Arial"/>
          <w:sz w:val="18"/>
          <w:szCs w:val="18"/>
          <w:color w:val="auto"/>
        </w:rPr>
        <w:t>If certain conditions specified in our partnership agreement are satisfied, our general partner may merge us or any of our subsidiaries into, or convey some or all of our assets to, a newly formed entity if the sole purpose of that merger or conveyance is to change our legal form into another limited liability entity.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to Our General Partner</w:t>
      </w:r>
    </w:p>
    <w:p>
      <w:pPr>
        <w:spacing w:after="0" w:line="229"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87"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excluding the common units held by the withdrawing general partner and its affiliates, agree to continue our business and to appoint a successor general partner.</w:t>
      </w:r>
    </w:p>
    <w:p>
      <w:pPr>
        <w:spacing w:after="0" w:line="18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general partner may not be removed unless that removal is approved by the vote of the holders of not less than 60% of our outstanding common units, including units held by our general partner and its affiliates, and we receive an opinion of counsel regarding limited liability and tax matters. In addition, if our general partner is removed as our general partner under circumstances where cause does not exist and common units held by our general partner and its affiliates are not voted in favor of such removal, our general partner will have the right to convert its general partner interest into common units or to receive cash in exchange for such interests. Cause is narrowly defined to mean that a court of competent jurisdiction has entered a final, non-appealable judgment finding the general partner liable for actual fraud, gross negligence or willful or wanton misconduct in its capacity as our general partner. Any removal of this kind is also subject to the approval of a successor general partner by the vote of the holders of a majority of our outstanding common units, including those held by our general partner and its affiliates.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the General Partner Interest</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 In addition, our partnership agreement expressly permits the sale, in whole or in part, of the ownership of our general partner. Our general partner may also transfer, in whole or in part, the common units it owns.</w:t>
      </w:r>
    </w:p>
    <w:p>
      <w:pPr>
        <w:spacing w:after="0" w:line="18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At any time, the owners of our general partner may sell or transfer all or part of their ownership interests in the general partner without the approval of the unitholders.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Dissolution and Liquidation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as a limited partnership until terminated under our partnership agreement. We will dissolve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4" w:name="page245"/>
    <w:bookmarkEnd w:id="244"/>
    <w:p>
      <w:pPr>
        <w:ind w:left="920" w:hanging="264"/>
        <w:spacing w:after="0"/>
        <w:tabs>
          <w:tab w:leader="none" w:pos="9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expiration of the term of our partnership agreement on December 31, 2088;</w:t>
      </w:r>
    </w:p>
    <w:p>
      <w:pPr>
        <w:spacing w:after="0" w:line="225" w:lineRule="exact"/>
        <w:rPr>
          <w:rFonts w:ascii="Arial" w:cs="Arial" w:eastAsia="Arial" w:hAnsi="Arial"/>
          <w:sz w:val="18"/>
          <w:szCs w:val="18"/>
          <w:color w:val="auto"/>
        </w:rPr>
      </w:pPr>
    </w:p>
    <w:p>
      <w:pPr>
        <w:ind w:left="340" w:right="120" w:firstLine="316"/>
        <w:spacing w:after="0" w:line="257" w:lineRule="auto"/>
        <w:tabs>
          <w:tab w:leader="none" w:pos="91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withdrawal, removal, bankruptcy or dissolution of the general partner unless a successor is elected and an opinion of counsel is received that such withdrawal (following the selection of a successor general partner) would not result in the loss of the limited liability of any limited partner or of any member of EPO or cause us or EPO to be treated as an association taxable as a corporation or otherwise to be taxed as an entity for U.S. federal income tax purposes (to the extent not previously treated as such) and such successor is admitted to the partnership as required by our partnership agreement;</w:t>
      </w:r>
    </w:p>
    <w:p>
      <w:pPr>
        <w:spacing w:after="0" w:line="188" w:lineRule="exact"/>
        <w:rPr>
          <w:rFonts w:ascii="Arial" w:cs="Arial" w:eastAsia="Arial" w:hAnsi="Arial"/>
          <w:sz w:val="18"/>
          <w:szCs w:val="18"/>
          <w:color w:val="auto"/>
        </w:rPr>
      </w:pPr>
    </w:p>
    <w:p>
      <w:pPr>
        <w:ind w:left="340" w:right="200" w:firstLine="316"/>
        <w:spacing w:after="0" w:line="277" w:lineRule="auto"/>
        <w:tabs>
          <w:tab w:leader="none" w:pos="91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election to dissolve us by the general partner that receives “special approval” (as defined in our partnership agreement) and is approved by a majority of the holders of our common units;</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pursuant to the provisions of the Delaware Act;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sale of all or substantially all of the assets and properties of us, EPO and their subsidiaries.</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Upon (a) our dissolution following the withdrawal or removal of the general partner and the failure of the partners to select a successor general partner, then within 90 days thereafter, or (b) our dissolution upon the bankruptcy or dissolution of the general partner, then, to the maximum extent permitted by law, within 180 days thereafter, the holders of a majority of the holders of our common units may elect to reconstitute us and continue our business on the same terms and conditions set forth in our partnership agreement by forming a new limited partnership on terms identical to those set forth in our partnership agreement and having as the successor general partner a person approved by the holders of a majority of the holders of our common units. Unless such an election is made within the applicable time period as set forth above, we shall conduct only activities necessary to wind up our affairs.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181" w:lineRule="exact"/>
        <w:rPr>
          <w:sz w:val="20"/>
          <w:szCs w:val="20"/>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towards the payment of all of our creditors and the creation of a reserve for contingent liabilities;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to all partners in accordance with the positive balance in the respective capital accounts.</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2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For purposes of determining the limited partners entitled to notice of or to vote at a meeting of limited partners or to give approvals without a meeting, the general partner may set a record date, which shall not be less than 10 nor more than 60 days before (i) the date of the meeting (unless such requirement conflicts with any rule, regulation, guideline or requirement of any national securities exchange on which the limited partner interests are listed for trading, in which case the rule, regulation, guideline or requirement of such exchange shall govern) or (ii) in the event that approvals are sought without a meeting, the date by which limited partners are requested in writing by the general partner to give such approvals.</w:t>
      </w:r>
    </w:p>
    <w:p>
      <w:pPr>
        <w:spacing w:after="0" w:line="173"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If authorized by the general partner, any action that may be taken at a meeting of the limited partners may be taken without a meeting if an approval in writing setting forth the action so taken is signed by limited partners owning not less than the minimum percentage of the outstanding limited partner interests (including limited partner interests deemed owned by the general partner) that would be necessary to authorize or take such action at a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5" w:name="page246"/>
    <w:bookmarkEnd w:id="245"/>
    <w:p>
      <w:pPr>
        <w:ind w:right="20"/>
        <w:spacing w:after="0" w:line="291" w:lineRule="auto"/>
        <w:rPr>
          <w:sz w:val="20"/>
          <w:szCs w:val="20"/>
          <w:color w:val="auto"/>
        </w:rPr>
      </w:pPr>
      <w:r>
        <w:rPr>
          <w:rFonts w:ascii="Arial" w:cs="Arial" w:eastAsia="Arial" w:hAnsi="Arial"/>
          <w:sz w:val="16"/>
          <w:szCs w:val="16"/>
          <w:color w:val="auto"/>
        </w:rPr>
        <w:t>at which all the limited partners were present and voted (unless such provision conflicts with any rule, regulation, guideline or requirement of any national securities exchange on which the limited partner interests are listed for trading, in which case the rule, regulation, guideline or requirement of such exchange shall govern). Special meetings of limited partners may be called by the general partner or by limited partners owning 20% or more of the outstanding limited partner interests of the class or classes for which a meeting is proposed. The holders of a majority of the outstanding limited partner interests of the class or classes for which a meeting has been called (including limited partner interests deemed owned by the general partner) represented in person or by proxy shall constitute a quorum at a meeting of limited partners of such class or classes unless any such action by the limited partners requires approval by holders of a greater percentage of such limited partner interests, in which case the quorum shall be such greater percentage.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holder of common units is entitled to one vote for each unit on all matters submitted to a vote of the common unitholders.</w:t>
      </w:r>
    </w:p>
    <w:p>
      <w:pPr>
        <w:spacing w:after="0" w:line="22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Our common units held in nominee or street name account will be voted by the broker or other nominee in accordance with the instruction of the beneficial owner unless the arrangement between the beneficial owner and its nominee provides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2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If at any time our general partner and its affiliates own 85%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partnership agreement) of the limited partner interests of the class as of the date three days prior to the date that notice is mailed to the limited partners as provided in the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 xml:space="preserve">Section 17-108 of the Delaware Act empowers a Delaware limited partnership to indemnify and hold harmless any partner or other person from and against all claims and demands whatsoever. Our partnership agreement provides that we will indemnify (i) the general partner, (ii) any departing general partner, (iii) any person who is or was an affiliate of the general partner or any departing general partner, (iv) any person who is or was a member, partner, officer director, employee, agent or trustee of the general partner or any departing general partner or any affiliate of the general partner or any departing general partner or (v) any person who is or was serving at the request of the general partner or any departing general partner or any affiliate of any such person, any affiliate of the general partner or any fiduciary or trustee of another person (each, a “Partnership Indemnitee”), to the fullest extent permitted by law, from and against any and all losses, claims, damages, liabilities (joint or several), expenses (including, without limitation, legal fees and expenses), judgments, fines, penalties, interest, settlements and other amounts arising from any and all claims, demands, actions, suits or proceedings, whether civil, criminal, administrative or investigative, in which any Partnership Indemnitee may be involved, or is threatened to be involved, as a party or otherwise, by reason of its status as a Partnership Indemnitee;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the Partnership Indemnitee acted in good faith and in a manner that such Partnership Indemnitee reasonably believed to be in or not opposed to our best interests and, with respect to any criminal proceeding, had no reasonable cause to believe its conduct was unlawful. The termination of any proceeding by judgment, order, settlement, conviction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or its equivalent, shall not create an assumption that the Partnership Indemnitee acted in a manner contrary to that specified above. Any indemnification under these provisions will be only out of our assets, and the general partner shall not be personally liable for, or have any obligation to contribute or lend funds or assets to us to enable it to effectuate, such indemnification. We are authorized to purchase (or to reimburse the general partner or its affiliates for the cost of) insurance against liabilities asserted against and expenses incurred by such persons in connection with our activities, regardless of whether we would have the power to indemnify such person against such liabilities under the provisions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669290</wp:posOffset>
            </wp:positionV>
            <wp:extent cx="72466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ectPr>
          <w:pgSz w:w="11900" w:h="16838" w:orient="portrait"/>
          <w:cols w:equalWidth="0" w:num="1">
            <w:col w:w="11320"/>
          </w:cols>
          <w:pgMar w:left="240" w:top="121" w:right="3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21.1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LIST OF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Enterprise Products Partners L.P.</w:t>
      </w:r>
    </w:p>
    <w:p>
      <w:pPr>
        <w:jc w:val="center"/>
        <w:spacing w:after="0"/>
        <w:rPr>
          <w:sz w:val="20"/>
          <w:szCs w:val="20"/>
          <w:color w:val="auto"/>
        </w:rPr>
      </w:pPr>
      <w:r>
        <w:rPr>
          <w:rFonts w:ascii="Arial" w:cs="Arial" w:eastAsia="Arial" w:hAnsi="Arial"/>
          <w:sz w:val="20"/>
          <w:szCs w:val="20"/>
          <w:color w:val="auto"/>
        </w:rPr>
        <w:t>as of February 1,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0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jc w:val="center"/>
              <w:ind w:left="730"/>
              <w:spacing w:after="0"/>
              <w:rPr>
                <w:sz w:val="20"/>
                <w:szCs w:val="20"/>
                <w:color w:val="auto"/>
              </w:rPr>
            </w:pPr>
            <w:r>
              <w:rPr>
                <w:rFonts w:ascii="Arial" w:cs="Arial" w:eastAsia="Arial" w:hAnsi="Arial"/>
                <w:sz w:val="18"/>
                <w:szCs w:val="18"/>
                <w:b w:val="1"/>
                <w:bCs w:val="1"/>
                <w:color w:val="auto"/>
                <w:w w:val="90"/>
              </w:rPr>
              <w:t>Jurisdiction</w:t>
            </w:r>
          </w:p>
        </w:tc>
        <w:tc>
          <w:tcPr>
            <w:tcW w:w="5240" w:type="dxa"/>
            <w:vAlign w:val="bottom"/>
            <w:tcBorders>
              <w:top w:val="single" w:sz="8" w:color="auto"/>
            </w:tcBorders>
          </w:tcPr>
          <w:p>
            <w:pPr>
              <w:spacing w:after="0"/>
              <w:rPr>
                <w:sz w:val="19"/>
                <w:szCs w:val="19"/>
                <w:color w:val="auto"/>
              </w:rPr>
            </w:pPr>
          </w:p>
        </w:tc>
      </w:tr>
      <w:tr>
        <w:trPr>
          <w:trHeight w:val="24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Subsidiary</w:t>
            </w:r>
          </w:p>
        </w:tc>
        <w:tc>
          <w:tcPr>
            <w:tcW w:w="218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b w:val="1"/>
                <w:bCs w:val="1"/>
                <w:color w:val="auto"/>
                <w:w w:val="92"/>
              </w:rPr>
              <w:t>of Formation</w:t>
            </w:r>
          </w:p>
        </w:tc>
        <w:tc>
          <w:tcPr>
            <w:tcW w:w="52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Effective Ownership</w:t>
            </w:r>
          </w:p>
        </w:tc>
      </w:tr>
      <w:tr>
        <w:trPr>
          <w:trHeight w:val="202"/>
        </w:trPr>
        <w:tc>
          <w:tcPr>
            <w:tcW w:w="40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52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TXO-Acadian Gas Pipeline, LLC – 50%</w:t>
            </w:r>
          </w:p>
        </w:tc>
      </w:tr>
      <w:tr>
        <w:trPr>
          <w:trHeight w:val="237"/>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Acadian Gas Pipeline System</w:t>
            </w:r>
          </w:p>
        </w:tc>
        <w:tc>
          <w:tcPr>
            <w:tcW w:w="218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89"/>
              </w:rPr>
              <w:t>Delaware</w:t>
            </w:r>
          </w:p>
        </w:tc>
        <w:tc>
          <w:tcPr>
            <w:tcW w:w="5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MCN Acadian Gas Pipeline, LLC – 50%</w:t>
            </w:r>
          </w:p>
        </w:tc>
      </w:tr>
      <w:tr>
        <w:trPr>
          <w:trHeight w:val="2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Acadian Gas, LLC</w:t>
            </w:r>
          </w:p>
        </w:tc>
        <w:tc>
          <w:tcPr>
            <w:tcW w:w="218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89"/>
              </w:rPr>
              <w:t>Delaware</w:t>
            </w:r>
          </w:p>
        </w:tc>
        <w:tc>
          <w:tcPr>
            <w:tcW w:w="5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Duncan Energy Partners L.P. – 100%</w:t>
            </w:r>
          </w:p>
        </w:tc>
      </w:tr>
      <w:tr>
        <w:trPr>
          <w:trHeight w:val="223"/>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Adamana Land Company, LLC</w:t>
            </w:r>
          </w:p>
        </w:tc>
        <w:tc>
          <w:tcPr>
            <w:tcW w:w="218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89"/>
              </w:rPr>
              <w:t>Delaware</w:t>
            </w:r>
          </w:p>
        </w:tc>
        <w:tc>
          <w:tcPr>
            <w:tcW w:w="5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Enterprise Products Operating LLC – 100%</w:t>
            </w:r>
          </w:p>
        </w:tc>
      </w:tr>
      <w:tr>
        <w:trPr>
          <w:trHeight w:val="202"/>
        </w:trPr>
        <w:tc>
          <w:tcPr>
            <w:tcW w:w="40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240" w:type="dxa"/>
            <w:vAlign w:val="bottom"/>
          </w:tcPr>
          <w:p>
            <w:pPr>
              <w:ind w:left="80"/>
              <w:spacing w:after="0" w:line="201" w:lineRule="exact"/>
              <w:rPr>
                <w:sz w:val="20"/>
                <w:szCs w:val="20"/>
                <w:color w:val="auto"/>
              </w:rPr>
            </w:pPr>
            <w:r>
              <w:rPr>
                <w:rFonts w:ascii="Arial" w:cs="Arial" w:eastAsia="Arial" w:hAnsi="Arial"/>
                <w:sz w:val="18"/>
                <w:szCs w:val="18"/>
                <w:color w:val="auto"/>
              </w:rPr>
              <w:t>Enterprise Arizona Gas, L.L.C. – 60%</w:t>
            </w:r>
          </w:p>
        </w:tc>
      </w:tr>
      <w:tr>
        <w:trPr>
          <w:trHeight w:val="237"/>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Arizona Gas Storage, L.L.C.</w:t>
            </w:r>
          </w:p>
        </w:tc>
        <w:tc>
          <w:tcPr>
            <w:tcW w:w="218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89"/>
              </w:rPr>
              <w:t>Delaware</w:t>
            </w:r>
          </w:p>
        </w:tc>
        <w:tc>
          <w:tcPr>
            <w:tcW w:w="5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Third Party – 40%</w:t>
            </w:r>
          </w:p>
        </w:tc>
      </w:tr>
      <w:tr>
        <w:trPr>
          <w:trHeight w:val="202"/>
        </w:trPr>
        <w:tc>
          <w:tcPr>
            <w:tcW w:w="40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52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Enterprise Products Operating LLC – 32.25%</w:t>
            </w:r>
          </w:p>
        </w:tc>
      </w:tr>
      <w:tr>
        <w:trPr>
          <w:trHeight w:val="237"/>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Baton Rouge Fractionators LLC</w:t>
            </w:r>
          </w:p>
        </w:tc>
        <w:tc>
          <w:tcPr>
            <w:tcW w:w="218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89"/>
              </w:rPr>
              <w:t>Delaware</w:t>
            </w:r>
          </w:p>
        </w:tc>
        <w:tc>
          <w:tcPr>
            <w:tcW w:w="5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Third Parties – 67.75%</w:t>
            </w:r>
          </w:p>
        </w:tc>
      </w:tr>
      <w:tr>
        <w:trPr>
          <w:trHeight w:val="2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Baton Rouge Pipeline LLC</w:t>
            </w:r>
          </w:p>
        </w:tc>
        <w:tc>
          <w:tcPr>
            <w:tcW w:w="218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89"/>
              </w:rPr>
              <w:t>Delaware</w:t>
            </w:r>
          </w:p>
        </w:tc>
        <w:tc>
          <w:tcPr>
            <w:tcW w:w="5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Baton Rouge Fractionators LLC – 100%</w:t>
            </w:r>
          </w:p>
        </w:tc>
      </w:tr>
      <w:tr>
        <w:trPr>
          <w:trHeight w:val="202"/>
        </w:trPr>
        <w:tc>
          <w:tcPr>
            <w:tcW w:w="40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52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Enterprise Products Operating LLC – 30%</w:t>
            </w:r>
          </w:p>
        </w:tc>
      </w:tr>
      <w:tr>
        <w:trPr>
          <w:trHeight w:val="237"/>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Baton Rouge Propylene Concentrator LLC</w:t>
            </w:r>
          </w:p>
        </w:tc>
        <w:tc>
          <w:tcPr>
            <w:tcW w:w="218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89"/>
              </w:rPr>
              <w:t>Delaware</w:t>
            </w:r>
          </w:p>
        </w:tc>
        <w:tc>
          <w:tcPr>
            <w:tcW w:w="5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Third Parties – 70%</w:t>
            </w:r>
          </w:p>
        </w:tc>
      </w:tr>
      <w:tr>
        <w:trPr>
          <w:trHeight w:val="202"/>
        </w:trPr>
        <w:tc>
          <w:tcPr>
            <w:tcW w:w="40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240" w:type="dxa"/>
            <w:vAlign w:val="bottom"/>
          </w:tcPr>
          <w:p>
            <w:pPr>
              <w:ind w:left="80"/>
              <w:spacing w:after="0" w:line="201" w:lineRule="exact"/>
              <w:rPr>
                <w:sz w:val="20"/>
                <w:szCs w:val="20"/>
                <w:color w:val="auto"/>
              </w:rPr>
            </w:pPr>
            <w:r>
              <w:rPr>
                <w:rFonts w:ascii="Arial" w:cs="Arial" w:eastAsia="Arial" w:hAnsi="Arial"/>
                <w:sz w:val="18"/>
                <w:szCs w:val="18"/>
                <w:color w:val="auto"/>
              </w:rPr>
              <w:t>Enterprise Products Operating LLC – 70%</w:t>
            </w:r>
          </w:p>
        </w:tc>
      </w:tr>
      <w:tr>
        <w:trPr>
          <w:trHeight w:val="237"/>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Baymark Pipeline LLC</w:t>
            </w:r>
          </w:p>
        </w:tc>
        <w:tc>
          <w:tcPr>
            <w:tcW w:w="218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85"/>
              </w:rPr>
              <w:t>Texas</w:t>
            </w:r>
          </w:p>
        </w:tc>
        <w:tc>
          <w:tcPr>
            <w:tcW w:w="5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Third Party - 30%</w:t>
            </w:r>
          </w:p>
        </w:tc>
      </w:tr>
      <w:tr>
        <w:trPr>
          <w:trHeight w:val="229"/>
        </w:trPr>
        <w:tc>
          <w:tcPr>
            <w:tcW w:w="400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5240" w:type="dxa"/>
            <w:vAlign w:val="bottom"/>
            <w:shd w:val="clear" w:color="auto" w:fill="CCEEFF"/>
          </w:tcPr>
          <w:p>
            <w:pPr>
              <w:ind w:left="80"/>
              <w:spacing w:after="0" w:line="229" w:lineRule="exact"/>
              <w:rPr>
                <w:sz w:val="20"/>
                <w:szCs w:val="20"/>
                <w:color w:val="auto"/>
              </w:rPr>
            </w:pPr>
            <w:r>
              <w:rPr>
                <w:rFonts w:ascii="Arial" w:cs="Arial" w:eastAsia="Arial" w:hAnsi="Arial"/>
                <w:sz w:val="18"/>
                <w:szCs w:val="18"/>
                <w:color w:val="auto"/>
              </w:rPr>
              <w:t xml:space="preserve">Enterprise NGL Pipelines, LLC </w:t>
            </w:r>
            <w:r>
              <w:rPr>
                <w:rFonts w:ascii="Arial" w:cs="Arial" w:eastAsia="Arial" w:hAnsi="Arial"/>
                <w:sz w:val="21"/>
                <w:szCs w:val="21"/>
                <w:color w:val="auto"/>
              </w:rPr>
              <w:t>–</w:t>
            </w:r>
            <w:r>
              <w:rPr>
                <w:rFonts w:ascii="Arial" w:cs="Arial" w:eastAsia="Arial" w:hAnsi="Arial"/>
                <w:sz w:val="18"/>
                <w:szCs w:val="18"/>
                <w:color w:val="auto"/>
              </w:rPr>
              <w:t>41.67%</w:t>
            </w:r>
          </w:p>
        </w:tc>
      </w:tr>
      <w:tr>
        <w:trPr>
          <w:trHeight w:val="237"/>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Belle Rose NGL Pipeline, L.L.C.</w:t>
            </w:r>
          </w:p>
        </w:tc>
        <w:tc>
          <w:tcPr>
            <w:tcW w:w="218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89"/>
              </w:rPr>
              <w:t>Delaware</w:t>
            </w:r>
          </w:p>
        </w:tc>
        <w:tc>
          <w:tcPr>
            <w:tcW w:w="5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Enterprise Products Operating LLC – 58.33%</w:t>
            </w:r>
          </w:p>
        </w:tc>
      </w:tr>
      <w:tr>
        <w:trPr>
          <w:trHeight w:val="2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Belvieu Environmental Fuels GP, LLC</w:t>
            </w:r>
          </w:p>
        </w:tc>
        <w:tc>
          <w:tcPr>
            <w:tcW w:w="218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85"/>
              </w:rPr>
              <w:t>Texas</w:t>
            </w:r>
          </w:p>
        </w:tc>
        <w:tc>
          <w:tcPr>
            <w:tcW w:w="5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Enterprise Products Operating LLC – 100%</w:t>
            </w:r>
          </w:p>
        </w:tc>
      </w:tr>
      <w:tr>
        <w:trPr>
          <w:trHeight w:val="202"/>
        </w:trPr>
        <w:tc>
          <w:tcPr>
            <w:tcW w:w="40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52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Enterprise Products Operating LLC – 99%</w:t>
            </w:r>
          </w:p>
        </w:tc>
      </w:tr>
      <w:tr>
        <w:trPr>
          <w:trHeight w:val="237"/>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Belvieu Environmental Fuels LLC</w:t>
            </w:r>
          </w:p>
        </w:tc>
        <w:tc>
          <w:tcPr>
            <w:tcW w:w="2180" w:type="dxa"/>
            <w:vAlign w:val="bottom"/>
            <w:tcBorders>
              <w:bottom w:val="single" w:sz="8" w:color="auto"/>
            </w:tcBorders>
            <w:shd w:val="clear" w:color="auto" w:fill="CCEEFF"/>
          </w:tcPr>
          <w:p>
            <w:pPr>
              <w:jc w:val="center"/>
              <w:ind w:left="750"/>
              <w:spacing w:after="0"/>
              <w:rPr>
                <w:sz w:val="20"/>
                <w:szCs w:val="20"/>
                <w:color w:val="auto"/>
              </w:rPr>
            </w:pPr>
            <w:r>
              <w:rPr>
                <w:rFonts w:ascii="Arial" w:cs="Arial" w:eastAsia="Arial" w:hAnsi="Arial"/>
                <w:sz w:val="18"/>
                <w:szCs w:val="18"/>
                <w:color w:val="auto"/>
                <w:w w:val="85"/>
              </w:rPr>
              <w:t>Texas</w:t>
            </w:r>
          </w:p>
        </w:tc>
        <w:tc>
          <w:tcPr>
            <w:tcW w:w="5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Belvieu Environmental Fuels GP, LLC – 1%</w:t>
            </w:r>
          </w:p>
        </w:tc>
      </w:tr>
      <w:tr>
        <w:trPr>
          <w:trHeight w:val="202"/>
        </w:trPr>
        <w:tc>
          <w:tcPr>
            <w:tcW w:w="40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240" w:type="dxa"/>
            <w:vAlign w:val="bottom"/>
          </w:tcPr>
          <w:p>
            <w:pPr>
              <w:ind w:left="80"/>
              <w:spacing w:after="0" w:line="201" w:lineRule="exact"/>
              <w:rPr>
                <w:sz w:val="20"/>
                <w:szCs w:val="20"/>
                <w:color w:val="auto"/>
              </w:rPr>
            </w:pPr>
            <w:r>
              <w:rPr>
                <w:rFonts w:ascii="Arial" w:cs="Arial" w:eastAsia="Arial" w:hAnsi="Arial"/>
                <w:sz w:val="18"/>
                <w:szCs w:val="18"/>
                <w:color w:val="auto"/>
              </w:rPr>
              <w:t>Enterprise Products Operating LLC – 67%</w:t>
            </w:r>
          </w:p>
        </w:tc>
      </w:tr>
      <w:tr>
        <w:trPr>
          <w:trHeight w:val="237"/>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Breviloba, LLC</w:t>
            </w:r>
          </w:p>
        </w:tc>
        <w:tc>
          <w:tcPr>
            <w:tcW w:w="218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85"/>
              </w:rPr>
              <w:t>Texas</w:t>
            </w:r>
          </w:p>
        </w:tc>
        <w:tc>
          <w:tcPr>
            <w:tcW w:w="5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Third Party – 33%</w:t>
            </w:r>
          </w:p>
        </w:tc>
      </w:tr>
      <w:tr>
        <w:trPr>
          <w:trHeight w:val="223"/>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BTA ETG Gathering LLC</w:t>
            </w:r>
          </w:p>
        </w:tc>
        <w:tc>
          <w:tcPr>
            <w:tcW w:w="2180" w:type="dxa"/>
            <w:vAlign w:val="bottom"/>
            <w:tcBorders>
              <w:bottom w:val="single" w:sz="8" w:color="auto"/>
            </w:tcBorders>
            <w:shd w:val="clear" w:color="auto" w:fill="CCEEFF"/>
          </w:tcPr>
          <w:p>
            <w:pPr>
              <w:jc w:val="center"/>
              <w:ind w:left="750"/>
              <w:spacing w:after="0"/>
              <w:rPr>
                <w:sz w:val="20"/>
                <w:szCs w:val="20"/>
                <w:color w:val="auto"/>
              </w:rPr>
            </w:pPr>
            <w:r>
              <w:rPr>
                <w:rFonts w:ascii="Arial" w:cs="Arial" w:eastAsia="Arial" w:hAnsi="Arial"/>
                <w:sz w:val="18"/>
                <w:szCs w:val="18"/>
                <w:color w:val="auto"/>
                <w:w w:val="85"/>
              </w:rPr>
              <w:t>Texas</w:t>
            </w:r>
          </w:p>
        </w:tc>
        <w:tc>
          <w:tcPr>
            <w:tcW w:w="5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BTA Gas Processing LLC</w:t>
            </w:r>
          </w:p>
        </w:tc>
        <w:tc>
          <w:tcPr>
            <w:tcW w:w="218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85"/>
              </w:rPr>
              <w:t>Texas</w:t>
            </w:r>
          </w:p>
        </w:tc>
        <w:tc>
          <w:tcPr>
            <w:tcW w:w="5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Cajun Pipeline Company, LLC</w:t>
            </w:r>
          </w:p>
        </w:tc>
        <w:tc>
          <w:tcPr>
            <w:tcW w:w="2180" w:type="dxa"/>
            <w:vAlign w:val="bottom"/>
            <w:tcBorders>
              <w:bottom w:val="single" w:sz="8" w:color="auto"/>
            </w:tcBorders>
            <w:shd w:val="clear" w:color="auto" w:fill="CCEEFF"/>
          </w:tcPr>
          <w:p>
            <w:pPr>
              <w:jc w:val="center"/>
              <w:ind w:left="750"/>
              <w:spacing w:after="0"/>
              <w:rPr>
                <w:sz w:val="20"/>
                <w:szCs w:val="20"/>
                <w:color w:val="auto"/>
              </w:rPr>
            </w:pPr>
            <w:r>
              <w:rPr>
                <w:rFonts w:ascii="Arial" w:cs="Arial" w:eastAsia="Arial" w:hAnsi="Arial"/>
                <w:sz w:val="18"/>
                <w:szCs w:val="18"/>
                <w:color w:val="auto"/>
                <w:w w:val="85"/>
              </w:rPr>
              <w:t>Texas</w:t>
            </w:r>
          </w:p>
        </w:tc>
        <w:tc>
          <w:tcPr>
            <w:tcW w:w="5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Enterprise Products Operating LLC – 100%</w:t>
            </w:r>
          </w:p>
        </w:tc>
      </w:tr>
      <w:tr>
        <w:trPr>
          <w:trHeight w:val="202"/>
        </w:trPr>
        <w:tc>
          <w:tcPr>
            <w:tcW w:w="40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240" w:type="dxa"/>
            <w:vAlign w:val="bottom"/>
          </w:tcPr>
          <w:p>
            <w:pPr>
              <w:ind w:left="80"/>
              <w:spacing w:after="0" w:line="201" w:lineRule="exact"/>
              <w:rPr>
                <w:sz w:val="20"/>
                <w:szCs w:val="20"/>
                <w:color w:val="auto"/>
              </w:rPr>
            </w:pPr>
            <w:r>
              <w:rPr>
                <w:rFonts w:ascii="Arial" w:cs="Arial" w:eastAsia="Arial" w:hAnsi="Arial"/>
                <w:sz w:val="18"/>
                <w:szCs w:val="18"/>
                <w:color w:val="auto"/>
              </w:rPr>
              <w:t>TXO-Acadian Gas Pipeline, LLC – 50%</w:t>
            </w:r>
          </w:p>
        </w:tc>
      </w:tr>
      <w:tr>
        <w:trPr>
          <w:trHeight w:val="237"/>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Calcasieu Gas Gathering System</w:t>
            </w:r>
          </w:p>
        </w:tc>
        <w:tc>
          <w:tcPr>
            <w:tcW w:w="218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85"/>
              </w:rPr>
              <w:t>Texas</w:t>
            </w:r>
          </w:p>
        </w:tc>
        <w:tc>
          <w:tcPr>
            <w:tcW w:w="5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MCN Acadian Gas Pipeline, LLC – 50%</w:t>
            </w:r>
          </w:p>
        </w:tc>
      </w:tr>
      <w:tr>
        <w:trPr>
          <w:trHeight w:val="223"/>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Canadian Enterprise Gas Products, Ltd.</w:t>
            </w:r>
          </w:p>
        </w:tc>
        <w:tc>
          <w:tcPr>
            <w:tcW w:w="218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89"/>
              </w:rPr>
              <w:t>Alberta, Canada</w:t>
            </w:r>
          </w:p>
        </w:tc>
        <w:tc>
          <w:tcPr>
            <w:tcW w:w="5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Enterprise Products Operating LLC – 100%</w:t>
            </w:r>
          </w:p>
        </w:tc>
      </w:tr>
      <w:tr>
        <w:trPr>
          <w:trHeight w:val="202"/>
        </w:trPr>
        <w:tc>
          <w:tcPr>
            <w:tcW w:w="40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240" w:type="dxa"/>
            <w:vAlign w:val="bottom"/>
          </w:tcPr>
          <w:p>
            <w:pPr>
              <w:ind w:left="80"/>
              <w:spacing w:after="0" w:line="201" w:lineRule="exact"/>
              <w:rPr>
                <w:sz w:val="20"/>
                <w:szCs w:val="20"/>
                <w:color w:val="auto"/>
              </w:rPr>
            </w:pPr>
            <w:r>
              <w:rPr>
                <w:rFonts w:ascii="Arial" w:cs="Arial" w:eastAsia="Arial" w:hAnsi="Arial"/>
                <w:sz w:val="18"/>
                <w:szCs w:val="18"/>
                <w:color w:val="auto"/>
              </w:rPr>
              <w:t>Enterprise TE Products Pipeline Company, LLC – 50%</w:t>
            </w:r>
          </w:p>
        </w:tc>
      </w:tr>
      <w:tr>
        <w:trPr>
          <w:trHeight w:val="237"/>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Centennial Pipeline LLC</w:t>
            </w:r>
          </w:p>
        </w:tc>
        <w:tc>
          <w:tcPr>
            <w:tcW w:w="218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89"/>
              </w:rPr>
              <w:t>Delaware</w:t>
            </w:r>
          </w:p>
        </w:tc>
        <w:tc>
          <w:tcPr>
            <w:tcW w:w="5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Third Party – 50%</w:t>
            </w:r>
          </w:p>
        </w:tc>
      </w:tr>
      <w:tr>
        <w:trPr>
          <w:trHeight w:val="202"/>
        </w:trPr>
        <w:tc>
          <w:tcPr>
            <w:tcW w:w="40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52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Enterprise New Mexico Ventures, LLC – 75%</w:t>
            </w:r>
          </w:p>
        </w:tc>
      </w:tr>
      <w:tr>
        <w:trPr>
          <w:trHeight w:val="237"/>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Chama Gas Services, LLC</w:t>
            </w:r>
          </w:p>
        </w:tc>
        <w:tc>
          <w:tcPr>
            <w:tcW w:w="218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89"/>
              </w:rPr>
              <w:t>Delaware</w:t>
            </w:r>
          </w:p>
        </w:tc>
        <w:tc>
          <w:tcPr>
            <w:tcW w:w="5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Third Party – 25%</w:t>
            </w:r>
          </w:p>
        </w:tc>
      </w:tr>
      <w:tr>
        <w:trPr>
          <w:trHeight w:val="2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Channelview Fleeting Services, L.L.C.</w:t>
            </w:r>
          </w:p>
        </w:tc>
        <w:tc>
          <w:tcPr>
            <w:tcW w:w="218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85"/>
              </w:rPr>
              <w:t>Texas</w:t>
            </w:r>
          </w:p>
        </w:tc>
        <w:tc>
          <w:tcPr>
            <w:tcW w:w="5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Enterprise Marine Services LLC – 100%</w:t>
            </w:r>
          </w:p>
        </w:tc>
      </w:tr>
      <w:tr>
        <w:trPr>
          <w:trHeight w:val="202"/>
        </w:trPr>
        <w:tc>
          <w:tcPr>
            <w:tcW w:w="40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52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Enterprise Midstream Companies LLC – 99.999%</w:t>
            </w:r>
          </w:p>
        </w:tc>
      </w:tr>
      <w:tr>
        <w:trPr>
          <w:trHeight w:val="237"/>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Chaparral Pipeline Company, LLC</w:t>
            </w:r>
          </w:p>
        </w:tc>
        <w:tc>
          <w:tcPr>
            <w:tcW w:w="2180" w:type="dxa"/>
            <w:vAlign w:val="bottom"/>
            <w:tcBorders>
              <w:bottom w:val="single" w:sz="8" w:color="auto"/>
            </w:tcBorders>
            <w:shd w:val="clear" w:color="auto" w:fill="CCEEFF"/>
          </w:tcPr>
          <w:p>
            <w:pPr>
              <w:jc w:val="center"/>
              <w:ind w:left="750"/>
              <w:spacing w:after="0"/>
              <w:rPr>
                <w:sz w:val="20"/>
                <w:szCs w:val="20"/>
                <w:color w:val="auto"/>
              </w:rPr>
            </w:pPr>
            <w:r>
              <w:rPr>
                <w:rFonts w:ascii="Arial" w:cs="Arial" w:eastAsia="Arial" w:hAnsi="Arial"/>
                <w:sz w:val="18"/>
                <w:szCs w:val="18"/>
                <w:color w:val="auto"/>
                <w:w w:val="85"/>
              </w:rPr>
              <w:t>Texas</w:t>
            </w:r>
          </w:p>
        </w:tc>
        <w:tc>
          <w:tcPr>
            <w:tcW w:w="5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Enterprise NGL Pipelines II LLC – 0.001%</w:t>
            </w:r>
          </w:p>
        </w:tc>
      </w:tr>
      <w:tr>
        <w:trPr>
          <w:trHeight w:val="2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Chunchula Pipeline Company, LLC</w:t>
            </w:r>
          </w:p>
        </w:tc>
        <w:tc>
          <w:tcPr>
            <w:tcW w:w="218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85"/>
              </w:rPr>
              <w:t>Texas</w:t>
            </w:r>
          </w:p>
        </w:tc>
        <w:tc>
          <w:tcPr>
            <w:tcW w:w="5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CTCO of Texas, LLC</w:t>
            </w:r>
          </w:p>
        </w:tc>
        <w:tc>
          <w:tcPr>
            <w:tcW w:w="2180" w:type="dxa"/>
            <w:vAlign w:val="bottom"/>
            <w:tcBorders>
              <w:bottom w:val="single" w:sz="8" w:color="auto"/>
            </w:tcBorders>
            <w:shd w:val="clear" w:color="auto" w:fill="CCEEFF"/>
          </w:tcPr>
          <w:p>
            <w:pPr>
              <w:jc w:val="center"/>
              <w:ind w:left="750"/>
              <w:spacing w:after="0"/>
              <w:rPr>
                <w:sz w:val="20"/>
                <w:szCs w:val="20"/>
                <w:color w:val="auto"/>
              </w:rPr>
            </w:pPr>
            <w:r>
              <w:rPr>
                <w:rFonts w:ascii="Arial" w:cs="Arial" w:eastAsia="Arial" w:hAnsi="Arial"/>
                <w:sz w:val="18"/>
                <w:szCs w:val="18"/>
                <w:color w:val="auto"/>
                <w:w w:val="85"/>
              </w:rPr>
              <w:t>Texas</w:t>
            </w:r>
          </w:p>
        </w:tc>
        <w:tc>
          <w:tcPr>
            <w:tcW w:w="5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Enterprise Marine Services LLC – 100%</w:t>
            </w:r>
          </w:p>
        </w:tc>
      </w:tr>
      <w:tr>
        <w:trPr>
          <w:trHeight w:val="2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Cypress Gas Marketing, LLC</w:t>
            </w:r>
          </w:p>
        </w:tc>
        <w:tc>
          <w:tcPr>
            <w:tcW w:w="218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89"/>
              </w:rPr>
              <w:t>Delaware</w:t>
            </w:r>
          </w:p>
        </w:tc>
        <w:tc>
          <w:tcPr>
            <w:tcW w:w="5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Acadian Gas, LLC – 100%</w:t>
            </w:r>
          </w:p>
        </w:tc>
      </w:tr>
      <w:tr>
        <w:trPr>
          <w:trHeight w:val="202"/>
        </w:trPr>
        <w:tc>
          <w:tcPr>
            <w:tcW w:w="40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52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Enterprise Midstream Companies LLC – 99.999%</w:t>
            </w:r>
          </w:p>
        </w:tc>
      </w:tr>
      <w:tr>
        <w:trPr>
          <w:trHeight w:val="237"/>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Dean Pipeline Company, LLC</w:t>
            </w:r>
          </w:p>
        </w:tc>
        <w:tc>
          <w:tcPr>
            <w:tcW w:w="2180" w:type="dxa"/>
            <w:vAlign w:val="bottom"/>
            <w:tcBorders>
              <w:bottom w:val="single" w:sz="8" w:color="auto"/>
            </w:tcBorders>
            <w:shd w:val="clear" w:color="auto" w:fill="CCEEFF"/>
          </w:tcPr>
          <w:p>
            <w:pPr>
              <w:jc w:val="center"/>
              <w:ind w:left="750"/>
              <w:spacing w:after="0"/>
              <w:rPr>
                <w:sz w:val="20"/>
                <w:szCs w:val="20"/>
                <w:color w:val="auto"/>
              </w:rPr>
            </w:pPr>
            <w:r>
              <w:rPr>
                <w:rFonts w:ascii="Arial" w:cs="Arial" w:eastAsia="Arial" w:hAnsi="Arial"/>
                <w:sz w:val="18"/>
                <w:szCs w:val="18"/>
                <w:color w:val="auto"/>
                <w:w w:val="85"/>
              </w:rPr>
              <w:t>Texas</w:t>
            </w:r>
          </w:p>
        </w:tc>
        <w:tc>
          <w:tcPr>
            <w:tcW w:w="5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Enterprise NGL Pipelines II LLC – 0.001%</w:t>
            </w:r>
          </w:p>
        </w:tc>
      </w:tr>
      <w:tr>
        <w:trPr>
          <w:trHeight w:val="2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 Basin Gas Processing LLC</w:t>
            </w:r>
          </w:p>
        </w:tc>
        <w:tc>
          <w:tcPr>
            <w:tcW w:w="218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89"/>
              </w:rPr>
              <w:t>Delaware</w:t>
            </w:r>
          </w:p>
        </w:tc>
        <w:tc>
          <w:tcPr>
            <w:tcW w:w="5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Enterprise GC LLC – 100%</w:t>
            </w:r>
          </w:p>
        </w:tc>
      </w:tr>
      <w:tr>
        <w:trPr>
          <w:trHeight w:val="223"/>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DEP Holdings, LLC</w:t>
            </w:r>
          </w:p>
        </w:tc>
        <w:tc>
          <w:tcPr>
            <w:tcW w:w="218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89"/>
              </w:rPr>
              <w:t>Delaware</w:t>
            </w:r>
          </w:p>
        </w:tc>
        <w:tc>
          <w:tcPr>
            <w:tcW w:w="5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Enterprise GTM Holdings L.P. – 100%</w:t>
            </w:r>
          </w:p>
        </w:tc>
      </w:tr>
      <w:tr>
        <w:trPr>
          <w:trHeight w:val="2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 Offshore Port System, LLC</w:t>
            </w:r>
          </w:p>
        </w:tc>
        <w:tc>
          <w:tcPr>
            <w:tcW w:w="218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85"/>
              </w:rPr>
              <w:t>Texas</w:t>
            </w:r>
          </w:p>
        </w:tc>
        <w:tc>
          <w:tcPr>
            <w:tcW w:w="5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Duncan Energy Partners L.P. – 100%</w:t>
            </w:r>
          </w:p>
        </w:tc>
      </w:tr>
      <w:tr>
        <w:trPr>
          <w:trHeight w:val="223"/>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Dixie Pipeline Company LLC</w:t>
            </w:r>
          </w:p>
        </w:tc>
        <w:tc>
          <w:tcPr>
            <w:tcW w:w="218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89"/>
              </w:rPr>
              <w:t>Delaware</w:t>
            </w:r>
          </w:p>
        </w:tc>
        <w:tc>
          <w:tcPr>
            <w:tcW w:w="5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Enterprise Products Operating LLC – 100%</w:t>
            </w:r>
          </w:p>
        </w:tc>
      </w:tr>
      <w:tr>
        <w:trPr>
          <w:trHeight w:val="183"/>
        </w:trPr>
        <w:tc>
          <w:tcPr>
            <w:tcW w:w="40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524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121" w:right="239" w:bottom="1440" w:gutter="0" w:footer="0" w:header="0"/>
        </w:sectPr>
      </w:pPr>
    </w:p>
    <w:bookmarkStart w:id="248" w:name="page249"/>
    <w:bookmarkEnd w:id="2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2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90"/>
              </w:rPr>
              <w:t>Jurisdiction</w:t>
            </w:r>
          </w:p>
        </w:tc>
        <w:tc>
          <w:tcPr>
            <w:tcW w:w="5280" w:type="dxa"/>
            <w:vAlign w:val="bottom"/>
            <w:tcBorders>
              <w:top w:val="single" w:sz="8" w:color="auto"/>
            </w:tcBorders>
          </w:tcPr>
          <w:p>
            <w:pPr>
              <w:spacing w:after="0"/>
              <w:rPr>
                <w:sz w:val="19"/>
                <w:szCs w:val="19"/>
                <w:color w:val="auto"/>
              </w:rPr>
            </w:pPr>
          </w:p>
        </w:tc>
      </w:tr>
      <w:tr>
        <w:trPr>
          <w:trHeight w:val="241"/>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Subsidiary</w:t>
            </w:r>
          </w:p>
        </w:tc>
        <w:tc>
          <w:tcPr>
            <w:tcW w:w="192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92"/>
              </w:rPr>
              <w:t>of Formation</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Effective Ownership</w:t>
            </w:r>
          </w:p>
        </w:tc>
      </w:tr>
      <w:tr>
        <w:trPr>
          <w:trHeight w:val="202"/>
        </w:trPr>
        <w:tc>
          <w:tcPr>
            <w:tcW w:w="4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Enterprise GTM Holdings L.P. – 99.3%</w:t>
            </w:r>
          </w:p>
        </w:tc>
      </w:tr>
      <w:tr>
        <w:trPr>
          <w:trHeight w:val="237"/>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Duncan Energy Partners L.P.</w:t>
            </w:r>
          </w:p>
        </w:tc>
        <w:tc>
          <w:tcPr>
            <w:tcW w:w="192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DEP Holdings, LLC – 0.700%</w:t>
            </w:r>
          </w:p>
        </w:tc>
      </w:tr>
      <w:tr>
        <w:trPr>
          <w:trHeight w:val="202"/>
        </w:trPr>
        <w:tc>
          <w:tcPr>
            <w:tcW w:w="4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Enterprise Products Operating LLC – 50%</w:t>
            </w:r>
          </w:p>
        </w:tc>
      </w:tr>
      <w:tr>
        <w:trPr>
          <w:trHeight w:val="237"/>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Eagle Ford Pipeline LLC</w:t>
            </w:r>
          </w:p>
        </w:tc>
        <w:tc>
          <w:tcPr>
            <w:tcW w:w="192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Third Party – 50%</w:t>
            </w:r>
          </w:p>
        </w:tc>
      </w:tr>
      <w:tr>
        <w:trPr>
          <w:trHeight w:val="202"/>
        </w:trPr>
        <w:tc>
          <w:tcPr>
            <w:tcW w:w="4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Enterprise Products Operating LLC – 50%</w:t>
            </w:r>
          </w:p>
        </w:tc>
      </w:tr>
      <w:tr>
        <w:trPr>
          <w:trHeight w:val="237"/>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Eagle Ford Terminals Corpus Christi LLC</w:t>
            </w:r>
          </w:p>
        </w:tc>
        <w:tc>
          <w:tcPr>
            <w:tcW w:w="192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Third Party – 50%</w:t>
            </w:r>
          </w:p>
        </w:tc>
      </w:tr>
      <w:tr>
        <w:trPr>
          <w:trHeight w:val="22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EFS Midstream LLC</w:t>
            </w:r>
          </w:p>
        </w:tc>
        <w:tc>
          <w:tcPr>
            <w:tcW w:w="192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Acquisition Holdings LLC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 Terminals Corpus Christi LLC</w:t>
            </w:r>
          </w:p>
        </w:tc>
        <w:tc>
          <w:tcPr>
            <w:tcW w:w="192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Eagle Ford Terminals Corpus Christi LLC – 100%</w:t>
            </w:r>
          </w:p>
        </w:tc>
      </w:tr>
      <w:tr>
        <w:trPr>
          <w:trHeight w:val="22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Electra Shipyard Services LLC</w:t>
            </w:r>
          </w:p>
        </w:tc>
        <w:tc>
          <w:tcPr>
            <w:tcW w:w="192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Marine Services LLC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Energy Ventures, LLC</w:t>
            </w:r>
          </w:p>
        </w:tc>
        <w:tc>
          <w:tcPr>
            <w:tcW w:w="192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3"/>
              </w:rPr>
              <w:t>Colorado</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Crude Oil LLC – 100%</w:t>
            </w:r>
          </w:p>
        </w:tc>
      </w:tr>
      <w:tr>
        <w:trPr>
          <w:trHeight w:val="22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Acquisition Holdings LLC</w:t>
            </w:r>
          </w:p>
        </w:tc>
        <w:tc>
          <w:tcPr>
            <w:tcW w:w="192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Appelt, LLC</w:t>
            </w:r>
          </w:p>
        </w:tc>
        <w:tc>
          <w:tcPr>
            <w:tcW w:w="192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Houston Ship Channel, L.P. – 100%</w:t>
            </w:r>
          </w:p>
        </w:tc>
      </w:tr>
      <w:tr>
        <w:trPr>
          <w:trHeight w:val="22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Arizona Gas, LLC</w:t>
            </w:r>
          </w:p>
        </w:tc>
        <w:tc>
          <w:tcPr>
            <w:tcW w:w="192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Field Services, LLC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Crude GP LLC</w:t>
            </w:r>
          </w:p>
        </w:tc>
        <w:tc>
          <w:tcPr>
            <w:tcW w:w="192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TCTM, L.P. – 100%</w:t>
            </w:r>
          </w:p>
        </w:tc>
      </w:tr>
      <w:tr>
        <w:trPr>
          <w:trHeight w:val="202"/>
        </w:trPr>
        <w:tc>
          <w:tcPr>
            <w:tcW w:w="4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TCTM, L.P. – 99.99%</w:t>
            </w:r>
          </w:p>
        </w:tc>
      </w:tr>
      <w:tr>
        <w:trPr>
          <w:trHeight w:val="237"/>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Crude Oil LLC</w:t>
            </w:r>
          </w:p>
        </w:tc>
        <w:tc>
          <w:tcPr>
            <w:tcW w:w="192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Crude GP LLC – 0.01%</w:t>
            </w:r>
          </w:p>
        </w:tc>
      </w:tr>
      <w:tr>
        <w:trPr>
          <w:trHeight w:val="202"/>
        </w:trPr>
        <w:tc>
          <w:tcPr>
            <w:tcW w:w="4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TCTM, L.P. – 99.99%</w:t>
            </w:r>
          </w:p>
        </w:tc>
      </w:tr>
      <w:tr>
        <w:trPr>
          <w:trHeight w:val="237"/>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Crude Pipeline LLC</w:t>
            </w:r>
          </w:p>
        </w:tc>
        <w:tc>
          <w:tcPr>
            <w:tcW w:w="192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Crude GP LLC – 0.01%</w:t>
            </w:r>
          </w:p>
        </w:tc>
      </w:tr>
      <w:tr>
        <w:trPr>
          <w:trHeight w:val="22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Crude Terminals and Storage LLC</w:t>
            </w:r>
          </w:p>
        </w:tc>
        <w:tc>
          <w:tcPr>
            <w:tcW w:w="192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Crude GP LLC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Custom Marketing LLC</w:t>
            </w:r>
          </w:p>
        </w:tc>
        <w:tc>
          <w:tcPr>
            <w:tcW w:w="192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Crude Oil LLC – 100%</w:t>
            </w:r>
          </w:p>
        </w:tc>
      </w:tr>
      <w:tr>
        <w:trPr>
          <w:trHeight w:val="202"/>
        </w:trPr>
        <w:tc>
          <w:tcPr>
            <w:tcW w:w="4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Enterprise Products Texas Operating LLC – 75%</w:t>
            </w:r>
          </w:p>
        </w:tc>
      </w:tr>
      <w:tr>
        <w:trPr>
          <w:trHeight w:val="237"/>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EF78 LLC</w:t>
            </w:r>
          </w:p>
        </w:tc>
        <w:tc>
          <w:tcPr>
            <w:tcW w:w="192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Third Party – 25%</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Field Services, LLC</w:t>
            </w:r>
          </w:p>
        </w:tc>
        <w:tc>
          <w:tcPr>
            <w:tcW w:w="192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GTM Holdings L.P. – 100%</w:t>
            </w:r>
          </w:p>
        </w:tc>
      </w:tr>
      <w:tr>
        <w:trPr>
          <w:trHeight w:val="22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Field Services (Offshore) LLC</w:t>
            </w:r>
          </w:p>
        </w:tc>
        <w:tc>
          <w:tcPr>
            <w:tcW w:w="192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GTM Holdings L.P.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Fractionation, LLC</w:t>
            </w:r>
          </w:p>
        </w:tc>
        <w:tc>
          <w:tcPr>
            <w:tcW w:w="192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Gas Liquids LLC</w:t>
            </w:r>
          </w:p>
        </w:tc>
        <w:tc>
          <w:tcPr>
            <w:tcW w:w="192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Gas Processing, LLC</w:t>
            </w:r>
          </w:p>
        </w:tc>
        <w:tc>
          <w:tcPr>
            <w:tcW w:w="192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Gathering II LLC</w:t>
            </w:r>
          </w:p>
        </w:tc>
        <w:tc>
          <w:tcPr>
            <w:tcW w:w="192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Gathering LLC</w:t>
            </w:r>
          </w:p>
        </w:tc>
        <w:tc>
          <w:tcPr>
            <w:tcW w:w="192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GC LLC</w:t>
            </w:r>
          </w:p>
        </w:tc>
        <w:tc>
          <w:tcPr>
            <w:tcW w:w="192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Duncan Energy Partners L.P.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GP LLC</w:t>
            </w:r>
          </w:p>
        </w:tc>
        <w:tc>
          <w:tcPr>
            <w:tcW w:w="192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TE Partners L.P. – 100%</w:t>
            </w:r>
          </w:p>
        </w:tc>
      </w:tr>
      <w:tr>
        <w:trPr>
          <w:trHeight w:val="22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GTM Hattiesburg Storage, LLC</w:t>
            </w:r>
          </w:p>
        </w:tc>
        <w:tc>
          <w:tcPr>
            <w:tcW w:w="192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GTM Holdings L.P. – 100%</w:t>
            </w:r>
          </w:p>
        </w:tc>
      </w:tr>
      <w:tr>
        <w:trPr>
          <w:trHeight w:val="202"/>
        </w:trPr>
        <w:tc>
          <w:tcPr>
            <w:tcW w:w="4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Enterprise Products Operating LLC – 99%</w:t>
            </w:r>
          </w:p>
        </w:tc>
      </w:tr>
      <w:tr>
        <w:trPr>
          <w:trHeight w:val="237"/>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GTM Holdings L.P.</w:t>
            </w:r>
          </w:p>
        </w:tc>
        <w:tc>
          <w:tcPr>
            <w:tcW w:w="192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GTMGP, LLC – 1%</w:t>
            </w:r>
          </w:p>
        </w:tc>
      </w:tr>
      <w:tr>
        <w:trPr>
          <w:trHeight w:val="22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GTMGP, LLC</w:t>
            </w:r>
          </w:p>
        </w:tc>
        <w:tc>
          <w:tcPr>
            <w:tcW w:w="192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Houston Ship Channel GP, LLC</w:t>
            </w:r>
          </w:p>
        </w:tc>
        <w:tc>
          <w:tcPr>
            <w:tcW w:w="192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Terminaling Services, L.P. – 100%</w:t>
            </w:r>
          </w:p>
        </w:tc>
      </w:tr>
      <w:tr>
        <w:trPr>
          <w:trHeight w:val="202"/>
        </w:trPr>
        <w:tc>
          <w:tcPr>
            <w:tcW w:w="4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Enterprise Terminaling Services, L.P. – 99%</w:t>
            </w:r>
          </w:p>
        </w:tc>
      </w:tr>
      <w:tr>
        <w:trPr>
          <w:trHeight w:val="237"/>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Houston Ship Channel, L.P.</w:t>
            </w:r>
          </w:p>
        </w:tc>
        <w:tc>
          <w:tcPr>
            <w:tcW w:w="192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Houston Ship Channel GP, LLC – 1%</w:t>
            </w:r>
          </w:p>
        </w:tc>
      </w:tr>
      <w:tr>
        <w:trPr>
          <w:trHeight w:val="202"/>
        </w:trPr>
        <w:tc>
          <w:tcPr>
            <w:tcW w:w="4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Enterprise Products Texas Operating LLC – 99%</w:t>
            </w:r>
          </w:p>
        </w:tc>
      </w:tr>
      <w:tr>
        <w:trPr>
          <w:trHeight w:val="237"/>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Hydrocarbons L.P.</w:t>
            </w:r>
          </w:p>
        </w:tc>
        <w:tc>
          <w:tcPr>
            <w:tcW w:w="192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Products Operating LLC – 1%</w:t>
            </w:r>
          </w:p>
        </w:tc>
      </w:tr>
      <w:tr>
        <w:trPr>
          <w:trHeight w:val="22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Interstate Crude LLC</w:t>
            </w:r>
          </w:p>
        </w:tc>
        <w:tc>
          <w:tcPr>
            <w:tcW w:w="192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Crude GP LLC – 100%</w:t>
            </w:r>
          </w:p>
        </w:tc>
      </w:tr>
      <w:tr>
        <w:trPr>
          <w:trHeight w:val="223"/>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Intrastate LLC</w:t>
            </w:r>
          </w:p>
        </w:tc>
        <w:tc>
          <w:tcPr>
            <w:tcW w:w="192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Duncan Energy Partners L.P. – 100%</w:t>
            </w:r>
          </w:p>
        </w:tc>
      </w:tr>
      <w:tr>
        <w:trPr>
          <w:trHeight w:val="223"/>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Jonah Gas Gathering Company LLC</w:t>
            </w:r>
          </w:p>
        </w:tc>
        <w:tc>
          <w:tcPr>
            <w:tcW w:w="192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183"/>
        </w:trPr>
        <w:tc>
          <w:tcPr>
            <w:tcW w:w="42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528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363" w:right="239" w:bottom="1440" w:gutter="0" w:footer="0" w:header="0"/>
        </w:sectPr>
      </w:pPr>
    </w:p>
    <w:bookmarkStart w:id="249" w:name="page250"/>
    <w:bookmarkEnd w:id="2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4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90"/>
              </w:rPr>
              <w:t>Jurisdiction</w:t>
            </w:r>
          </w:p>
        </w:tc>
        <w:tc>
          <w:tcPr>
            <w:tcW w:w="5280" w:type="dxa"/>
            <w:vAlign w:val="bottom"/>
            <w:tcBorders>
              <w:top w:val="single" w:sz="8" w:color="auto"/>
            </w:tcBorders>
          </w:tcPr>
          <w:p>
            <w:pPr>
              <w:spacing w:after="0"/>
              <w:rPr>
                <w:sz w:val="19"/>
                <w:szCs w:val="19"/>
                <w:color w:val="auto"/>
              </w:rPr>
            </w:pPr>
          </w:p>
        </w:tc>
      </w:tr>
      <w:tr>
        <w:trPr>
          <w:trHeight w:val="241"/>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Subsidiary</w:t>
            </w:r>
          </w:p>
        </w:tc>
        <w:tc>
          <w:tcPr>
            <w:tcW w:w="19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92"/>
              </w:rPr>
              <w:t>of Formation</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Effective Ownership</w:t>
            </w:r>
          </w:p>
        </w:tc>
      </w:tr>
      <w:tr>
        <w:trPr>
          <w:trHeight w:val="202"/>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Enterprise Logistic Services LLC</w:t>
            </w:r>
          </w:p>
        </w:tc>
        <w:tc>
          <w:tcPr>
            <w:tcW w:w="1900" w:type="dxa"/>
            <w:vAlign w:val="bottom"/>
            <w:shd w:val="clear" w:color="auto" w:fill="CCEEFF"/>
          </w:tcPr>
          <w:p>
            <w:pPr>
              <w:spacing w:after="0"/>
              <w:rPr>
                <w:sz w:val="17"/>
                <w:szCs w:val="17"/>
                <w:color w:val="auto"/>
              </w:rPr>
            </w:pPr>
          </w:p>
        </w:tc>
        <w:tc>
          <w:tcPr>
            <w:tcW w:w="5280" w:type="dxa"/>
            <w:vAlign w:val="bottom"/>
            <w:shd w:val="clear" w:color="auto" w:fill="CCEEFF"/>
          </w:tcPr>
          <w:p>
            <w:pPr>
              <w:spacing w:after="0"/>
              <w:rPr>
                <w:sz w:val="17"/>
                <w:szCs w:val="17"/>
                <w:color w:val="auto"/>
              </w:rPr>
            </w:pPr>
          </w:p>
        </w:tc>
      </w:tr>
      <w:tr>
        <w:trPr>
          <w:trHeight w:val="237"/>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(DBA Enterprise Transportation Company)</w:t>
            </w:r>
          </w:p>
        </w:tc>
        <w:tc>
          <w:tcPr>
            <w:tcW w:w="190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02"/>
        </w:trPr>
        <w:tc>
          <w:tcPr>
            <w:tcW w:w="4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Enterprise Products Operating LLC – 99%</w:t>
            </w:r>
          </w:p>
        </w:tc>
      </w:tr>
      <w:tr>
        <w:trPr>
          <w:trHeight w:val="23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Lou-Tex NGL Pipeline L.P.</w:t>
            </w:r>
          </w:p>
        </w:tc>
        <w:tc>
          <w:tcPr>
            <w:tcW w:w="19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HSC Pipeline Partnership, LLC – 1%</w:t>
            </w:r>
          </w:p>
        </w:tc>
      </w:tr>
      <w:tr>
        <w:trPr>
          <w:trHeight w:val="223"/>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Lou-Tex Propylene Pipeline LLC</w:t>
            </w:r>
          </w:p>
        </w:tc>
        <w:tc>
          <w:tcPr>
            <w:tcW w:w="190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Duncan Energy Partners L.P. – 100%</w:t>
            </w:r>
          </w:p>
        </w:tc>
      </w:tr>
      <w:tr>
        <w:trPr>
          <w:trHeight w:val="22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Louisiana Pipeline LLC</w:t>
            </w:r>
          </w:p>
        </w:tc>
        <w:tc>
          <w:tcPr>
            <w:tcW w:w="19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Marine Services LLC</w:t>
            </w:r>
          </w:p>
        </w:tc>
        <w:tc>
          <w:tcPr>
            <w:tcW w:w="190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TE Partners L.P. – 100%</w:t>
            </w:r>
          </w:p>
        </w:tc>
      </w:tr>
      <w:tr>
        <w:trPr>
          <w:trHeight w:val="202"/>
        </w:trPr>
        <w:tc>
          <w:tcPr>
            <w:tcW w:w="4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Enterprise TE Partners L.P. – 99.999%</w:t>
            </w:r>
          </w:p>
        </w:tc>
      </w:tr>
      <w:tr>
        <w:trPr>
          <w:trHeight w:val="23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Midstream Companies LLC</w:t>
            </w:r>
          </w:p>
        </w:tc>
        <w:tc>
          <w:tcPr>
            <w:tcW w:w="19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GP LLC – 0.001%</w:t>
            </w:r>
          </w:p>
        </w:tc>
      </w:tr>
      <w:tr>
        <w:trPr>
          <w:trHeight w:val="223"/>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Mont Belvieu Program Company</w:t>
            </w:r>
          </w:p>
        </w:tc>
        <w:tc>
          <w:tcPr>
            <w:tcW w:w="190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Natural Gas Pipeline LLC</w:t>
            </w:r>
          </w:p>
        </w:tc>
        <w:tc>
          <w:tcPr>
            <w:tcW w:w="19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GTM Holdings L.P. – 100%</w:t>
            </w:r>
          </w:p>
        </w:tc>
      </w:tr>
      <w:tr>
        <w:trPr>
          <w:trHeight w:val="202"/>
        </w:trPr>
        <w:tc>
          <w:tcPr>
            <w:tcW w:w="42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Enterprise Products Operating LLC – 50%</w:t>
            </w:r>
          </w:p>
        </w:tc>
      </w:tr>
      <w:tr>
        <w:trPr>
          <w:trHeight w:val="237"/>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Navigator Ethylene Terminal LLC</w:t>
            </w:r>
          </w:p>
        </w:tc>
        <w:tc>
          <w:tcPr>
            <w:tcW w:w="190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Third Party – 50%</w:t>
            </w:r>
          </w:p>
        </w:tc>
      </w:tr>
      <w:tr>
        <w:trPr>
          <w:trHeight w:val="22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New Mexico Ventures, LLC</w:t>
            </w:r>
          </w:p>
        </w:tc>
        <w:tc>
          <w:tcPr>
            <w:tcW w:w="19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Field Services, LLC – 100%</w:t>
            </w:r>
          </w:p>
        </w:tc>
      </w:tr>
      <w:tr>
        <w:trPr>
          <w:trHeight w:val="223"/>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NGL Pipelines II LLC</w:t>
            </w:r>
          </w:p>
        </w:tc>
        <w:tc>
          <w:tcPr>
            <w:tcW w:w="190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Midstream Companies LLC – 100%</w:t>
            </w:r>
          </w:p>
        </w:tc>
      </w:tr>
      <w:tr>
        <w:trPr>
          <w:trHeight w:val="22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NGL Pipelines, LLC</w:t>
            </w:r>
          </w:p>
        </w:tc>
        <w:tc>
          <w:tcPr>
            <w:tcW w:w="19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NGL Private Lines &amp; Storage, LLC</w:t>
            </w:r>
          </w:p>
        </w:tc>
        <w:tc>
          <w:tcPr>
            <w:tcW w:w="190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Offshore Port System, LLC</w:t>
            </w:r>
          </w:p>
        </w:tc>
        <w:tc>
          <w:tcPr>
            <w:tcW w:w="19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Pathfinder, LLC</w:t>
            </w:r>
          </w:p>
        </w:tc>
        <w:tc>
          <w:tcPr>
            <w:tcW w:w="190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GTM Holdings L.P. – 100%</w:t>
            </w:r>
          </w:p>
        </w:tc>
      </w:tr>
      <w:tr>
        <w:trPr>
          <w:trHeight w:val="202"/>
        </w:trPr>
        <w:tc>
          <w:tcPr>
            <w:tcW w:w="4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Evangeline Gulf Coast Gas, LLC – 90%</w:t>
            </w:r>
          </w:p>
        </w:tc>
      </w:tr>
      <w:tr>
        <w:trPr>
          <w:trHeight w:val="23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Pelican Pipeline L.P.</w:t>
            </w:r>
          </w:p>
        </w:tc>
        <w:tc>
          <w:tcPr>
            <w:tcW w:w="19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Evangeline Gas Corp. – 10%</w:t>
            </w:r>
          </w:p>
        </w:tc>
      </w:tr>
      <w:tr>
        <w:trPr>
          <w:trHeight w:val="223"/>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Plevna Marketing LLC</w:t>
            </w:r>
          </w:p>
        </w:tc>
        <w:tc>
          <w:tcPr>
            <w:tcW w:w="190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Crude Oil LLC – 100%</w:t>
            </w:r>
          </w:p>
        </w:tc>
      </w:tr>
      <w:tr>
        <w:trPr>
          <w:trHeight w:val="202"/>
        </w:trPr>
        <w:tc>
          <w:tcPr>
            <w:tcW w:w="4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Enterprise Crude Oil LLC – 99.99%</w:t>
            </w:r>
          </w:p>
        </w:tc>
      </w:tr>
      <w:tr>
        <w:trPr>
          <w:trHeight w:val="23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Products BBCT LLC</w:t>
            </w:r>
          </w:p>
        </w:tc>
        <w:tc>
          <w:tcPr>
            <w:tcW w:w="19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Crude GP LLC – 0.01%</w:t>
            </w:r>
          </w:p>
        </w:tc>
      </w:tr>
      <w:tr>
        <w:trPr>
          <w:trHeight w:val="223"/>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Products Marketing Company LLC</w:t>
            </w:r>
          </w:p>
        </w:tc>
        <w:tc>
          <w:tcPr>
            <w:tcW w:w="190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Products OLPGP, Inc.</w:t>
            </w:r>
          </w:p>
        </w:tc>
        <w:tc>
          <w:tcPr>
            <w:tcW w:w="19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Products Partners L.P. – 100%</w:t>
            </w:r>
          </w:p>
        </w:tc>
      </w:tr>
      <w:tr>
        <w:trPr>
          <w:trHeight w:val="202"/>
        </w:trPr>
        <w:tc>
          <w:tcPr>
            <w:tcW w:w="42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Enterprise Products Partners L.P. – 99.999%</w:t>
            </w:r>
          </w:p>
        </w:tc>
      </w:tr>
      <w:tr>
        <w:trPr>
          <w:trHeight w:val="237"/>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Products Operating LLC</w:t>
            </w:r>
          </w:p>
        </w:tc>
        <w:tc>
          <w:tcPr>
            <w:tcW w:w="190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Products OLPGP, Inc. – 0.001%</w:t>
            </w:r>
          </w:p>
        </w:tc>
      </w:tr>
      <w:tr>
        <w:trPr>
          <w:trHeight w:val="22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Products Pipeline Company LLC</w:t>
            </w:r>
          </w:p>
        </w:tc>
        <w:tc>
          <w:tcPr>
            <w:tcW w:w="19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02"/>
        </w:trPr>
        <w:tc>
          <w:tcPr>
            <w:tcW w:w="42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Enterprise Products Operating LLC – 99%</w:t>
            </w:r>
          </w:p>
        </w:tc>
      </w:tr>
      <w:tr>
        <w:trPr>
          <w:trHeight w:val="237"/>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Products Texas Operating LLC</w:t>
            </w:r>
          </w:p>
        </w:tc>
        <w:tc>
          <w:tcPr>
            <w:tcW w:w="190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Products OLPGP, Inc. – 1%</w:t>
            </w:r>
          </w:p>
        </w:tc>
      </w:tr>
      <w:tr>
        <w:trPr>
          <w:trHeight w:val="22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Propane Terminals and Storage, LLC</w:t>
            </w:r>
          </w:p>
        </w:tc>
        <w:tc>
          <w:tcPr>
            <w:tcW w:w="19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Terminals &amp; Storage, LLC – 100%</w:t>
            </w:r>
          </w:p>
        </w:tc>
      </w:tr>
      <w:tr>
        <w:trPr>
          <w:trHeight w:val="223"/>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Refined Products Company LLC</w:t>
            </w:r>
          </w:p>
        </w:tc>
        <w:tc>
          <w:tcPr>
            <w:tcW w:w="190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Products Operating LLC –100%</w:t>
            </w: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rPr>
              <w:t>Enterprise Refined Products Marketing</w:t>
            </w:r>
          </w:p>
        </w:tc>
        <w:tc>
          <w:tcPr>
            <w:tcW w:w="190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37"/>
        </w:trPr>
        <w:tc>
          <w:tcPr>
            <w:tcW w:w="4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Company LLC</w:t>
            </w:r>
          </w:p>
        </w:tc>
        <w:tc>
          <w:tcPr>
            <w:tcW w:w="19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Refined Products Company LLC – 100%</w:t>
            </w:r>
          </w:p>
        </w:tc>
      </w:tr>
      <w:tr>
        <w:trPr>
          <w:trHeight w:val="223"/>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Sage Marketing LLC</w:t>
            </w:r>
          </w:p>
        </w:tc>
        <w:tc>
          <w:tcPr>
            <w:tcW w:w="190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Crude Oil LLC – 100%</w:t>
            </w:r>
          </w:p>
        </w:tc>
      </w:tr>
      <w:tr>
        <w:trPr>
          <w:trHeight w:val="202"/>
        </w:trPr>
        <w:tc>
          <w:tcPr>
            <w:tcW w:w="4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Enterprise Products Operating LLC – 99.99%</w:t>
            </w:r>
          </w:p>
        </w:tc>
      </w:tr>
      <w:tr>
        <w:trPr>
          <w:trHeight w:val="23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Seaway L.P.</w:t>
            </w:r>
          </w:p>
        </w:tc>
        <w:tc>
          <w:tcPr>
            <w:tcW w:w="19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Crude GP LLC – 0.01%</w:t>
            </w:r>
          </w:p>
        </w:tc>
      </w:tr>
      <w:tr>
        <w:trPr>
          <w:trHeight w:val="223"/>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TE Investments LLC</w:t>
            </w:r>
          </w:p>
        </w:tc>
        <w:tc>
          <w:tcPr>
            <w:tcW w:w="190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Products Pipeline Company LLC – 100%</w:t>
            </w:r>
          </w:p>
        </w:tc>
      </w:tr>
      <w:tr>
        <w:trPr>
          <w:trHeight w:val="202"/>
        </w:trPr>
        <w:tc>
          <w:tcPr>
            <w:tcW w:w="4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Enterprise Products Pipeline Company LLC – 2%</w:t>
            </w:r>
          </w:p>
        </w:tc>
      </w:tr>
      <w:tr>
        <w:trPr>
          <w:trHeight w:val="23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TE Partners L.P.</w:t>
            </w:r>
          </w:p>
        </w:tc>
        <w:tc>
          <w:tcPr>
            <w:tcW w:w="19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Products Operating LLC – 98%</w:t>
            </w:r>
          </w:p>
        </w:tc>
      </w:tr>
      <w:tr>
        <w:trPr>
          <w:trHeight w:val="202"/>
        </w:trPr>
        <w:tc>
          <w:tcPr>
            <w:tcW w:w="42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Enterprise TE Partners L.P. – 99.999%</w:t>
            </w:r>
          </w:p>
        </w:tc>
      </w:tr>
      <w:tr>
        <w:trPr>
          <w:trHeight w:val="237"/>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TE Products Pipeline Company LLC</w:t>
            </w:r>
          </w:p>
        </w:tc>
        <w:tc>
          <w:tcPr>
            <w:tcW w:w="190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GP LLC – 0.001%</w:t>
            </w:r>
          </w:p>
        </w:tc>
      </w:tr>
      <w:tr>
        <w:trPr>
          <w:trHeight w:val="22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Terminaling Services GP, LLC</w:t>
            </w:r>
          </w:p>
        </w:tc>
        <w:tc>
          <w:tcPr>
            <w:tcW w:w="19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02"/>
        </w:trPr>
        <w:tc>
          <w:tcPr>
            <w:tcW w:w="42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Enterprise Products Operating LLC – 98%</w:t>
            </w:r>
          </w:p>
        </w:tc>
      </w:tr>
      <w:tr>
        <w:trPr>
          <w:trHeight w:val="237"/>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Terminaling Services, L.P.</w:t>
            </w:r>
          </w:p>
        </w:tc>
        <w:tc>
          <w:tcPr>
            <w:tcW w:w="190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Terminaling Services GP, LLC – 2%</w:t>
            </w:r>
          </w:p>
        </w:tc>
      </w:tr>
      <w:tr>
        <w:trPr>
          <w:trHeight w:val="202"/>
        </w:trPr>
        <w:tc>
          <w:tcPr>
            <w:tcW w:w="4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Enterprise Products Operating LLC – 99%</w:t>
            </w:r>
          </w:p>
        </w:tc>
      </w:tr>
      <w:tr>
        <w:trPr>
          <w:trHeight w:val="23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Terminalling LLC</w:t>
            </w:r>
          </w:p>
        </w:tc>
        <w:tc>
          <w:tcPr>
            <w:tcW w:w="19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Gas Liquids LLC – 1%</w:t>
            </w:r>
          </w:p>
        </w:tc>
      </w:tr>
      <w:tr>
        <w:trPr>
          <w:trHeight w:val="223"/>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Terminals &amp; Storage, LLC</w:t>
            </w:r>
          </w:p>
        </w:tc>
        <w:tc>
          <w:tcPr>
            <w:tcW w:w="190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Mapletree, LLC – 100%</w:t>
            </w:r>
          </w:p>
        </w:tc>
      </w:tr>
      <w:tr>
        <w:trPr>
          <w:trHeight w:val="22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Enterprise Texas Pipeline LLC</w:t>
            </w:r>
          </w:p>
        </w:tc>
        <w:tc>
          <w:tcPr>
            <w:tcW w:w="19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Duncan Energy Partners L.P. – 100%</w:t>
            </w:r>
          </w:p>
        </w:tc>
      </w:tr>
      <w:tr>
        <w:trPr>
          <w:trHeight w:val="183"/>
        </w:trPr>
        <w:tc>
          <w:tcPr>
            <w:tcW w:w="42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528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363" w:right="239" w:bottom="1440" w:gutter="0" w:footer="0" w:header="0"/>
        </w:sectPr>
      </w:pPr>
    </w:p>
    <w:bookmarkStart w:id="250" w:name="page251"/>
    <w:bookmarkEnd w:id="2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00" w:type="dxa"/>
            <w:vAlign w:val="bottom"/>
            <w:tcBorders>
              <w:top w:val="single" w:sz="8" w:color="auto"/>
            </w:tcBorders>
          </w:tcPr>
          <w:p>
            <w:pPr>
              <w:spacing w:after="0"/>
              <w:rPr>
                <w:sz w:val="19"/>
                <w:szCs w:val="19"/>
                <w:color w:val="auto"/>
              </w:rPr>
            </w:pPr>
          </w:p>
        </w:tc>
        <w:tc>
          <w:tcPr>
            <w:tcW w:w="2240" w:type="dxa"/>
            <w:vAlign w:val="bottom"/>
            <w:tcBorders>
              <w:top w:val="single" w:sz="8" w:color="auto"/>
            </w:tcBorders>
          </w:tcPr>
          <w:p>
            <w:pPr>
              <w:jc w:val="center"/>
              <w:ind w:left="870"/>
              <w:spacing w:after="0"/>
              <w:rPr>
                <w:sz w:val="20"/>
                <w:szCs w:val="20"/>
                <w:color w:val="auto"/>
              </w:rPr>
            </w:pPr>
            <w:r>
              <w:rPr>
                <w:rFonts w:ascii="Arial" w:cs="Arial" w:eastAsia="Arial" w:hAnsi="Arial"/>
                <w:sz w:val="18"/>
                <w:szCs w:val="18"/>
                <w:b w:val="1"/>
                <w:bCs w:val="1"/>
                <w:color w:val="auto"/>
                <w:w w:val="90"/>
              </w:rPr>
              <w:t>Jurisdiction</w:t>
            </w:r>
          </w:p>
        </w:tc>
        <w:tc>
          <w:tcPr>
            <w:tcW w:w="5280" w:type="dxa"/>
            <w:vAlign w:val="bottom"/>
            <w:tcBorders>
              <w:top w:val="single" w:sz="8" w:color="auto"/>
            </w:tcBorders>
          </w:tcPr>
          <w:p>
            <w:pPr>
              <w:spacing w:after="0"/>
              <w:rPr>
                <w:sz w:val="19"/>
                <w:szCs w:val="19"/>
                <w:color w:val="auto"/>
              </w:rPr>
            </w:pPr>
          </w:p>
        </w:tc>
      </w:tr>
      <w:tr>
        <w:trPr>
          <w:trHeight w:val="241"/>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Subsidiary</w:t>
            </w:r>
          </w:p>
        </w:tc>
        <w:tc>
          <w:tcPr>
            <w:tcW w:w="224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b w:val="1"/>
                <w:bCs w:val="1"/>
                <w:color w:val="auto"/>
                <w:w w:val="92"/>
              </w:rPr>
              <w:t>of Formation</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Effective Ownership</w:t>
            </w:r>
          </w:p>
        </w:tc>
      </w:tr>
      <w:tr>
        <w:trPr>
          <w:trHeight w:val="223"/>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Enterprise White River Hub, LLC</w:t>
            </w:r>
          </w:p>
        </w:tc>
        <w:tc>
          <w:tcPr>
            <w:tcW w:w="2240" w:type="dxa"/>
            <w:vAlign w:val="bottom"/>
            <w:tcBorders>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Evangeline Gas Corp.</w:t>
            </w:r>
          </w:p>
        </w:tc>
        <w:tc>
          <w:tcPr>
            <w:tcW w:w="224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Evangeline Gulf Coast Gas, LLC – 100%</w:t>
            </w:r>
          </w:p>
        </w:tc>
      </w:tr>
      <w:tr>
        <w:trPr>
          <w:trHeight w:val="223"/>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Evangeline Gulf Coast Gas, LLC</w:t>
            </w:r>
          </w:p>
        </w:tc>
        <w:tc>
          <w:tcPr>
            <w:tcW w:w="2240" w:type="dxa"/>
            <w:vAlign w:val="bottom"/>
            <w:tcBorders>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Acadian Gas, LLC – 100%</w:t>
            </w:r>
          </w:p>
        </w:tc>
      </w:tr>
      <w:tr>
        <w:trPr>
          <w:trHeight w:val="202"/>
        </w:trPr>
        <w:tc>
          <w:tcPr>
            <w:tcW w:w="39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Enterprise Products Operating LLC – 33.33%</w:t>
            </w:r>
          </w:p>
        </w:tc>
      </w:tr>
      <w:tr>
        <w:trPr>
          <w:trHeight w:val="237"/>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Front Range Pipeline LLC</w:t>
            </w:r>
          </w:p>
        </w:tc>
        <w:tc>
          <w:tcPr>
            <w:tcW w:w="224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Third Parties – 66.67%</w:t>
            </w:r>
          </w:p>
        </w:tc>
      </w:tr>
      <w:tr>
        <w:trPr>
          <w:trHeight w:val="202"/>
        </w:trPr>
        <w:tc>
          <w:tcPr>
            <w:tcW w:w="39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Enterprise Products Operating LLC – 99%</w:t>
            </w:r>
          </w:p>
        </w:tc>
      </w:tr>
      <w:tr>
        <w:trPr>
          <w:trHeight w:val="237"/>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Groves RGP Pipeline LLC</w:t>
            </w:r>
          </w:p>
        </w:tc>
        <w:tc>
          <w:tcPr>
            <w:tcW w:w="2240" w:type="dxa"/>
            <w:vAlign w:val="bottom"/>
            <w:tcBorders>
              <w:bottom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Products Texas Operating LLC – 1%</w:t>
            </w:r>
          </w:p>
        </w:tc>
      </w:tr>
      <w:tr>
        <w:trPr>
          <w:trHeight w:val="202"/>
        </w:trPr>
        <w:tc>
          <w:tcPr>
            <w:tcW w:w="39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Enterprise Products Operating LLC – 99%</w:t>
            </w:r>
          </w:p>
        </w:tc>
      </w:tr>
      <w:tr>
        <w:trPr>
          <w:trHeight w:val="237"/>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HSC Pipeline Partnership, LLC</w:t>
            </w:r>
          </w:p>
        </w:tc>
        <w:tc>
          <w:tcPr>
            <w:tcW w:w="224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Products OLPGP, Inc. – 1%</w:t>
            </w:r>
          </w:p>
        </w:tc>
      </w:tr>
      <w:tr>
        <w:trPr>
          <w:trHeight w:val="223"/>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JMRS Transport Services, Inc.</w:t>
            </w:r>
          </w:p>
        </w:tc>
        <w:tc>
          <w:tcPr>
            <w:tcW w:w="2240" w:type="dxa"/>
            <w:vAlign w:val="bottom"/>
            <w:tcBorders>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Logistic Services LLC – 100%</w:t>
            </w:r>
          </w:p>
        </w:tc>
      </w:tr>
      <w:tr>
        <w:trPr>
          <w:trHeight w:val="202"/>
        </w:trPr>
        <w:tc>
          <w:tcPr>
            <w:tcW w:w="39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Enterprise Fractionation, LLC – 50%</w:t>
            </w:r>
          </w:p>
        </w:tc>
      </w:tr>
      <w:tr>
        <w:trPr>
          <w:trHeight w:val="237"/>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K/D/S Promix, L.L.C.</w:t>
            </w:r>
          </w:p>
        </w:tc>
        <w:tc>
          <w:tcPr>
            <w:tcW w:w="224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Third Parties – 50%</w:t>
            </w:r>
          </w:p>
        </w:tc>
      </w:tr>
      <w:tr>
        <w:trPr>
          <w:trHeight w:val="202"/>
        </w:trPr>
        <w:tc>
          <w:tcPr>
            <w:tcW w:w="39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Enterprise Products Operating LLC – 79.24%</w:t>
            </w:r>
          </w:p>
        </w:tc>
      </w:tr>
      <w:tr>
        <w:trPr>
          <w:trHeight w:val="216"/>
        </w:trPr>
        <w:tc>
          <w:tcPr>
            <w:tcW w:w="39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 Porte Pipeline GP, LLC – 1.0%</w:t>
            </w:r>
          </w:p>
        </w:tc>
      </w:tr>
      <w:tr>
        <w:trPr>
          <w:trHeight w:val="237"/>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La Porte Pipeline Company, L.P.</w:t>
            </w:r>
          </w:p>
        </w:tc>
        <w:tc>
          <w:tcPr>
            <w:tcW w:w="2240" w:type="dxa"/>
            <w:vAlign w:val="bottom"/>
            <w:tcBorders>
              <w:bottom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Third Party – 19.76%</w:t>
            </w:r>
          </w:p>
        </w:tc>
      </w:tr>
      <w:tr>
        <w:trPr>
          <w:trHeight w:val="202"/>
        </w:trPr>
        <w:tc>
          <w:tcPr>
            <w:tcW w:w="39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Enterprise Products Operating LLC – 80.04%</w:t>
            </w:r>
          </w:p>
        </w:tc>
      </w:tr>
      <w:tr>
        <w:trPr>
          <w:trHeight w:val="237"/>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 Porte Pipeline GP, L.L.C.</w:t>
            </w:r>
          </w:p>
        </w:tc>
        <w:tc>
          <w:tcPr>
            <w:tcW w:w="224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Third Party – 19.96%</w:t>
            </w:r>
          </w:p>
        </w:tc>
      </w:tr>
      <w:tr>
        <w:trPr>
          <w:trHeight w:val="223"/>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Leveret Pipeline Company LLC</w:t>
            </w:r>
          </w:p>
        </w:tc>
        <w:tc>
          <w:tcPr>
            <w:tcW w:w="2240" w:type="dxa"/>
            <w:vAlign w:val="bottom"/>
            <w:tcBorders>
              <w:bottom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Field Services, LLC – 100%</w:t>
            </w:r>
          </w:p>
        </w:tc>
      </w:tr>
      <w:tr>
        <w:trPr>
          <w:trHeight w:val="22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M2E3 LLC</w:t>
            </w:r>
          </w:p>
        </w:tc>
        <w:tc>
          <w:tcPr>
            <w:tcW w:w="224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M2E4 LLC</w:t>
            </w:r>
          </w:p>
        </w:tc>
        <w:tc>
          <w:tcPr>
            <w:tcW w:w="2240" w:type="dxa"/>
            <w:vAlign w:val="bottom"/>
            <w:tcBorders>
              <w:bottom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Mapletree, LLC</w:t>
            </w:r>
          </w:p>
        </w:tc>
        <w:tc>
          <w:tcPr>
            <w:tcW w:w="224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MCN Acadian Gas Pipeline, LLC</w:t>
            </w:r>
          </w:p>
        </w:tc>
        <w:tc>
          <w:tcPr>
            <w:tcW w:w="2240" w:type="dxa"/>
            <w:vAlign w:val="bottom"/>
            <w:tcBorders>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Acadian Gas, LLC – 100%</w:t>
            </w:r>
          </w:p>
        </w:tc>
      </w:tr>
      <w:tr>
        <w:trPr>
          <w:trHeight w:val="22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MCN Pelican Interstate Gas, LLC</w:t>
            </w:r>
          </w:p>
        </w:tc>
        <w:tc>
          <w:tcPr>
            <w:tcW w:w="224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Acadian Gas, LLC – 100%</w:t>
            </w:r>
          </w:p>
        </w:tc>
      </w:tr>
      <w:tr>
        <w:trPr>
          <w:trHeight w:val="223"/>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Mid-America Pipeline Company, LLC</w:t>
            </w:r>
          </w:p>
        </w:tc>
        <w:tc>
          <w:tcPr>
            <w:tcW w:w="2240" w:type="dxa"/>
            <w:vAlign w:val="bottom"/>
            <w:tcBorders>
              <w:bottom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Mapletree, LLC – 100%</w:t>
            </w:r>
          </w:p>
        </w:tc>
      </w:tr>
      <w:tr>
        <w:trPr>
          <w:trHeight w:val="22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Mont Belvieu Caverns, LLC</w:t>
            </w:r>
          </w:p>
        </w:tc>
        <w:tc>
          <w:tcPr>
            <w:tcW w:w="224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Duncan Energy Partners L.P. – 100%</w:t>
            </w:r>
          </w:p>
        </w:tc>
      </w:tr>
      <w:tr>
        <w:trPr>
          <w:trHeight w:val="202"/>
        </w:trPr>
        <w:tc>
          <w:tcPr>
            <w:tcW w:w="39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TXO-Acadian Gas Pipeline, LLC – 50%</w:t>
            </w:r>
          </w:p>
        </w:tc>
      </w:tr>
      <w:tr>
        <w:trPr>
          <w:trHeight w:val="237"/>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Neches Pipeline System</w:t>
            </w:r>
          </w:p>
        </w:tc>
        <w:tc>
          <w:tcPr>
            <w:tcW w:w="2240" w:type="dxa"/>
            <w:vAlign w:val="bottom"/>
            <w:tcBorders>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MCN Acadian Gas Pipeline, LLC – 50%</w:t>
            </w:r>
          </w:p>
        </w:tc>
      </w:tr>
      <w:tr>
        <w:trPr>
          <w:trHeight w:val="22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Norco-Taft Pipeline, LLC</w:t>
            </w:r>
          </w:p>
        </w:tc>
        <w:tc>
          <w:tcPr>
            <w:tcW w:w="224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 xml:space="preserve">Enterprise </w:t>
            </w:r>
            <w:r>
              <w:rPr>
                <w:rFonts w:ascii="Arial" w:cs="Arial" w:eastAsia="Arial" w:hAnsi="Arial"/>
                <w:sz w:val="16"/>
                <w:szCs w:val="16"/>
                <w:color w:val="auto"/>
              </w:rPr>
              <w:t>NGL</w:t>
            </w:r>
            <w:r>
              <w:rPr>
                <w:rFonts w:ascii="Arial" w:cs="Arial" w:eastAsia="Arial" w:hAnsi="Arial"/>
                <w:sz w:val="18"/>
                <w:szCs w:val="18"/>
                <w:color w:val="auto"/>
              </w:rPr>
              <w:t xml:space="preserve"> Private Lines &amp; Storage, LLC – 100%</w:t>
            </w:r>
          </w:p>
        </w:tc>
      </w:tr>
      <w:tr>
        <w:trPr>
          <w:trHeight w:val="202"/>
        </w:trPr>
        <w:tc>
          <w:tcPr>
            <w:tcW w:w="39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Enterprise Products Operating – 50%</w:t>
            </w:r>
          </w:p>
        </w:tc>
      </w:tr>
      <w:tr>
        <w:trPr>
          <w:trHeight w:val="237"/>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Old Ocean Pipeline, LLC</w:t>
            </w:r>
          </w:p>
        </w:tc>
        <w:tc>
          <w:tcPr>
            <w:tcW w:w="2240" w:type="dxa"/>
            <w:vAlign w:val="bottom"/>
            <w:tcBorders>
              <w:bottom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Third Party – 50%</w:t>
            </w:r>
          </w:p>
        </w:tc>
      </w:tr>
      <w:tr>
        <w:trPr>
          <w:trHeight w:val="22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Olefins Terminal LLC</w:t>
            </w:r>
          </w:p>
        </w:tc>
        <w:tc>
          <w:tcPr>
            <w:tcW w:w="224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02"/>
        </w:trPr>
        <w:tc>
          <w:tcPr>
            <w:tcW w:w="39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Enterprise Midstream Companies LLC – 55%</w:t>
            </w:r>
          </w:p>
        </w:tc>
      </w:tr>
      <w:tr>
        <w:trPr>
          <w:trHeight w:val="237"/>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Panola Pipeline Company, LLC</w:t>
            </w:r>
          </w:p>
        </w:tc>
        <w:tc>
          <w:tcPr>
            <w:tcW w:w="2240" w:type="dxa"/>
            <w:vAlign w:val="bottom"/>
            <w:tcBorders>
              <w:bottom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Third Parties – 45%</w:t>
            </w:r>
          </w:p>
        </w:tc>
      </w:tr>
      <w:tr>
        <w:trPr>
          <w:trHeight w:val="202"/>
        </w:trPr>
        <w:tc>
          <w:tcPr>
            <w:tcW w:w="39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Enterprise Gas Processing, LLC – 75%</w:t>
            </w:r>
          </w:p>
        </w:tc>
      </w:tr>
      <w:tr>
        <w:trPr>
          <w:trHeight w:val="237"/>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Pascagoula Gas Processing LLC</w:t>
            </w:r>
          </w:p>
        </w:tc>
        <w:tc>
          <w:tcPr>
            <w:tcW w:w="224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Third Party – 25%</w:t>
            </w:r>
          </w:p>
        </w:tc>
      </w:tr>
      <w:tr>
        <w:trPr>
          <w:trHeight w:val="202"/>
        </w:trPr>
        <w:tc>
          <w:tcPr>
            <w:tcW w:w="39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TXO-Acadian Gas Pipeline, LLC – 50%</w:t>
            </w:r>
          </w:p>
        </w:tc>
      </w:tr>
      <w:tr>
        <w:trPr>
          <w:trHeight w:val="237"/>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Pontchartrain Natural Gas System</w:t>
            </w:r>
          </w:p>
        </w:tc>
        <w:tc>
          <w:tcPr>
            <w:tcW w:w="2240" w:type="dxa"/>
            <w:vAlign w:val="bottom"/>
            <w:tcBorders>
              <w:bottom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MCN Acadian Gas Pipeline, LLC – 50%</w:t>
            </w:r>
          </w:p>
        </w:tc>
      </w:tr>
      <w:tr>
        <w:trPr>
          <w:trHeight w:val="22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Port Neches GP LLC</w:t>
            </w:r>
          </w:p>
        </w:tc>
        <w:tc>
          <w:tcPr>
            <w:tcW w:w="224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02"/>
        </w:trPr>
        <w:tc>
          <w:tcPr>
            <w:tcW w:w="39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Enterprise Products Operating LLC – 99%</w:t>
            </w:r>
          </w:p>
        </w:tc>
      </w:tr>
      <w:tr>
        <w:trPr>
          <w:trHeight w:val="237"/>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Port Neches Pipeline LLC</w:t>
            </w:r>
          </w:p>
        </w:tc>
        <w:tc>
          <w:tcPr>
            <w:tcW w:w="2240" w:type="dxa"/>
            <w:vAlign w:val="bottom"/>
            <w:tcBorders>
              <w:bottom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Port Neches GP LLC – 1%</w:t>
            </w:r>
          </w:p>
        </w:tc>
      </w:tr>
      <w:tr>
        <w:trPr>
          <w:trHeight w:val="22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QP-LS, LLC</w:t>
            </w:r>
          </w:p>
        </w:tc>
        <w:tc>
          <w:tcPr>
            <w:tcW w:w="224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color w:val="auto"/>
                <w:w w:val="93"/>
              </w:rPr>
              <w:t>Wyoming</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Products BBCT LLC – 100%</w:t>
            </w:r>
          </w:p>
        </w:tc>
      </w:tr>
      <w:tr>
        <w:trPr>
          <w:trHeight w:val="202"/>
        </w:trPr>
        <w:tc>
          <w:tcPr>
            <w:tcW w:w="39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Enterprise Midstream Companies LLC – 99.999%</w:t>
            </w:r>
          </w:p>
        </w:tc>
      </w:tr>
      <w:tr>
        <w:trPr>
          <w:trHeight w:val="237"/>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Quanah Pipeline Company, LLC</w:t>
            </w:r>
          </w:p>
        </w:tc>
        <w:tc>
          <w:tcPr>
            <w:tcW w:w="2240" w:type="dxa"/>
            <w:vAlign w:val="bottom"/>
            <w:tcBorders>
              <w:bottom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NGL Pipelines II LLC – 0.001%</w:t>
            </w:r>
          </w:p>
        </w:tc>
      </w:tr>
      <w:tr>
        <w:trPr>
          <w:trHeight w:val="22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Rio Grande Pipeline Company LLC</w:t>
            </w:r>
          </w:p>
        </w:tc>
        <w:tc>
          <w:tcPr>
            <w:tcW w:w="224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Sabine Propylene Pipeline LLC</w:t>
            </w:r>
          </w:p>
        </w:tc>
        <w:tc>
          <w:tcPr>
            <w:tcW w:w="2240" w:type="dxa"/>
            <w:vAlign w:val="bottom"/>
            <w:tcBorders>
              <w:bottom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Duncan Energy Partners L.P. – 100%</w:t>
            </w:r>
          </w:p>
        </w:tc>
      </w:tr>
      <w:tr>
        <w:trPr>
          <w:trHeight w:val="202"/>
        </w:trPr>
        <w:tc>
          <w:tcPr>
            <w:tcW w:w="39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Enterprise Seaway L.P. – 50%</w:t>
            </w:r>
          </w:p>
        </w:tc>
      </w:tr>
      <w:tr>
        <w:trPr>
          <w:trHeight w:val="237"/>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Seaway Crude Holdings LLC</w:t>
            </w:r>
          </w:p>
        </w:tc>
        <w:tc>
          <w:tcPr>
            <w:tcW w:w="224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Third Party – 50%</w:t>
            </w:r>
          </w:p>
        </w:tc>
      </w:tr>
      <w:tr>
        <w:trPr>
          <w:trHeight w:val="223"/>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Seaway Crude Pipeline Company LLC</w:t>
            </w:r>
          </w:p>
        </w:tc>
        <w:tc>
          <w:tcPr>
            <w:tcW w:w="2240" w:type="dxa"/>
            <w:vAlign w:val="bottom"/>
            <w:tcBorders>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Seaway Crude Holdings LLC – 100%</w:t>
            </w:r>
          </w:p>
        </w:tc>
      </w:tr>
      <w:tr>
        <w:trPr>
          <w:trHeight w:val="22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Seaway Intrastate LLC</w:t>
            </w:r>
          </w:p>
        </w:tc>
        <w:tc>
          <w:tcPr>
            <w:tcW w:w="224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Seaway Crude Holdings LLC – 100%</w:t>
            </w:r>
          </w:p>
        </w:tc>
      </w:tr>
      <w:tr>
        <w:trPr>
          <w:trHeight w:val="223"/>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Seaway Marine LLC</w:t>
            </w:r>
          </w:p>
        </w:tc>
        <w:tc>
          <w:tcPr>
            <w:tcW w:w="2240" w:type="dxa"/>
            <w:vAlign w:val="bottom"/>
            <w:tcBorders>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Seaway Intrastate LLC – 100%</w:t>
            </w:r>
          </w:p>
        </w:tc>
      </w:tr>
      <w:tr>
        <w:trPr>
          <w:trHeight w:val="669"/>
        </w:trPr>
        <w:tc>
          <w:tcPr>
            <w:tcW w:w="39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3" w:right="239" w:bottom="1440" w:gutter="0" w:footer="0" w:header="0"/>
        </w:sectPr>
      </w:pPr>
    </w:p>
    <w:bookmarkStart w:id="251" w:name="page252"/>
    <w:bookmarkEnd w:id="2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00" w:type="dxa"/>
            <w:vAlign w:val="bottom"/>
            <w:tcBorders>
              <w:top w:val="single" w:sz="8" w:color="auto"/>
            </w:tcBorders>
          </w:tcPr>
          <w:p>
            <w:pPr>
              <w:spacing w:after="0"/>
              <w:rPr>
                <w:sz w:val="19"/>
                <w:szCs w:val="19"/>
                <w:color w:val="auto"/>
              </w:rPr>
            </w:pPr>
          </w:p>
        </w:tc>
        <w:tc>
          <w:tcPr>
            <w:tcW w:w="2140" w:type="dxa"/>
            <w:vAlign w:val="bottom"/>
            <w:tcBorders>
              <w:top w:val="single" w:sz="8" w:color="auto"/>
            </w:tcBorders>
          </w:tcPr>
          <w:p>
            <w:pPr>
              <w:jc w:val="center"/>
              <w:ind w:left="770"/>
              <w:spacing w:after="0"/>
              <w:rPr>
                <w:sz w:val="20"/>
                <w:szCs w:val="20"/>
                <w:color w:val="auto"/>
              </w:rPr>
            </w:pPr>
            <w:r>
              <w:rPr>
                <w:rFonts w:ascii="Arial" w:cs="Arial" w:eastAsia="Arial" w:hAnsi="Arial"/>
                <w:sz w:val="18"/>
                <w:szCs w:val="18"/>
                <w:b w:val="1"/>
                <w:bCs w:val="1"/>
                <w:color w:val="auto"/>
                <w:w w:val="90"/>
              </w:rPr>
              <w:t>Jurisdiction</w:t>
            </w:r>
          </w:p>
        </w:tc>
        <w:tc>
          <w:tcPr>
            <w:tcW w:w="5280" w:type="dxa"/>
            <w:vAlign w:val="bottom"/>
            <w:tcBorders>
              <w:top w:val="single" w:sz="8" w:color="auto"/>
            </w:tcBorders>
          </w:tcPr>
          <w:p>
            <w:pPr>
              <w:spacing w:after="0"/>
              <w:rPr>
                <w:sz w:val="19"/>
                <w:szCs w:val="19"/>
                <w:color w:val="auto"/>
              </w:rPr>
            </w:pPr>
          </w:p>
        </w:tc>
      </w:tr>
      <w:tr>
        <w:trPr>
          <w:trHeight w:val="24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Subsidiary</w:t>
            </w:r>
          </w:p>
        </w:tc>
        <w:tc>
          <w:tcPr>
            <w:tcW w:w="214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b w:val="1"/>
                <w:bCs w:val="1"/>
                <w:color w:val="auto"/>
                <w:w w:val="92"/>
              </w:rPr>
              <w:t>of Formation</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Effective Ownership</w:t>
            </w:r>
          </w:p>
        </w:tc>
      </w:tr>
      <w:tr>
        <w:trPr>
          <w:trHeight w:val="223"/>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Seminole Pipeline Company LLC</w:t>
            </w:r>
          </w:p>
        </w:tc>
        <w:tc>
          <w:tcPr>
            <w:tcW w:w="214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02"/>
        </w:trPr>
        <w:tc>
          <w:tcPr>
            <w:tcW w:w="40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Enterprise Products Operating LLC – 50%</w:t>
            </w:r>
          </w:p>
        </w:tc>
      </w:tr>
      <w:tr>
        <w:trPr>
          <w:trHeight w:val="237"/>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Skelly-Belvieu Pipeline Company, L.L.C.</w:t>
            </w:r>
          </w:p>
        </w:tc>
        <w:tc>
          <w:tcPr>
            <w:tcW w:w="214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Third Party – 50%</w:t>
            </w:r>
          </w:p>
        </w:tc>
      </w:tr>
      <w:tr>
        <w:trPr>
          <w:trHeight w:val="223"/>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Sorrento Pipeline Company, LLC</w:t>
            </w:r>
          </w:p>
        </w:tc>
        <w:tc>
          <w:tcPr>
            <w:tcW w:w="2140" w:type="dxa"/>
            <w:vAlign w:val="bottom"/>
            <w:tcBorders>
              <w:bottom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South Texas NGL Pipelines, LLC</w:t>
            </w:r>
          </w:p>
        </w:tc>
        <w:tc>
          <w:tcPr>
            <w:tcW w:w="214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Duncan Energy Partners L.P. – 100%</w:t>
            </w:r>
          </w:p>
        </w:tc>
      </w:tr>
      <w:tr>
        <w:trPr>
          <w:trHeight w:val="223"/>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SPOT Terminal Operating LLC</w:t>
            </w:r>
          </w:p>
        </w:tc>
        <w:tc>
          <w:tcPr>
            <w:tcW w:w="2140" w:type="dxa"/>
            <w:vAlign w:val="bottom"/>
            <w:tcBorders>
              <w:bottom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SPOT Terminal Services LLC</w:t>
            </w:r>
          </w:p>
        </w:tc>
        <w:tc>
          <w:tcPr>
            <w:tcW w:w="214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Tarpon Land Holdings LLC</w:t>
            </w:r>
          </w:p>
        </w:tc>
        <w:tc>
          <w:tcPr>
            <w:tcW w:w="2140" w:type="dxa"/>
            <w:vAlign w:val="bottom"/>
            <w:tcBorders>
              <w:bottom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02"/>
        </w:trPr>
        <w:tc>
          <w:tcPr>
            <w:tcW w:w="40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Enterprise TE Partners L.P. – 99.999%</w:t>
            </w:r>
          </w:p>
        </w:tc>
      </w:tr>
      <w:tr>
        <w:trPr>
          <w:trHeight w:val="237"/>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TCTM, L.P.</w:t>
            </w:r>
          </w:p>
        </w:tc>
        <w:tc>
          <w:tcPr>
            <w:tcW w:w="214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GP LLC – 0.001%</w:t>
            </w:r>
          </w:p>
        </w:tc>
      </w:tr>
      <w:tr>
        <w:trPr>
          <w:trHeight w:val="223"/>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TECO Gas Gathering LLC</w:t>
            </w:r>
          </w:p>
        </w:tc>
        <w:tc>
          <w:tcPr>
            <w:tcW w:w="214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TECO Gas Processing LLC</w:t>
            </w:r>
          </w:p>
        </w:tc>
        <w:tc>
          <w:tcPr>
            <w:tcW w:w="214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Products Operating LLC – 100%</w:t>
            </w:r>
          </w:p>
        </w:tc>
      </w:tr>
      <w:tr>
        <w:trPr>
          <w:trHeight w:val="202"/>
        </w:trPr>
        <w:tc>
          <w:tcPr>
            <w:tcW w:w="40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Pontchartrain Natural Gas System – 96.6%</w:t>
            </w:r>
          </w:p>
        </w:tc>
      </w:tr>
      <w:tr>
        <w:trPr>
          <w:trHeight w:val="237"/>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Tejas-Magnolia Energy, LLC</w:t>
            </w:r>
          </w:p>
        </w:tc>
        <w:tc>
          <w:tcPr>
            <w:tcW w:w="214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MCN Pelican Interstate Gas, LLC – 3.4%</w:t>
            </w:r>
          </w:p>
        </w:tc>
      </w:tr>
      <w:tr>
        <w:trPr>
          <w:trHeight w:val="2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TEPPCO O/S Port System, LLC</w:t>
            </w:r>
          </w:p>
        </w:tc>
        <w:tc>
          <w:tcPr>
            <w:tcW w:w="214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Enterprise Crude GP LLC – 100%</w:t>
            </w:r>
          </w:p>
        </w:tc>
      </w:tr>
      <w:tr>
        <w:trPr>
          <w:trHeight w:val="202"/>
        </w:trPr>
        <w:tc>
          <w:tcPr>
            <w:tcW w:w="40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Enterprise Products Operating LLC – 45%</w:t>
            </w:r>
          </w:p>
        </w:tc>
      </w:tr>
      <w:tr>
        <w:trPr>
          <w:trHeight w:val="237"/>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Texas Express Gathering LLC</w:t>
            </w:r>
          </w:p>
        </w:tc>
        <w:tc>
          <w:tcPr>
            <w:tcW w:w="214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Third Parties – 55%</w:t>
            </w:r>
          </w:p>
        </w:tc>
      </w:tr>
      <w:tr>
        <w:trPr>
          <w:trHeight w:val="198"/>
        </w:trPr>
        <w:tc>
          <w:tcPr>
            <w:tcW w:w="40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280" w:type="dxa"/>
            <w:vAlign w:val="bottom"/>
          </w:tcPr>
          <w:p>
            <w:pPr>
              <w:ind w:left="120"/>
              <w:spacing w:after="0" w:line="198" w:lineRule="exact"/>
              <w:rPr>
                <w:sz w:val="20"/>
                <w:szCs w:val="20"/>
                <w:color w:val="auto"/>
              </w:rPr>
            </w:pPr>
            <w:r>
              <w:rPr>
                <w:rFonts w:ascii="Arial" w:cs="Arial" w:eastAsia="Arial" w:hAnsi="Arial"/>
                <w:sz w:val="18"/>
                <w:szCs w:val="18"/>
                <w:color w:val="auto"/>
              </w:rPr>
              <w:t>Enterprise Products Operating LLC – 35%</w:t>
            </w:r>
          </w:p>
        </w:tc>
      </w:tr>
      <w:tr>
        <w:trPr>
          <w:trHeight w:val="24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Texas Express Pipeline LLC</w:t>
            </w:r>
          </w:p>
        </w:tc>
        <w:tc>
          <w:tcPr>
            <w:tcW w:w="214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 xml:space="preserve">Third Parties </w:t>
            </w:r>
            <w:r>
              <w:rPr>
                <w:rFonts w:ascii="Arial" w:cs="Arial" w:eastAsia="Arial" w:hAnsi="Arial"/>
                <w:sz w:val="18"/>
                <w:szCs w:val="18"/>
                <w:b w:val="1"/>
                <w:bCs w:val="1"/>
                <w:color w:val="auto"/>
              </w:rPr>
              <w:t>–</w:t>
            </w:r>
            <w:r>
              <w:rPr>
                <w:rFonts w:ascii="Arial" w:cs="Arial" w:eastAsia="Arial" w:hAnsi="Arial"/>
                <w:sz w:val="18"/>
                <w:szCs w:val="18"/>
                <w:color w:val="auto"/>
              </w:rPr>
              <w:t xml:space="preserve"> 65%</w:t>
            </w:r>
          </w:p>
        </w:tc>
      </w:tr>
      <w:tr>
        <w:trPr>
          <w:trHeight w:val="202"/>
        </w:trPr>
        <w:tc>
          <w:tcPr>
            <w:tcW w:w="40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Enterprise TE Products Pipeline Company LLC – 25%</w:t>
            </w:r>
          </w:p>
        </w:tc>
      </w:tr>
      <w:tr>
        <w:trPr>
          <w:trHeight w:val="237"/>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Transport 4, L.L.C.</w:t>
            </w:r>
          </w:p>
        </w:tc>
        <w:tc>
          <w:tcPr>
            <w:tcW w:w="214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Third Parties – 75%</w:t>
            </w:r>
          </w:p>
        </w:tc>
      </w:tr>
      <w:tr>
        <w:trPr>
          <w:trHeight w:val="202"/>
        </w:trPr>
        <w:tc>
          <w:tcPr>
            <w:tcW w:w="40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Enterprise Products Operating LLC – 50%</w:t>
            </w:r>
          </w:p>
        </w:tc>
      </w:tr>
      <w:tr>
        <w:trPr>
          <w:trHeight w:val="216"/>
        </w:trPr>
        <w:tc>
          <w:tcPr>
            <w:tcW w:w="40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Enterprise NGL Pipelines, LLC – 33.3%</w:t>
            </w:r>
          </w:p>
        </w:tc>
      </w:tr>
      <w:tr>
        <w:trPr>
          <w:trHeight w:val="237"/>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Tri-States NGL Pipeline, L.L.C.</w:t>
            </w:r>
          </w:p>
        </w:tc>
        <w:tc>
          <w:tcPr>
            <w:tcW w:w="214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Third Party – 16.67%</w:t>
            </w:r>
          </w:p>
        </w:tc>
      </w:tr>
      <w:tr>
        <w:trPr>
          <w:trHeight w:val="223"/>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TXO-Acadian Gas Pipeline, LLC</w:t>
            </w:r>
          </w:p>
        </w:tc>
        <w:tc>
          <w:tcPr>
            <w:tcW w:w="214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Acadian Gas, LLC – 100%</w:t>
            </w:r>
          </w:p>
        </w:tc>
      </w:tr>
      <w:tr>
        <w:trPr>
          <w:trHeight w:val="202"/>
        </w:trPr>
        <w:tc>
          <w:tcPr>
            <w:tcW w:w="40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Enterprise Gas Processing LLC – 13.1%</w:t>
            </w:r>
          </w:p>
        </w:tc>
      </w:tr>
      <w:tr>
        <w:trPr>
          <w:trHeight w:val="237"/>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Venice Energy Services Company, L.L.C.</w:t>
            </w:r>
          </w:p>
        </w:tc>
        <w:tc>
          <w:tcPr>
            <w:tcW w:w="214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Third Parties – 86.9%</w:t>
            </w:r>
          </w:p>
        </w:tc>
      </w:tr>
      <w:tr>
        <w:trPr>
          <w:trHeight w:val="202"/>
        </w:trPr>
        <w:tc>
          <w:tcPr>
            <w:tcW w:w="40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Enterprise White River Hub, LLC – 50%</w:t>
            </w:r>
          </w:p>
        </w:tc>
      </w:tr>
      <w:tr>
        <w:trPr>
          <w:trHeight w:val="237"/>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White River Hub, LLC</w:t>
            </w:r>
          </w:p>
        </w:tc>
        <w:tc>
          <w:tcPr>
            <w:tcW w:w="214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Third Party – 50%</w:t>
            </w:r>
          </w:p>
        </w:tc>
      </w:tr>
      <w:tr>
        <w:trPr>
          <w:trHeight w:val="202"/>
        </w:trPr>
        <w:tc>
          <w:tcPr>
            <w:tcW w:w="4000" w:type="dxa"/>
            <w:vAlign w:val="bottom"/>
          </w:tcPr>
          <w:p>
            <w:pPr>
              <w:spacing w:after="0" w:line="201" w:lineRule="exact"/>
              <w:rPr>
                <w:sz w:val="20"/>
                <w:szCs w:val="20"/>
                <w:color w:val="auto"/>
              </w:rPr>
            </w:pPr>
            <w:r>
              <w:rPr>
                <w:rFonts w:ascii="Arial" w:cs="Arial" w:eastAsia="Arial" w:hAnsi="Arial"/>
                <w:sz w:val="18"/>
                <w:szCs w:val="18"/>
                <w:color w:val="auto"/>
              </w:rPr>
              <w:t>Whitethorn Pipeline Company LLC</w:t>
            </w:r>
          </w:p>
        </w:tc>
        <w:tc>
          <w:tcPr>
            <w:tcW w:w="2140" w:type="dxa"/>
            <w:vAlign w:val="bottom"/>
          </w:tcPr>
          <w:p>
            <w:pPr>
              <w:spacing w:after="0"/>
              <w:rPr>
                <w:sz w:val="17"/>
                <w:szCs w:val="17"/>
                <w:color w:val="auto"/>
              </w:rPr>
            </w:pPr>
          </w:p>
        </w:tc>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Enterprise Products Operating LLC – 80%</w:t>
            </w:r>
          </w:p>
        </w:tc>
      </w:tr>
      <w:tr>
        <w:trPr>
          <w:trHeight w:val="237"/>
        </w:trPr>
        <w:tc>
          <w:tcPr>
            <w:tcW w:w="40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Third Party – 20%</w:t>
            </w:r>
          </w:p>
        </w:tc>
      </w:tr>
      <w:tr>
        <w:trPr>
          <w:trHeight w:val="202"/>
        </w:trPr>
        <w:tc>
          <w:tcPr>
            <w:tcW w:w="40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Enterprise Midstream Companies LLC – 99.999%</w:t>
            </w:r>
          </w:p>
        </w:tc>
      </w:tr>
      <w:tr>
        <w:trPr>
          <w:trHeight w:val="237"/>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Wilcox Pipeline Company, LLC</w:t>
            </w:r>
          </w:p>
        </w:tc>
        <w:tc>
          <w:tcPr>
            <w:tcW w:w="2140" w:type="dxa"/>
            <w:vAlign w:val="bottom"/>
            <w:tcBorders>
              <w:bottom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color w:val="auto"/>
                <w:w w:val="85"/>
              </w:rPr>
              <w:t>Texas</w:t>
            </w: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Enterprise NGL Pipelines II LLC – 0.001%</w:t>
            </w:r>
          </w:p>
        </w:tc>
      </w:tr>
      <w:tr>
        <w:trPr>
          <w:trHeight w:val="202"/>
        </w:trPr>
        <w:tc>
          <w:tcPr>
            <w:tcW w:w="40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Enterprise Products Operating LLC – 74.7%</w:t>
            </w:r>
          </w:p>
        </w:tc>
      </w:tr>
      <w:tr>
        <w:trPr>
          <w:trHeight w:val="237"/>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Wilprise Pipeline Company, L.L.C.</w:t>
            </w:r>
          </w:p>
        </w:tc>
        <w:tc>
          <w:tcPr>
            <w:tcW w:w="214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89"/>
              </w:rPr>
              <w:t>Delaware</w:t>
            </w: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Third Party – 25.3%</w:t>
            </w:r>
          </w:p>
        </w:tc>
      </w:tr>
    </w:tbl>
    <w:p>
      <w:pPr>
        <w:sectPr>
          <w:pgSz w:w="11900" w:h="16838" w:orient="portrait"/>
          <w:cols w:equalWidth="0" w:num="1">
            <w:col w:w="11420"/>
          </w:cols>
          <w:pgMar w:left="240" w:top="363" w:right="239" w:bottom="1440" w:gutter="0" w:footer="0" w:header="0"/>
        </w:sectPr>
      </w:pPr>
    </w:p>
    <w:bookmarkStart w:id="252" w:name="page253"/>
    <w:bookmarkEnd w:id="252"/>
    <w:p>
      <w:pPr>
        <w:jc w:val="right"/>
        <w:spacing w:after="0"/>
        <w:rPr>
          <w:sz w:val="20"/>
          <w:szCs w:val="20"/>
          <w:color w:val="auto"/>
        </w:rPr>
      </w:pPr>
      <w:r>
        <w:rPr>
          <w:rFonts w:ascii="Arial" w:cs="Arial" w:eastAsia="Arial" w:hAnsi="Arial"/>
          <w:sz w:val="20"/>
          <w:szCs w:val="20"/>
          <w:b w:val="1"/>
          <w:bCs w:val="1"/>
          <w:color w:val="auto"/>
        </w:rPr>
        <w:t>Exhibit 23.1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consent to the incorporation by reference in (i) Registration Statement Nos. 333-36856, 333-115633, 333-150680, 333-176718, 333-191515, and 333-191516 of Enterprise Products Partners L.P. on Form S-8; (ii) Registration Statement No. 333-230066 of Enterprise Products Partners L.P. and Enterprise Products Operating LLC on Form S-3; and (iii) Registration Statements Nos. 333-211318 and 333-221397 of Enterprise Products Partners L.P. on Form S-3 of our reports dated February 28, 2020, relating to the consolidated financial statements of Enterprise Products Partners L.P. and subsidiaries and the effectiveness of Enterprise Products Partners L.P. and subsidiaries' internal control over financial reporting, appearing in this Annual Report on Form 10-K of Enterprise Products Partners L.P. for the year ended December 31, 2019.</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28, 2020</w:t>
      </w:r>
    </w:p>
    <w:p>
      <w:pPr>
        <w:sectPr>
          <w:pgSz w:w="11900" w:h="16838" w:orient="portrait"/>
          <w:cols w:equalWidth="0" w:num="1">
            <w:col w:w="11420"/>
          </w:cols>
          <w:pgMar w:left="240" w:top="116" w:right="2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SECTION 302 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A. James Teague, certify that:</w:t>
      </w:r>
    </w:p>
    <w:p>
      <w:pPr>
        <w:spacing w:after="0" w:line="252" w:lineRule="exact"/>
        <w:rPr>
          <w:sz w:val="20"/>
          <w:szCs w:val="20"/>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Enterprise Products Partners L.P;</w:t>
      </w:r>
    </w:p>
    <w:p>
      <w:pPr>
        <w:spacing w:after="0" w:line="25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00" w:hanging="320"/>
        <w:spacing w:after="0" w:line="250" w:lineRule="auto"/>
        <w:tabs>
          <w:tab w:leader="none" w:pos="13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1" w:lineRule="auto"/>
        <w:tabs>
          <w:tab w:leader="none" w:pos="13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2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 A. James Teague</w:t>
      </w:r>
    </w:p>
    <w:p>
      <w:pPr>
        <w:spacing w:after="0" w:line="23" w:lineRule="exact"/>
        <w:rPr>
          <w:sz w:val="20"/>
          <w:szCs w:val="20"/>
          <w:color w:val="auto"/>
        </w:rPr>
      </w:pPr>
    </w:p>
    <w:tbl>
      <w:tblPr>
        <w:tblLayout w:type="fixed"/>
        <w:tblInd w:w="4580" w:type="dxa"/>
        <w:tblCellMar>
          <w:top w:w="0" w:type="dxa"/>
          <w:left w:w="0" w:type="dxa"/>
          <w:bottom w:w="0" w:type="dxa"/>
          <w:right w:w="0" w:type="dxa"/>
        </w:tblCellMar>
      </w:tblPr>
      <w:tr>
        <w:trPr>
          <w:trHeight w:val="209"/>
        </w:trPr>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61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A. James Teague</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6140" w:type="dxa"/>
            <w:vAlign w:val="bottom"/>
          </w:tcPr>
          <w:p>
            <w:pPr>
              <w:ind w:left="220"/>
              <w:spacing w:after="0"/>
              <w:rPr>
                <w:sz w:val="20"/>
                <w:szCs w:val="20"/>
                <w:color w:val="auto"/>
              </w:rPr>
            </w:pPr>
            <w:r>
              <w:rPr>
                <w:rFonts w:ascii="Arial" w:cs="Arial" w:eastAsia="Arial" w:hAnsi="Arial"/>
                <w:sz w:val="18"/>
                <w:szCs w:val="18"/>
                <w:color w:val="auto"/>
                <w:w w:val="96"/>
              </w:rPr>
              <w:t>Co-Chief Executive Officer of Enterprise Products Holdings LLC, the General</w:t>
            </w:r>
          </w:p>
        </w:tc>
      </w:tr>
      <w:tr>
        <w:trPr>
          <w:trHeight w:val="230"/>
        </w:trPr>
        <w:tc>
          <w:tcPr>
            <w:tcW w:w="700" w:type="dxa"/>
            <w:vAlign w:val="bottom"/>
          </w:tcPr>
          <w:p>
            <w:pPr>
              <w:spacing w:after="0"/>
              <w:rPr>
                <w:sz w:val="20"/>
                <w:szCs w:val="20"/>
                <w:color w:val="auto"/>
              </w:rPr>
            </w:pPr>
          </w:p>
        </w:tc>
        <w:tc>
          <w:tcPr>
            <w:tcW w:w="6140" w:type="dxa"/>
            <w:vAlign w:val="bottom"/>
          </w:tcPr>
          <w:p>
            <w:pPr>
              <w:ind w:left="220"/>
              <w:spacing w:after="0"/>
              <w:rPr>
                <w:sz w:val="20"/>
                <w:szCs w:val="20"/>
                <w:color w:val="auto"/>
              </w:rPr>
            </w:pPr>
            <w:r>
              <w:rPr>
                <w:rFonts w:ascii="Arial" w:cs="Arial" w:eastAsia="Arial" w:hAnsi="Arial"/>
                <w:sz w:val="18"/>
                <w:szCs w:val="18"/>
                <w:color w:val="auto"/>
              </w:rPr>
              <w:t>Partner of Enterprise Products Partners L.P.</w:t>
            </w:r>
          </w:p>
        </w:tc>
      </w:tr>
    </w:tbl>
    <w:p>
      <w:pPr>
        <w:sectPr>
          <w:pgSz w:w="11900" w:h="16838" w:orient="portrait"/>
          <w:cols w:equalWidth="0" w:num="1">
            <w:col w:w="11420"/>
          </w:cols>
          <w:pgMar w:left="240" w:top="121" w:right="2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SECTION 302 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W. Randall Fowler, certify that:</w:t>
      </w:r>
    </w:p>
    <w:p>
      <w:pPr>
        <w:spacing w:after="0" w:line="252" w:lineRule="exact"/>
        <w:rPr>
          <w:sz w:val="20"/>
          <w:szCs w:val="20"/>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Enterprise Products Partners L.P.;</w:t>
      </w:r>
    </w:p>
    <w:p>
      <w:pPr>
        <w:spacing w:after="0" w:line="25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00" w:hanging="320"/>
        <w:spacing w:after="0" w:line="250" w:lineRule="auto"/>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1" w:lineRule="auto"/>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W. Randall Fowler</w:t>
      </w:r>
    </w:p>
    <w:p>
      <w:pPr>
        <w:spacing w:after="0" w:line="9" w:lineRule="exact"/>
        <w:rPr>
          <w:sz w:val="20"/>
          <w:szCs w:val="20"/>
          <w:color w:val="auto"/>
        </w:rPr>
      </w:pPr>
    </w:p>
    <w:tbl>
      <w:tblPr>
        <w:tblLayout w:type="fixed"/>
        <w:tblInd w:w="4580" w:type="dxa"/>
        <w:tblCellMar>
          <w:top w:w="0" w:type="dxa"/>
          <w:left w:w="0" w:type="dxa"/>
          <w:bottom w:w="0" w:type="dxa"/>
          <w:right w:w="0" w:type="dxa"/>
        </w:tblCellMar>
      </w:tblPr>
      <w:tr>
        <w:trPr>
          <w:trHeight w:val="209"/>
        </w:trPr>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61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 Randall Fowler</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6140" w:type="dxa"/>
            <w:vAlign w:val="bottom"/>
          </w:tcPr>
          <w:p>
            <w:pPr>
              <w:ind w:left="220"/>
              <w:spacing w:after="0"/>
              <w:rPr>
                <w:sz w:val="20"/>
                <w:szCs w:val="20"/>
                <w:color w:val="auto"/>
              </w:rPr>
            </w:pPr>
            <w:r>
              <w:rPr>
                <w:rFonts w:ascii="Arial" w:cs="Arial" w:eastAsia="Arial" w:hAnsi="Arial"/>
                <w:sz w:val="18"/>
                <w:szCs w:val="18"/>
                <w:color w:val="auto"/>
                <w:w w:val="96"/>
              </w:rPr>
              <w:t>Co-Chief Executive Officer and Chief Financial Officer of Enterprise Products</w:t>
            </w:r>
          </w:p>
        </w:tc>
      </w:tr>
      <w:tr>
        <w:trPr>
          <w:trHeight w:val="230"/>
        </w:trPr>
        <w:tc>
          <w:tcPr>
            <w:tcW w:w="700" w:type="dxa"/>
            <w:vAlign w:val="bottom"/>
          </w:tcPr>
          <w:p>
            <w:pPr>
              <w:spacing w:after="0"/>
              <w:rPr>
                <w:sz w:val="20"/>
                <w:szCs w:val="20"/>
                <w:color w:val="auto"/>
              </w:rPr>
            </w:pPr>
          </w:p>
        </w:tc>
        <w:tc>
          <w:tcPr>
            <w:tcW w:w="6140" w:type="dxa"/>
            <w:vAlign w:val="bottom"/>
          </w:tcPr>
          <w:p>
            <w:pPr>
              <w:ind w:left="220"/>
              <w:spacing w:after="0"/>
              <w:rPr>
                <w:sz w:val="20"/>
                <w:szCs w:val="20"/>
                <w:color w:val="auto"/>
              </w:rPr>
            </w:pPr>
            <w:r>
              <w:rPr>
                <w:rFonts w:ascii="Arial" w:cs="Arial" w:eastAsia="Arial" w:hAnsi="Arial"/>
                <w:sz w:val="18"/>
                <w:szCs w:val="18"/>
                <w:color w:val="auto"/>
              </w:rPr>
              <w:t>Holdings LLC, the General Partner of Enterprise Products Partners L.P.</w:t>
            </w:r>
          </w:p>
        </w:tc>
      </w:tr>
    </w:tbl>
    <w:p>
      <w:pPr>
        <w:sectPr>
          <w:pgSz w:w="11900" w:h="16838" w:orient="portrait"/>
          <w:cols w:equalWidth="0" w:num="1">
            <w:col w:w="11420"/>
          </w:cols>
          <w:pgMar w:left="240" w:top="121" w:right="2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SECTION 906 CERTIFICATION</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A. JAMES TEAGUE, CO-CHIEF EXECUTIVE OFFICER OF ENTERPRISE PRODUCTS HOLDINGS LLC, THE GENERAL PARTNER OF ENTERPRISE PRODUCTS PARTNERS L.P.</w:t>
      </w:r>
    </w:p>
    <w:p>
      <w:pPr>
        <w:spacing w:after="0" w:line="2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this annual report of Enterprise Products Partners L.P. (the “Registrant”) on Form 10-K for the year ended December 31, 2019 as filed with the Securities and Exchange Commission on the date hereof (the “Report”), I, A. James Teague, Co-Chief Executive Officer of Enterprise Products Holdings LLC, the General Partner of the Registrant, certify, pursuant to 18 U.S.C. § 1350, as adopted pursuant to § 906 of the Sarbanes-Oxley Act of 2002, that:</w:t>
      </w:r>
    </w:p>
    <w:p>
      <w:pPr>
        <w:spacing w:after="0" w:line="214" w:lineRule="exact"/>
        <w:rPr>
          <w:sz w:val="20"/>
          <w:szCs w:val="20"/>
          <w:color w:val="auto"/>
        </w:rPr>
      </w:pPr>
    </w:p>
    <w:p>
      <w:pPr>
        <w:ind w:left="500" w:hanging="330"/>
        <w:spacing w:after="0"/>
        <w:tabs>
          <w:tab w:leader="none" w:pos="5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right="420" w:firstLine="170"/>
        <w:spacing w:after="0" w:line="532" w:lineRule="auto"/>
        <w:tabs>
          <w:tab w:leader="none" w:pos="48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February 28, 2020</w:t>
      </w:r>
    </w:p>
    <w:p>
      <w:pPr>
        <w:spacing w:after="0" w:line="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 A. James Teague</w:t>
      </w:r>
    </w:p>
    <w:p>
      <w:pPr>
        <w:spacing w:after="0" w:line="23" w:lineRule="exact"/>
        <w:rPr>
          <w:sz w:val="20"/>
          <w:szCs w:val="20"/>
          <w:color w:val="auto"/>
        </w:rPr>
      </w:pPr>
    </w:p>
    <w:tbl>
      <w:tblPr>
        <w:tblLayout w:type="fixed"/>
        <w:tblInd w:w="4580" w:type="dxa"/>
        <w:tblCellMar>
          <w:top w:w="0" w:type="dxa"/>
          <w:left w:w="0" w:type="dxa"/>
          <w:bottom w:w="0" w:type="dxa"/>
          <w:right w:w="0" w:type="dxa"/>
        </w:tblCellMar>
      </w:tblPr>
      <w:tr>
        <w:trPr>
          <w:trHeight w:val="209"/>
        </w:trPr>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61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A. James Teague</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6140" w:type="dxa"/>
            <w:vAlign w:val="bottom"/>
          </w:tcPr>
          <w:p>
            <w:pPr>
              <w:ind w:left="220"/>
              <w:spacing w:after="0"/>
              <w:rPr>
                <w:sz w:val="20"/>
                <w:szCs w:val="20"/>
                <w:color w:val="auto"/>
              </w:rPr>
            </w:pPr>
            <w:r>
              <w:rPr>
                <w:rFonts w:ascii="Arial" w:cs="Arial" w:eastAsia="Arial" w:hAnsi="Arial"/>
                <w:sz w:val="18"/>
                <w:szCs w:val="18"/>
                <w:color w:val="auto"/>
                <w:w w:val="96"/>
              </w:rPr>
              <w:t>Co-Chief Executive Officer of Enterprise Products Holdings LLC, the General</w:t>
            </w:r>
          </w:p>
        </w:tc>
      </w:tr>
      <w:tr>
        <w:trPr>
          <w:trHeight w:val="230"/>
        </w:trPr>
        <w:tc>
          <w:tcPr>
            <w:tcW w:w="700" w:type="dxa"/>
            <w:vAlign w:val="bottom"/>
          </w:tcPr>
          <w:p>
            <w:pPr>
              <w:spacing w:after="0"/>
              <w:rPr>
                <w:sz w:val="20"/>
                <w:szCs w:val="20"/>
                <w:color w:val="auto"/>
              </w:rPr>
            </w:pPr>
          </w:p>
        </w:tc>
        <w:tc>
          <w:tcPr>
            <w:tcW w:w="6140" w:type="dxa"/>
            <w:vAlign w:val="bottom"/>
          </w:tcPr>
          <w:p>
            <w:pPr>
              <w:ind w:left="220"/>
              <w:spacing w:after="0"/>
              <w:rPr>
                <w:sz w:val="20"/>
                <w:szCs w:val="20"/>
                <w:color w:val="auto"/>
              </w:rPr>
            </w:pPr>
            <w:r>
              <w:rPr>
                <w:rFonts w:ascii="Arial" w:cs="Arial" w:eastAsia="Arial" w:hAnsi="Arial"/>
                <w:sz w:val="18"/>
                <w:szCs w:val="18"/>
                <w:color w:val="auto"/>
              </w:rPr>
              <w:t>Partner of Enterprise Products Partners L.P.</w:t>
            </w:r>
          </w:p>
        </w:tc>
      </w:tr>
    </w:tbl>
    <w:p>
      <w:pPr>
        <w:sectPr>
          <w:pgSz w:w="11900" w:h="16838" w:orient="portrait"/>
          <w:cols w:equalWidth="0" w:num="1">
            <w:col w:w="11420"/>
          </w:cols>
          <w:pgMar w:left="240" w:top="121" w:right="2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SECTION 906 CERTIFICATION</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W. RANDALL FOWLER, CO-CHIEF EXECUTIVE OFFICER AND CHIEF FINANCIAL OFFICER OF ENTERPRISE PRODUCTS HOLDINGS LLC, THE GENERAL PARTNER OF ENTERPRISE PRODUCTS PARTNERS L.P.</w:t>
      </w:r>
    </w:p>
    <w:p>
      <w:pPr>
        <w:spacing w:after="0" w:line="2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this annual report of Enterprise Products Partners L.P. (the “Registrant”) on Form 10-K for the year ended December 31, 2019 as filed with the Securities and Exchange Commission on the date hereof (the “Report”), I, W. Randall Fowler, Co-Chief Executive Officer and Chief Financial Officer of Enterprise Products Holdings LLC, the General Partner of the Registrant, certify, pursuant to 18 U.S.C. § 1350, as adopted pursuant to § 906 of the Sarbanes-Oxley Act of 2002, that:</w:t>
      </w:r>
    </w:p>
    <w:p>
      <w:pPr>
        <w:spacing w:after="0" w:line="214" w:lineRule="exact"/>
        <w:rPr>
          <w:sz w:val="20"/>
          <w:szCs w:val="20"/>
          <w:color w:val="auto"/>
        </w:rPr>
      </w:pPr>
    </w:p>
    <w:p>
      <w:pPr>
        <w:ind w:left="500" w:hanging="330"/>
        <w:spacing w:after="0"/>
        <w:tabs>
          <w:tab w:leader="none" w:pos="5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right="420" w:firstLine="170"/>
        <w:spacing w:after="0" w:line="532" w:lineRule="auto"/>
        <w:tabs>
          <w:tab w:leader="none" w:pos="48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February 28, 2020</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W. Randall Fowler</w:t>
      </w:r>
    </w:p>
    <w:p>
      <w:pPr>
        <w:spacing w:after="0" w:line="23" w:lineRule="exact"/>
        <w:rPr>
          <w:sz w:val="20"/>
          <w:szCs w:val="20"/>
          <w:color w:val="auto"/>
        </w:rPr>
      </w:pPr>
    </w:p>
    <w:tbl>
      <w:tblPr>
        <w:tblLayout w:type="fixed"/>
        <w:tblInd w:w="4580" w:type="dxa"/>
        <w:tblCellMar>
          <w:top w:w="0" w:type="dxa"/>
          <w:left w:w="0" w:type="dxa"/>
          <w:bottom w:w="0" w:type="dxa"/>
          <w:right w:w="0" w:type="dxa"/>
        </w:tblCellMar>
      </w:tblPr>
      <w:tr>
        <w:trPr>
          <w:trHeight w:val="209"/>
        </w:trPr>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61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 Randall Fowler</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6140" w:type="dxa"/>
            <w:vAlign w:val="bottom"/>
          </w:tcPr>
          <w:p>
            <w:pPr>
              <w:ind w:left="220"/>
              <w:spacing w:after="0"/>
              <w:rPr>
                <w:sz w:val="20"/>
                <w:szCs w:val="20"/>
                <w:color w:val="auto"/>
              </w:rPr>
            </w:pPr>
            <w:r>
              <w:rPr>
                <w:rFonts w:ascii="Arial" w:cs="Arial" w:eastAsia="Arial" w:hAnsi="Arial"/>
                <w:sz w:val="18"/>
                <w:szCs w:val="18"/>
                <w:color w:val="auto"/>
                <w:w w:val="96"/>
              </w:rPr>
              <w:t>Co-Chief Executive Officer and Chief Financial Officer of Enterprise Products</w:t>
            </w:r>
          </w:p>
        </w:tc>
      </w:tr>
      <w:tr>
        <w:trPr>
          <w:trHeight w:val="230"/>
        </w:trPr>
        <w:tc>
          <w:tcPr>
            <w:tcW w:w="700" w:type="dxa"/>
            <w:vAlign w:val="bottom"/>
          </w:tcPr>
          <w:p>
            <w:pPr>
              <w:spacing w:after="0"/>
              <w:rPr>
                <w:sz w:val="20"/>
                <w:szCs w:val="20"/>
                <w:color w:val="auto"/>
              </w:rPr>
            </w:pPr>
          </w:p>
        </w:tc>
        <w:tc>
          <w:tcPr>
            <w:tcW w:w="6140" w:type="dxa"/>
            <w:vAlign w:val="bottom"/>
          </w:tcPr>
          <w:p>
            <w:pPr>
              <w:ind w:left="220"/>
              <w:spacing w:after="0"/>
              <w:rPr>
                <w:sz w:val="20"/>
                <w:szCs w:val="20"/>
                <w:color w:val="auto"/>
              </w:rPr>
            </w:pPr>
            <w:r>
              <w:rPr>
                <w:rFonts w:ascii="Arial" w:cs="Arial" w:eastAsia="Arial" w:hAnsi="Arial"/>
                <w:sz w:val="18"/>
                <w:szCs w:val="18"/>
                <w:color w:val="auto"/>
              </w:rPr>
              <w:t>Holdings LLC, the General Partner of Enterprise Products Partners L.P.</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
      <w:numFmt w:val="bullet"/>
      <w:start w:val="1"/>
    </w:lvl>
  </w:abstractNum>
  <w:abstractNum w:abstractNumId="5">
    <w:nsid w:val="51D9C564"/>
    <w:multiLevelType w:val="hybridMultilevel"/>
    <w:lvl w:ilvl="0">
      <w:lvlJc w:val="left"/>
      <w:lvlText w:val="(%1)"/>
      <w:numFmt w:val="decimal"/>
      <w:start w:val="1"/>
    </w:lvl>
  </w:abstractNum>
  <w:abstractNum w:abstractNumId="6">
    <w:nsid w:val="613EFDC5"/>
    <w:multiLevelType w:val="hybridMultilevel"/>
    <w:lvl w:ilvl="0">
      <w:lvlJc w:val="left"/>
      <w:lvlText w:val="(%1)"/>
      <w:numFmt w:val="decimal"/>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
      <w:numFmt w:val="bullet"/>
      <w:start w:val="1"/>
    </w:lvl>
  </w:abstractNum>
  <w:abstractNum w:abstractNumId="11">
    <w:nsid w:val="8F2B15E"/>
    <w:multiLevelType w:val="hybridMultilevel"/>
    <w:lvl w:ilvl="0">
      <w:lvlJc w:val="left"/>
      <w:lvlText w:val="(%1)"/>
      <w:numFmt w:val="decimal"/>
      <w:start w:val="1"/>
    </w:lvl>
  </w:abstractNum>
  <w:abstractNum w:abstractNumId="12">
    <w:nsid w:val="1A32234B"/>
    <w:multiLevelType w:val="hybridMultilevel"/>
    <w:lvl w:ilvl="0">
      <w:lvlJc w:val="left"/>
      <w:lvlText w:val="•"/>
      <w:numFmt w:val="bullet"/>
      <w:start w:val="1"/>
    </w:lvl>
  </w:abstractNum>
  <w:abstractNum w:abstractNumId="13">
    <w:nsid w:val="3B0FD379"/>
    <w:multiLevelType w:val="hybridMultilevel"/>
    <w:lvl w:ilvl="0">
      <w:lvlJc w:val="left"/>
      <w:lvlText w:val="•"/>
      <w:numFmt w:val="bullet"/>
      <w:start w:val="1"/>
    </w:lvl>
  </w:abstractNum>
  <w:abstractNum w:abstractNumId="14">
    <w:nsid w:val="68EB2F63"/>
    <w:multiLevelType w:val="hybridMultilevel"/>
    <w:lvl w:ilvl="0">
      <w:lvlJc w:val="left"/>
      <w:lvlText w:val="(%1)"/>
      <w:numFmt w:val="decimal"/>
      <w:start w:val="1"/>
    </w:lvl>
  </w:abstractNum>
  <w:abstractNum w:abstractNumId="15">
    <w:nsid w:val="4962813B"/>
    <w:multiLevelType w:val="hybridMultilevel"/>
    <w:lvl w:ilvl="0">
      <w:lvlJc w:val="left"/>
      <w:lvlText w:val="•"/>
      <w:numFmt w:val="bullet"/>
      <w:start w:val="1"/>
    </w:lvl>
  </w:abstractNum>
  <w:abstractNum w:abstractNumId="16">
    <w:nsid w:val="60B6DF70"/>
    <w:multiLevelType w:val="hybridMultilevel"/>
    <w:lvl w:ilvl="0">
      <w:lvlJc w:val="left"/>
      <w:lvlText w:val="•"/>
      <w:numFmt w:val="bullet"/>
      <w:start w:val="1"/>
    </w:lvl>
  </w:abstractNum>
  <w:abstractNum w:abstractNumId="17">
    <w:nsid w:val="6A5EE64"/>
    <w:multiLevelType w:val="hybridMultilevel"/>
    <w:lvl w:ilvl="0">
      <w:lvlJc w:val="left"/>
      <w:lvlText w:val="(%1)"/>
      <w:numFmt w:val="decimal"/>
      <w:start w:val="1"/>
    </w:lvl>
  </w:abstractNum>
  <w:abstractNum w:abstractNumId="18">
    <w:nsid w:val="14330624"/>
    <w:multiLevelType w:val="hybridMultilevel"/>
    <w:lvl w:ilvl="0">
      <w:lvlJc w:val="left"/>
      <w:lvlText w:val="•"/>
      <w:numFmt w:val="bullet"/>
      <w:start w:val="1"/>
    </w:lvl>
  </w:abstractNum>
  <w:abstractNum w:abstractNumId="19">
    <w:nsid w:val="7FFFCA11"/>
    <w:multiLevelType w:val="hybridMultilevel"/>
    <w:lvl w:ilvl="0">
      <w:lvlJc w:val="left"/>
      <w:lvlText w:val="•"/>
      <w:numFmt w:val="bullet"/>
      <w:start w:val="1"/>
    </w:lvl>
  </w:abstractNum>
  <w:abstractNum w:abstractNumId="20">
    <w:nsid w:val="1A27709E"/>
    <w:multiLevelType w:val="hybridMultilevel"/>
    <w:lvl w:ilvl="0">
      <w:lvlJc w:val="left"/>
      <w:lvlText w:val="•"/>
      <w:numFmt w:val="bullet"/>
      <w:start w:val="1"/>
    </w:lvl>
  </w:abstractNum>
  <w:abstractNum w:abstractNumId="21">
    <w:nsid w:val="71EA1109"/>
    <w:multiLevelType w:val="hybridMultilevel"/>
    <w:lvl w:ilvl="0">
      <w:lvlJc w:val="left"/>
      <w:lvlText w:val="(%1)"/>
      <w:numFmt w:val="decimal"/>
      <w:start w:val="1"/>
    </w:lvl>
  </w:abstractNum>
  <w:abstractNum w:abstractNumId="22">
    <w:nsid w:val="100F59DC"/>
    <w:multiLevelType w:val="hybridMultilevel"/>
    <w:lvl w:ilvl="0">
      <w:lvlJc w:val="left"/>
      <w:lvlText w:val="•"/>
      <w:numFmt w:val="bullet"/>
      <w:start w:val="1"/>
    </w:lvl>
  </w:abstractNum>
  <w:abstractNum w:abstractNumId="23">
    <w:nsid w:val="7FB7E0AA"/>
    <w:multiLevelType w:val="hybridMultilevel"/>
    <w:lvl w:ilvl="0">
      <w:lvlJc w:val="left"/>
      <w:lvlText w:val="(%1)"/>
      <w:numFmt w:val="decimal"/>
      <w:start w:val="1"/>
    </w:lvl>
  </w:abstractNum>
  <w:abstractNum w:abstractNumId="24">
    <w:nsid w:val="6EB5BD4"/>
    <w:multiLevelType w:val="hybridMultilevel"/>
    <w:lvl w:ilvl="0">
      <w:lvlJc w:val="left"/>
      <w:lvlText w:val="•"/>
      <w:numFmt w:val="bullet"/>
      <w:start w:val="1"/>
    </w:lvl>
  </w:abstractNum>
  <w:abstractNum w:abstractNumId="25">
    <w:nsid w:val="6F6DD9AC"/>
    <w:multiLevelType w:val="hybridMultilevel"/>
    <w:lvl w:ilvl="0">
      <w:lvlJc w:val="left"/>
      <w:lvlText w:val="•"/>
      <w:numFmt w:val="bullet"/>
      <w:start w:val="1"/>
    </w:lvl>
  </w:abstractNum>
  <w:abstractNum w:abstractNumId="26">
    <w:nsid w:val="94211F2"/>
    <w:multiLevelType w:val="hybridMultilevel"/>
    <w:lvl w:ilvl="0">
      <w:lvlJc w:val="left"/>
      <w:lvlText w:val="•"/>
      <w:numFmt w:val="bullet"/>
      <w:start w:val="1"/>
    </w:lvl>
  </w:abstractNum>
  <w:abstractNum w:abstractNumId="27">
    <w:nsid w:val="885E1B"/>
    <w:multiLevelType w:val="hybridMultilevel"/>
    <w:lvl w:ilvl="0">
      <w:lvlJc w:val="left"/>
      <w:lvlText w:val="•"/>
      <w:numFmt w:val="bullet"/>
      <w:start w:val="1"/>
    </w:lvl>
  </w:abstractNum>
  <w:abstractNum w:abstractNumId="28">
    <w:nsid w:val="76272110"/>
    <w:multiLevelType w:val="hybridMultilevel"/>
    <w:lvl w:ilvl="0">
      <w:lvlJc w:val="left"/>
      <w:lvlText w:val="•"/>
      <w:numFmt w:val="bullet"/>
      <w:start w:val="1"/>
    </w:lvl>
  </w:abstractNum>
  <w:abstractNum w:abstractNumId="29">
    <w:nsid w:val="4C04A8AF"/>
    <w:multiLevelType w:val="hybridMultilevel"/>
    <w:lvl w:ilvl="0">
      <w:lvlJc w:val="left"/>
      <w:lvlText w:val="(%1)"/>
      <w:numFmt w:val="decimal"/>
      <w:start w:val="1"/>
    </w:lvl>
  </w:abstractNum>
  <w:abstractNum w:abstractNumId="30">
    <w:nsid w:val="1716703B"/>
    <w:multiLevelType w:val="hybridMultilevel"/>
    <w:lvl w:ilvl="0">
      <w:lvlJc w:val="left"/>
      <w:lvlText w:val="(%1)"/>
      <w:numFmt w:val="decimal"/>
      <w:start w:val="1"/>
    </w:lvl>
  </w:abstractNum>
  <w:abstractNum w:abstractNumId="31">
    <w:nsid w:val="14E17E33"/>
    <w:multiLevelType w:val="hybridMultilevel"/>
    <w:lvl w:ilvl="0">
      <w:lvlJc w:val="left"/>
      <w:lvlText w:val="•"/>
      <w:numFmt w:val="bullet"/>
      <w:start w:val="1"/>
    </w:lvl>
  </w:abstractNum>
  <w:abstractNum w:abstractNumId="32">
    <w:nsid w:val="3222E7CD"/>
    <w:multiLevelType w:val="hybridMultilevel"/>
    <w:lvl w:ilvl="0">
      <w:lvlJc w:val="left"/>
      <w:lvlText w:val="•"/>
      <w:numFmt w:val="bullet"/>
      <w:start w:val="1"/>
    </w:lvl>
  </w:abstractNum>
  <w:abstractNum w:abstractNumId="33">
    <w:nsid w:val="74DE0EE3"/>
    <w:multiLevelType w:val="hybridMultilevel"/>
    <w:lvl w:ilvl="0">
      <w:lvlJc w:val="left"/>
      <w:lvlText w:val="•"/>
      <w:numFmt w:val="bullet"/>
      <w:start w:val="1"/>
    </w:lvl>
  </w:abstractNum>
  <w:abstractNum w:abstractNumId="34">
    <w:nsid w:val="68EBC550"/>
    <w:multiLevelType w:val="hybridMultilevel"/>
    <w:lvl w:ilvl="0">
      <w:lvlJc w:val="left"/>
      <w:lvlText w:val="•"/>
      <w:numFmt w:val="bullet"/>
      <w:start w:val="1"/>
    </w:lvl>
  </w:abstractNum>
  <w:abstractNum w:abstractNumId="35">
    <w:nsid w:val="2DF6D648"/>
    <w:multiLevelType w:val="hybridMultilevel"/>
    <w:lvl w:ilvl="0">
      <w:lvlJc w:val="left"/>
      <w:lvlText w:val="•"/>
      <w:numFmt w:val="bullet"/>
      <w:start w:val="1"/>
    </w:lvl>
  </w:abstractNum>
  <w:abstractNum w:abstractNumId="36">
    <w:nsid w:val="46B7D447"/>
    <w:multiLevelType w:val="hybridMultilevel"/>
    <w:lvl w:ilvl="0">
      <w:lvlJc w:val="left"/>
      <w:lvlText w:val="•"/>
      <w:numFmt w:val="bullet"/>
      <w:start w:val="1"/>
    </w:lvl>
  </w:abstractNum>
  <w:abstractNum w:abstractNumId="37">
    <w:nsid w:val="4A2AC315"/>
    <w:multiLevelType w:val="hybridMultilevel"/>
    <w:lvl w:ilvl="0">
      <w:lvlJc w:val="left"/>
      <w:lvlText w:val="(%1)"/>
      <w:numFmt w:val="lowerRoman"/>
      <w:start w:val="3"/>
    </w:lvl>
  </w:abstractNum>
  <w:abstractNum w:abstractNumId="38">
    <w:nsid w:val="39EE015C"/>
    <w:multiLevelType w:val="hybridMultilevel"/>
    <w:lvl w:ilvl="0">
      <w:lvlJc w:val="left"/>
      <w:lvlText w:val="•"/>
      <w:numFmt w:val="bullet"/>
      <w:start w:val="1"/>
    </w:lvl>
  </w:abstractNum>
  <w:abstractNum w:abstractNumId="39">
    <w:nsid w:val="57FC4FBB"/>
    <w:multiLevelType w:val="hybridMultilevel"/>
    <w:lvl w:ilvl="0">
      <w:lvlJc w:val="left"/>
      <w:lvlText w:val="•"/>
      <w:numFmt w:val="bullet"/>
      <w:start w:val="1"/>
    </w:lvl>
  </w:abstractNum>
  <w:abstractNum w:abstractNumId="40">
    <w:nsid w:val="CC1016F"/>
    <w:multiLevelType w:val="hybridMultilevel"/>
    <w:lvl w:ilvl="0">
      <w:lvlJc w:val="left"/>
      <w:lvlText w:val="(%1)"/>
      <w:numFmt w:val="lowerRoman"/>
      <w:start w:val="3"/>
    </w:lvl>
  </w:abstractNum>
  <w:abstractNum w:abstractNumId="41">
    <w:nsid w:val="43F18422"/>
    <w:multiLevelType w:val="hybridMultilevel"/>
    <w:lvl w:ilvl="0">
      <w:lvlJc w:val="left"/>
      <w:lvlText w:val="(%1)"/>
      <w:numFmt w:val="decimal"/>
      <w:start w:val="1"/>
    </w:lvl>
  </w:abstractNum>
  <w:abstractNum w:abstractNumId="42">
    <w:nsid w:val="60EF0119"/>
    <w:multiLevelType w:val="hybridMultilevel"/>
    <w:lvl w:ilvl="0">
      <w:lvlJc w:val="left"/>
      <w:lvlText w:val="•"/>
      <w:numFmt w:val="bullet"/>
      <w:start w:val="1"/>
    </w:lvl>
  </w:abstractNum>
  <w:abstractNum w:abstractNumId="43">
    <w:nsid w:val="26F324BA"/>
    <w:multiLevelType w:val="hybridMultilevel"/>
    <w:lvl w:ilvl="0">
      <w:lvlJc w:val="left"/>
      <w:lvlText w:val="•"/>
      <w:numFmt w:val="bullet"/>
      <w:start w:val="1"/>
    </w:lvl>
  </w:abstractNum>
  <w:abstractNum w:abstractNumId="44">
    <w:nsid w:val="7F01579B"/>
    <w:multiLevelType w:val="hybridMultilevel"/>
    <w:lvl w:ilvl="0">
      <w:lvlJc w:val="left"/>
      <w:lvlText w:val="•"/>
      <w:numFmt w:val="bullet"/>
      <w:start w:val="1"/>
    </w:lvl>
  </w:abstractNum>
  <w:abstractNum w:abstractNumId="45">
    <w:nsid w:val="49DA307D"/>
    <w:multiLevelType w:val="hybridMultilevel"/>
    <w:lvl w:ilvl="0">
      <w:lvlJc w:val="left"/>
      <w:lvlText w:val="(%1)"/>
      <w:numFmt w:val="decimal"/>
      <w:start w:val="1"/>
    </w:lvl>
  </w:abstractNum>
  <w:abstractNum w:abstractNumId="46">
    <w:nsid w:val="7055A5F5"/>
    <w:multiLevelType w:val="hybridMultilevel"/>
    <w:lvl w:ilvl="0">
      <w:lvlJc w:val="left"/>
      <w:lvlText w:val="(%1)"/>
      <w:numFmt w:val="decimal"/>
      <w:start w:val="1"/>
    </w:lvl>
  </w:abstractNum>
  <w:abstractNum w:abstractNumId="47">
    <w:nsid w:val="5FB8370B"/>
    <w:multiLevelType w:val="hybridMultilevel"/>
    <w:lvl w:ilvl="0">
      <w:lvlJc w:val="left"/>
      <w:lvlText w:val="(%1)"/>
      <w:numFmt w:val="decimal"/>
      <w:start w:val="1"/>
    </w:lvl>
  </w:abstractNum>
  <w:abstractNum w:abstractNumId="48">
    <w:nsid w:val="50801EE1"/>
    <w:multiLevelType w:val="hybridMultilevel"/>
    <w:lvl w:ilvl="0">
      <w:lvlJc w:val="left"/>
      <w:lvlText w:val="(%1)"/>
      <w:numFmt w:val="decimal"/>
      <w:start w:val="1"/>
    </w:lvl>
  </w:abstractNum>
  <w:abstractNum w:abstractNumId="49">
    <w:nsid w:val="488AC1A"/>
    <w:multiLevelType w:val="hybridMultilevel"/>
    <w:lvl w:ilvl="0">
      <w:lvlJc w:val="left"/>
      <w:lvlText w:val="(%1)"/>
      <w:numFmt w:val="decimal"/>
      <w:start w:val="1"/>
    </w:lvl>
  </w:abstractNum>
  <w:abstractNum w:abstractNumId="50">
    <w:nsid w:val="5FB8011C"/>
    <w:multiLevelType w:val="hybridMultilevel"/>
    <w:lvl w:ilvl="0">
      <w:lvlJc w:val="left"/>
      <w:lvlText w:val="(%1)"/>
      <w:numFmt w:val="decimal"/>
      <w:start w:val="1"/>
    </w:lvl>
  </w:abstractNum>
  <w:abstractNum w:abstractNumId="51">
    <w:nsid w:val="6AA78F7F"/>
    <w:multiLevelType w:val="hybridMultilevel"/>
    <w:lvl w:ilvl="0">
      <w:lvlJc w:val="left"/>
      <w:lvlText w:val="•"/>
      <w:numFmt w:val="bullet"/>
      <w:start w:val="1"/>
    </w:lvl>
  </w:abstractNum>
  <w:abstractNum w:abstractNumId="52">
    <w:nsid w:val="7672BD23"/>
    <w:multiLevelType w:val="hybridMultilevel"/>
    <w:lvl w:ilvl="0">
      <w:lvlJc w:val="left"/>
      <w:lvlText w:val="•"/>
      <w:numFmt w:val="bullet"/>
      <w:start w:val="1"/>
    </w:lvl>
  </w:abstractNum>
  <w:abstractNum w:abstractNumId="53">
    <w:nsid w:val="6FC75AF8"/>
    <w:multiLevelType w:val="hybridMultilevel"/>
    <w:lvl w:ilvl="0">
      <w:lvlJc w:val="left"/>
      <w:lvlText w:val="•"/>
      <w:numFmt w:val="bullet"/>
      <w:start w:val="1"/>
    </w:lvl>
  </w:abstractNum>
  <w:abstractNum w:abstractNumId="54">
    <w:nsid w:val="6A5F7029"/>
    <w:multiLevelType w:val="hybridMultilevel"/>
    <w:lvl w:ilvl="0">
      <w:lvlJc w:val="left"/>
      <w:lvlText w:val="(%1)"/>
      <w:numFmt w:val="decimal"/>
      <w:start w:val="1"/>
    </w:lvl>
  </w:abstractNum>
  <w:abstractNum w:abstractNumId="55">
    <w:nsid w:val="7D5E18F8"/>
    <w:multiLevelType w:val="hybridMultilevel"/>
    <w:lvl w:ilvl="0">
      <w:lvlJc w:val="left"/>
      <w:lvlText w:val="•"/>
      <w:numFmt w:val="bullet"/>
      <w:start w:val="1"/>
    </w:lvl>
  </w:abstractNum>
  <w:abstractNum w:abstractNumId="56">
    <w:nsid w:val="5F3534A4"/>
    <w:multiLevelType w:val="hybridMultilevel"/>
    <w:lvl w:ilvl="0">
      <w:lvlJc w:val="left"/>
      <w:lvlText w:val="•"/>
      <w:numFmt w:val="bullet"/>
      <w:start w:val="1"/>
    </w:lvl>
  </w:abstractNum>
  <w:abstractNum w:abstractNumId="57">
    <w:nsid w:val="73A1821B"/>
    <w:multiLevelType w:val="hybridMultilevel"/>
    <w:lvl w:ilvl="0">
      <w:lvlJc w:val="left"/>
      <w:lvlText w:val="(%1)"/>
      <w:numFmt w:val="decimal"/>
      <w:start w:val="1"/>
    </w:lvl>
  </w:abstractNum>
  <w:abstractNum w:abstractNumId="58">
    <w:nsid w:val="7DE67713"/>
    <w:multiLevelType w:val="hybridMultilevel"/>
    <w:lvl w:ilvl="0">
      <w:lvlJc w:val="left"/>
      <w:lvlText w:val="(%1)"/>
      <w:numFmt w:val="lowerRoman"/>
      <w:start w:val="2"/>
    </w:lvl>
  </w:abstractNum>
  <w:abstractNum w:abstractNumId="59">
    <w:nsid w:val="555C55B5"/>
    <w:multiLevelType w:val="hybridMultilevel"/>
    <w:lvl w:ilvl="0">
      <w:lvlJc w:val="left"/>
      <w:lvlText w:val="(%1)"/>
      <w:numFmt w:val="decimal"/>
      <w:start w:val="1"/>
    </w:lvl>
  </w:abstractNum>
  <w:abstractNum w:abstractNumId="60">
    <w:nsid w:val="3FA62ACA"/>
    <w:multiLevelType w:val="hybridMultilevel"/>
    <w:lvl w:ilvl="0">
      <w:lvlJc w:val="left"/>
      <w:lvlText w:val="•"/>
      <w:numFmt w:val="bullet"/>
      <w:start w:val="1"/>
    </w:lvl>
  </w:abstractNum>
  <w:abstractNum w:abstractNumId="61">
    <w:nsid w:val="14FCE74E"/>
    <w:multiLevelType w:val="hybridMultilevel"/>
    <w:lvl w:ilvl="0">
      <w:lvlJc w:val="left"/>
      <w:lvlText w:val="(%1)"/>
      <w:numFmt w:val="decimal"/>
      <w:start w:val="1"/>
    </w:lvl>
  </w:abstractNum>
  <w:abstractNum w:abstractNumId="62">
    <w:nsid w:val="6A3DD3E8"/>
    <w:multiLevelType w:val="hybridMultilevel"/>
    <w:lvl w:ilvl="0">
      <w:lvlJc w:val="left"/>
      <w:lvlText w:val="(%1)"/>
      <w:numFmt w:val="decimal"/>
      <w:start w:val="1"/>
    </w:lvl>
  </w:abstractNum>
  <w:abstractNum w:abstractNumId="63">
    <w:nsid w:val="71C91298"/>
    <w:multiLevelType w:val="hybridMultilevel"/>
    <w:lvl w:ilvl="0">
      <w:lvlJc w:val="left"/>
      <w:lvlText w:val="(%1)"/>
      <w:numFmt w:val="lowerRoman"/>
      <w:start w:val="1"/>
    </w:lvl>
  </w:abstractNum>
  <w:abstractNum w:abstractNumId="64">
    <w:nsid w:val="9DAF632"/>
    <w:multiLevelType w:val="hybridMultilevel"/>
    <w:lvl w:ilvl="0">
      <w:lvlJc w:val="left"/>
      <w:lvlText w:val="•"/>
      <w:numFmt w:val="bullet"/>
      <w:start w:val="1"/>
    </w:lvl>
  </w:abstractNum>
  <w:abstractNum w:abstractNumId="65">
    <w:nsid w:val="53299938"/>
    <w:multiLevelType w:val="hybridMultilevel"/>
    <w:lvl w:ilvl="0">
      <w:lvlJc w:val="left"/>
      <w:lvlText w:val="(%1)"/>
      <w:numFmt w:val="decimal"/>
      <w:start w:val="1"/>
    </w:lvl>
  </w:abstractNum>
  <w:abstractNum w:abstractNumId="66">
    <w:nsid w:val="1FBFE8E0"/>
    <w:multiLevelType w:val="hybridMultilevel"/>
    <w:lvl w:ilvl="0">
      <w:lvlJc w:val="left"/>
      <w:lvlText w:val="•"/>
      <w:numFmt w:val="bullet"/>
      <w:start w:val="1"/>
    </w:lvl>
  </w:abstractNum>
  <w:abstractNum w:abstractNumId="67">
    <w:nsid w:val="5092CA79"/>
    <w:multiLevelType w:val="hybridMultilevel"/>
    <w:lvl w:ilvl="0">
      <w:lvlJc w:val="left"/>
      <w:lvlText w:val="•"/>
      <w:numFmt w:val="bullet"/>
      <w:start w:val="1"/>
    </w:lvl>
  </w:abstractNum>
  <w:abstractNum w:abstractNumId="68">
    <w:nsid w:val="1D545C4D"/>
    <w:multiLevelType w:val="hybridMultilevel"/>
    <w:lvl w:ilvl="0">
      <w:lvlJc w:val="left"/>
      <w:lvlText w:val="(%1)"/>
      <w:numFmt w:val="decimal"/>
      <w:start w:val="1"/>
    </w:lvl>
  </w:abstractNum>
  <w:abstractNum w:abstractNumId="69">
    <w:nsid w:val="59ADEA3D"/>
    <w:multiLevelType w:val="hybridMultilevel"/>
    <w:lvl w:ilvl="0">
      <w:lvlJc w:val="left"/>
      <w:lvlText w:val="(%1)"/>
      <w:numFmt w:val="decimal"/>
      <w:start w:val="1"/>
    </w:lvl>
  </w:abstractNum>
  <w:abstractNum w:abstractNumId="70">
    <w:nsid w:val="288F1A34"/>
    <w:multiLevelType w:val="hybridMultilevel"/>
    <w:lvl w:ilvl="0">
      <w:lvlJc w:val="left"/>
      <w:lvlText w:val="(%1)"/>
      <w:numFmt w:val="decimal"/>
      <w:start w:val="1"/>
    </w:lvl>
  </w:abstractNum>
  <w:abstractNum w:abstractNumId="71">
    <w:nsid w:val="2A155DBC"/>
    <w:multiLevelType w:val="hybridMultilevel"/>
    <w:lvl w:ilvl="0">
      <w:lvlJc w:val="left"/>
      <w:lvlText w:val="(%1)"/>
      <w:numFmt w:val="decimal"/>
      <w:start w:val="1"/>
    </w:lvl>
  </w:abstractNum>
  <w:abstractNum w:abstractNumId="72">
    <w:nsid w:val="1D9F6E5F"/>
    <w:multiLevelType w:val="hybridMultilevel"/>
    <w:lvl w:ilvl="0">
      <w:lvlJc w:val="left"/>
      <w:lvlText w:val="(%1)"/>
      <w:numFmt w:val="decimal"/>
      <w:start w:val="1"/>
    </w:lvl>
  </w:abstractNum>
  <w:abstractNum w:abstractNumId="73">
    <w:nsid w:val="97E1B4E"/>
    <w:multiLevelType w:val="hybridMultilevel"/>
    <w:lvl w:ilvl="0">
      <w:lvlJc w:val="left"/>
      <w:lvlText w:val="•"/>
      <w:numFmt w:val="bullet"/>
      <w:start w:val="1"/>
    </w:lvl>
  </w:abstractNum>
  <w:abstractNum w:abstractNumId="74">
    <w:nsid w:val="51088277"/>
    <w:multiLevelType w:val="hybridMultilevel"/>
    <w:lvl w:ilvl="0">
      <w:lvlJc w:val="left"/>
      <w:lvlText w:val="•"/>
      <w:numFmt w:val="bullet"/>
      <w:start w:val="1"/>
    </w:lvl>
  </w:abstractNum>
  <w:abstractNum w:abstractNumId="75">
    <w:nsid w:val="1CA0C5FA"/>
    <w:multiLevelType w:val="hybridMultilevel"/>
    <w:lvl w:ilvl="0">
      <w:lvlJc w:val="left"/>
      <w:lvlText w:val="(%1)"/>
      <w:numFmt w:val="decimal"/>
      <w:start w:val="1"/>
    </w:lvl>
  </w:abstractNum>
  <w:abstractNum w:abstractNumId="76">
    <w:nsid w:val="53584BCB"/>
    <w:multiLevelType w:val="hybridMultilevel"/>
    <w:lvl w:ilvl="0">
      <w:lvlJc w:val="left"/>
      <w:lvlText w:val="(%1)"/>
      <w:numFmt w:val="decimal"/>
      <w:start w:val="1"/>
    </w:lvl>
  </w:abstractNum>
  <w:abstractNum w:abstractNumId="77">
    <w:nsid w:val="415E286C"/>
    <w:multiLevelType w:val="hybridMultilevel"/>
    <w:lvl w:ilvl="0">
      <w:lvlJc w:val="left"/>
      <w:lvlText w:val="(%1)"/>
      <w:numFmt w:val="decimal"/>
      <w:start w:val="1"/>
    </w:lvl>
  </w:abstractNum>
  <w:abstractNum w:abstractNumId="78">
    <w:nsid w:val="7C58FD05"/>
    <w:multiLevelType w:val="hybridMultilevel"/>
    <w:lvl w:ilvl="0">
      <w:lvlJc w:val="left"/>
      <w:lvlText w:val="(%1)"/>
      <w:numFmt w:val="decimal"/>
      <w:start w:val="1"/>
    </w:lvl>
  </w:abstractNum>
  <w:abstractNum w:abstractNumId="79">
    <w:nsid w:val="23D86AAC"/>
    <w:multiLevelType w:val="hybridMultilevel"/>
    <w:lvl w:ilvl="0">
      <w:lvlJc w:val="left"/>
      <w:lvlText w:val="•"/>
      <w:numFmt w:val="bullet"/>
      <w:start w:val="1"/>
    </w:lvl>
  </w:abstractNum>
  <w:abstractNum w:abstractNumId="80">
    <w:nsid w:val="45E6D486"/>
    <w:multiLevelType w:val="hybridMultilevel"/>
    <w:lvl w:ilvl="0">
      <w:lvlJc w:val="left"/>
      <w:lvlText w:val="(%1)"/>
      <w:numFmt w:val="decimal"/>
      <w:start w:val="1"/>
    </w:lvl>
  </w:abstractNum>
  <w:abstractNum w:abstractNumId="81">
    <w:nsid w:val="5C10FE21"/>
    <w:multiLevelType w:val="hybridMultilevel"/>
    <w:lvl w:ilvl="0">
      <w:lvlJc w:val="left"/>
      <w:lvlText w:val="•"/>
      <w:numFmt w:val="bullet"/>
      <w:start w:val="1"/>
    </w:lvl>
  </w:abstractNum>
  <w:abstractNum w:abstractNumId="82">
    <w:nsid w:val="E7FFA2B"/>
    <w:multiLevelType w:val="hybridMultilevel"/>
    <w:lvl w:ilvl="0">
      <w:lvlJc w:val="left"/>
      <w:lvlText w:val="•"/>
      <w:numFmt w:val="bullet"/>
      <w:start w:val="1"/>
    </w:lvl>
  </w:abstractNum>
  <w:abstractNum w:abstractNumId="83">
    <w:nsid w:val="3C5991AA"/>
    <w:multiLevelType w:val="hybridMultilevel"/>
    <w:lvl w:ilvl="0">
      <w:lvlJc w:val="left"/>
      <w:lvlText w:val="•"/>
      <w:numFmt w:val="bullet"/>
      <w:start w:val="1"/>
    </w:lvl>
  </w:abstractNum>
  <w:abstractNum w:abstractNumId="84">
    <w:nsid w:val="4BD8591A"/>
    <w:multiLevelType w:val="hybridMultilevel"/>
    <w:lvl w:ilvl="0">
      <w:lvlJc w:val="left"/>
      <w:lvlText w:val="•"/>
      <w:numFmt w:val="bullet"/>
      <w:start w:val="1"/>
    </w:lvl>
  </w:abstractNum>
  <w:abstractNum w:abstractNumId="85">
    <w:nsid w:val="78DF6A55"/>
    <w:multiLevelType w:val="hybridMultilevel"/>
    <w:lvl w:ilvl="0">
      <w:lvlJc w:val="left"/>
      <w:lvlText w:val="(%1)"/>
      <w:numFmt w:val="decimal"/>
      <w:start w:val="1"/>
    </w:lvl>
  </w:abstractNum>
  <w:abstractNum w:abstractNumId="86">
    <w:nsid w:val="39B7AAA2"/>
    <w:multiLevelType w:val="hybridMultilevel"/>
    <w:lvl w:ilvl="0">
      <w:lvlJc w:val="left"/>
      <w:lvlText w:val="&amp;"/>
      <w:numFmt w:val="bullet"/>
      <w:start w:val="1"/>
    </w:lvl>
  </w:abstractNum>
  <w:abstractNum w:abstractNumId="87">
    <w:nsid w:val="2B0D8DBE"/>
    <w:multiLevelType w:val="hybridMultilevel"/>
    <w:lvl w:ilvl="0">
      <w:lvlJc w:val="left"/>
      <w:lvlText w:val="(%1)"/>
      <w:numFmt w:val="decimal"/>
      <w:start w:val="1"/>
    </w:lvl>
  </w:abstractNum>
  <w:abstractNum w:abstractNumId="88">
    <w:nsid w:val="6C80EC70"/>
    <w:multiLevelType w:val="hybridMultilevel"/>
    <w:lvl w:ilvl="0">
      <w:lvlJc w:val="left"/>
      <w:lvlText w:val="***"/>
      <w:numFmt w:val="bullet"/>
      <w:start w:val="1"/>
    </w:lvl>
  </w:abstractNum>
  <w:abstractNum w:abstractNumId="89">
    <w:nsid w:val="379E21B5"/>
    <w:multiLevelType w:val="hybridMultilevel"/>
    <w:lvl w:ilvl="0">
      <w:lvlJc w:val="left"/>
      <w:lvlText w:val="•"/>
      <w:numFmt w:val="bullet"/>
      <w:start w:val="1"/>
    </w:lvl>
    <w:lvl w:ilvl="1">
      <w:lvlJc w:val="left"/>
      <w:lvlText w:val="-"/>
      <w:numFmt w:val="bullet"/>
      <w:start w:val="1"/>
    </w:lvl>
  </w:abstractNum>
  <w:abstractNum w:abstractNumId="90">
    <w:nsid w:val="69E373"/>
    <w:multiLevelType w:val="hybridMultilevel"/>
    <w:lvl w:ilvl="0">
      <w:lvlJc w:val="left"/>
      <w:lvlText w:val="•"/>
      <w:numFmt w:val="bullet"/>
      <w:start w:val="1"/>
    </w:lvl>
  </w:abstractNum>
  <w:abstractNum w:abstractNumId="91">
    <w:nsid w:val="2C27173B"/>
    <w:multiLevelType w:val="hybridMultilevel"/>
    <w:lvl w:ilvl="0">
      <w:lvlJc w:val="left"/>
      <w:lvlText w:val="•"/>
      <w:numFmt w:val="bullet"/>
      <w:start w:val="1"/>
    </w:lvl>
  </w:abstractNum>
  <w:abstractNum w:abstractNumId="92">
    <w:nsid w:val="4C9B0904"/>
    <w:multiLevelType w:val="hybridMultilevel"/>
    <w:lvl w:ilvl="0">
      <w:lvlJc w:val="left"/>
      <w:lvlText w:val="•"/>
      <w:numFmt w:val="bullet"/>
      <w:start w:val="1"/>
    </w:lvl>
  </w:abstractNum>
  <w:abstractNum w:abstractNumId="93">
    <w:nsid w:val="6AA7B75C"/>
    <w:multiLevelType w:val="hybridMultilevel"/>
    <w:lvl w:ilvl="0">
      <w:lvlJc w:val="left"/>
      <w:lvlText w:val="•"/>
      <w:numFmt w:val="bullet"/>
      <w:start w:val="1"/>
    </w:lvl>
  </w:abstractNum>
  <w:abstractNum w:abstractNumId="94">
    <w:nsid w:val="1DF029D3"/>
    <w:multiLevelType w:val="hybridMultilevel"/>
    <w:lvl w:ilvl="0">
      <w:lvlJc w:val="left"/>
      <w:lvlText w:val="(%1)"/>
      <w:numFmt w:val="decimal"/>
      <w:start w:val="1"/>
    </w:lvl>
  </w:abstractNum>
  <w:abstractNum w:abstractNumId="95">
    <w:nsid w:val="5675FF36"/>
    <w:multiLevelType w:val="hybridMultilevel"/>
    <w:lvl w:ilvl="0">
      <w:lvlJc w:val="left"/>
      <w:lvlText w:val="(%1)"/>
      <w:numFmt w:val="decimal"/>
      <w:start w:val="1"/>
    </w:lvl>
  </w:abstractNum>
  <w:abstractNum w:abstractNumId="96">
    <w:nsid w:val="3DD15094"/>
    <w:multiLevelType w:val="hybridMultilevel"/>
    <w:lvl w:ilvl="0">
      <w:lvlJc w:val="left"/>
      <w:lvlText w:val="(%1)"/>
      <w:numFmt w:val="decimal"/>
      <w:start w:val="1"/>
    </w:lvl>
  </w:abstractNum>
  <w:abstractNum w:abstractNumId="97">
    <w:nsid w:val="3DB012B3"/>
    <w:multiLevelType w:val="hybridMultilevel"/>
    <w:lvl w:ilvl="0">
      <w:lvlJc w:val="left"/>
      <w:lvlText w:val="•"/>
      <w:numFmt w:val="bullet"/>
      <w:start w:val="1"/>
    </w:lvl>
  </w:abstractNum>
  <w:abstractNum w:abstractNumId="98">
    <w:nsid w:val="2708C9AF"/>
    <w:multiLevelType w:val="hybridMultilevel"/>
    <w:lvl w:ilvl="0">
      <w:lvlJc w:val="left"/>
      <w:lvlText w:val="•"/>
      <w:numFmt w:val="bullet"/>
      <w:start w:val="1"/>
    </w:lvl>
  </w:abstractNum>
  <w:abstractNum w:abstractNumId="99">
    <w:nsid w:val="5B25ACE2"/>
    <w:multiLevelType w:val="hybridMultilevel"/>
    <w:lvl w:ilvl="0">
      <w:lvlJc w:val="left"/>
      <w:lvlText w:val="•"/>
      <w:numFmt w:val="bullet"/>
      <w:start w:val="1"/>
    </w:lvl>
  </w:abstractNum>
  <w:abstractNum w:abstractNumId="100">
    <w:nsid w:val="175DFCF0"/>
    <w:multiLevelType w:val="hybridMultilevel"/>
    <w:lvl w:ilvl="0">
      <w:lvlJc w:val="left"/>
      <w:lvlText w:val="•"/>
      <w:numFmt w:val="bullet"/>
      <w:start w:val="1"/>
    </w:lvl>
  </w:abstractNum>
  <w:abstractNum w:abstractNumId="101">
    <w:nsid w:val="4F97E3E4"/>
    <w:multiLevelType w:val="hybridMultilevel"/>
    <w:lvl w:ilvl="0">
      <w:lvlJc w:val="left"/>
      <w:lvlText w:val="(%1)"/>
      <w:numFmt w:val="decimal"/>
      <w:start w:val="1"/>
    </w:lvl>
  </w:abstractNum>
  <w:abstractNum w:abstractNumId="102">
    <w:nsid w:val="53B0A9E"/>
    <w:multiLevelType w:val="hybridMultilevel"/>
    <w:lvl w:ilvl="0">
      <w:lvlJc w:val="left"/>
      <w:lvlText w:val="•"/>
      <w:numFmt w:val="bullet"/>
      <w:start w:val="1"/>
    </w:lvl>
  </w:abstractNum>
  <w:abstractNum w:abstractNumId="103">
    <w:nsid w:val="34FD6B4F"/>
    <w:multiLevelType w:val="hybridMultilevel"/>
    <w:lvl w:ilvl="0">
      <w:lvlJc w:val="left"/>
      <w:lvlText w:val="•"/>
      <w:numFmt w:val="bullet"/>
      <w:start w:val="1"/>
    </w:lvl>
  </w:abstractNum>
  <w:abstractNum w:abstractNumId="104">
    <w:nsid w:val="5915FF32"/>
    <w:multiLevelType w:val="hybridMultilevel"/>
    <w:lvl w:ilvl="0">
      <w:lvlJc w:val="left"/>
      <w:lvlText w:val="•"/>
      <w:numFmt w:val="bullet"/>
      <w:start w:val="1"/>
    </w:lvl>
  </w:abstractNum>
  <w:abstractNum w:abstractNumId="105">
    <w:nsid w:val="56438D15"/>
    <w:multiLevelType w:val="hybridMultilevel"/>
    <w:lvl w:ilvl="0">
      <w:lvlJc w:val="left"/>
      <w:lvlText w:val="(%1)"/>
      <w:numFmt w:val="decimal"/>
      <w:start w:val="1"/>
    </w:lvl>
  </w:abstractNum>
  <w:abstractNum w:abstractNumId="106">
    <w:nsid w:val="519E3149"/>
    <w:multiLevelType w:val="hybridMultilevel"/>
    <w:lvl w:ilvl="0">
      <w:lvlJc w:val="left"/>
      <w:lvlText w:val="(%1)"/>
      <w:numFmt w:val="decimal"/>
      <w:start w:val="1"/>
    </w:lvl>
  </w:abstractNum>
  <w:abstractNum w:abstractNumId="107">
    <w:nsid w:val="2C6E4AFD"/>
    <w:multiLevelType w:val="hybridMultilevel"/>
    <w:lvl w:ilvl="0">
      <w:lvlJc w:val="left"/>
      <w:lvlText w:val="•"/>
      <w:numFmt w:val="bullet"/>
      <w:start w:val="1"/>
    </w:lvl>
  </w:abstractNum>
  <w:abstractNum w:abstractNumId="108">
    <w:nsid w:val="17A1B582"/>
    <w:multiLevelType w:val="hybridMultilevel"/>
    <w:lvl w:ilvl="0">
      <w:lvlJc w:val="left"/>
      <w:lvlText w:val="(%1)"/>
      <w:numFmt w:val="decimal"/>
      <w:start w:val="1"/>
    </w:lvl>
  </w:abstractNum>
  <w:abstractNum w:abstractNumId="109">
    <w:nsid w:val="4DF72E4E"/>
    <w:multiLevelType w:val="hybridMultilevel"/>
    <w:lvl w:ilvl="0">
      <w:lvlJc w:val="left"/>
      <w:lvlText w:val="(%1)"/>
      <w:numFmt w:val="decimal"/>
      <w:start w:val="1"/>
    </w:lvl>
  </w:abstractNum>
  <w:abstractNum w:abstractNumId="110">
    <w:nsid w:val="5046B5A9"/>
    <w:multiLevelType w:val="hybridMultilevel"/>
    <w:lvl w:ilvl="0">
      <w:lvlJc w:val="left"/>
      <w:lvlText w:val="(%1)"/>
      <w:numFmt w:val="decimal"/>
      <w:start w:val="1"/>
    </w:lvl>
  </w:abstractNum>
  <w:abstractNum w:abstractNumId="111">
    <w:nsid w:val="5D888A08"/>
    <w:multiLevelType w:val="hybridMultilevel"/>
    <w:lvl w:ilvl="0">
      <w:lvlJc w:val="left"/>
      <w:lvlText w:val="$"/>
      <w:numFmt w:val="bullet"/>
      <w:start w:val="1"/>
    </w:lvl>
  </w:abstractNum>
  <w:abstractNum w:abstractNumId="112">
    <w:nsid w:val="2A082C70"/>
    <w:multiLevelType w:val="hybridMultilevel"/>
    <w:lvl w:ilvl="0">
      <w:lvlJc w:val="left"/>
      <w:lvlText w:val="$"/>
      <w:numFmt w:val="bullet"/>
      <w:start w:val="1"/>
    </w:lvl>
  </w:abstractNum>
  <w:abstractNum w:abstractNumId="113">
    <w:nsid w:val="5EC6AFD4"/>
    <w:multiLevelType w:val="hybridMultilevel"/>
    <w:lvl w:ilvl="0">
      <w:lvlJc w:val="left"/>
      <w:lvlText w:val="$"/>
      <w:numFmt w:val="bullet"/>
      <w:start w:val="1"/>
    </w:lvl>
  </w:abstractNum>
  <w:abstractNum w:abstractNumId="114">
    <w:nsid w:val="19E21BB2"/>
    <w:multiLevelType w:val="hybridMultilevel"/>
    <w:lvl w:ilvl="0">
      <w:lvlJc w:val="left"/>
      <w:lvlText w:val="$"/>
      <w:numFmt w:val="bullet"/>
      <w:start w:val="1"/>
    </w:lvl>
  </w:abstractNum>
  <w:abstractNum w:abstractNumId="115">
    <w:nsid w:val="75E0858A"/>
    <w:multiLevelType w:val="hybridMultilevel"/>
    <w:lvl w:ilvl="0">
      <w:lvlJc w:val="left"/>
      <w:lvlText w:val="(%1)"/>
      <w:numFmt w:val="decimal"/>
      <w:start w:val="1"/>
    </w:lvl>
  </w:abstractNum>
  <w:abstractNum w:abstractNumId="116">
    <w:nsid w:val="57A61A29"/>
    <w:multiLevelType w:val="hybridMultilevel"/>
    <w:lvl w:ilvl="0">
      <w:lvlJc w:val="left"/>
      <w:lvlText w:val="(%1)"/>
      <w:numFmt w:val="decimal"/>
      <w:start w:val="1"/>
    </w:lvl>
  </w:abstractNum>
  <w:abstractNum w:abstractNumId="117">
    <w:nsid w:val="5399C654"/>
    <w:multiLevelType w:val="hybridMultilevel"/>
    <w:lvl w:ilvl="0">
      <w:lvlJc w:val="left"/>
      <w:lvlText w:val="(%1)"/>
      <w:numFmt w:val="decimal"/>
      <w:start w:val="1"/>
    </w:lvl>
  </w:abstractNum>
  <w:abstractNum w:abstractNumId="118">
    <w:nsid w:val="20EE1348"/>
    <w:multiLevelType w:val="hybridMultilevel"/>
    <w:lvl w:ilvl="0">
      <w:lvlJc w:val="left"/>
      <w:lvlText w:val="•"/>
      <w:numFmt w:val="bullet"/>
      <w:start w:val="1"/>
    </w:lvl>
  </w:abstractNum>
  <w:abstractNum w:abstractNumId="119">
    <w:nsid w:val="4427069A"/>
    <w:multiLevelType w:val="hybridMultilevel"/>
    <w:lvl w:ilvl="0">
      <w:lvlJc w:val="left"/>
      <w:lvlText w:val="(%1)"/>
      <w:numFmt w:val="decimal"/>
      <w:start w:val="1"/>
    </w:lvl>
  </w:abstractNum>
  <w:abstractNum w:abstractNumId="120">
    <w:nsid w:val="B37E80A"/>
    <w:multiLevelType w:val="hybridMultilevel"/>
    <w:lvl w:ilvl="0">
      <w:lvlJc w:val="left"/>
      <w:lvlText w:val="(%1)"/>
      <w:numFmt w:val="decimal"/>
      <w:start w:val="1"/>
    </w:lvl>
  </w:abstractNum>
  <w:abstractNum w:abstractNumId="121">
    <w:nsid w:val="2157F6BC"/>
    <w:multiLevelType w:val="hybridMultilevel"/>
    <w:lvl w:ilvl="0">
      <w:lvlJc w:val="left"/>
      <w:lvlText w:val="(%1)"/>
      <w:numFmt w:val="lowerRoman"/>
      <w:start w:val="2"/>
    </w:lvl>
  </w:abstractNum>
  <w:abstractNum w:abstractNumId="122">
    <w:nsid w:val="704E1DD5"/>
    <w:multiLevelType w:val="hybridMultilevel"/>
    <w:lvl w:ilvl="0">
      <w:lvlJc w:val="left"/>
      <w:lvlText w:val="(%1)"/>
      <w:numFmt w:val="decimal"/>
      <w:start w:val="1"/>
    </w:lvl>
  </w:abstractNum>
  <w:abstractNum w:abstractNumId="123">
    <w:nsid w:val="57D2F10E"/>
    <w:multiLevelType w:val="hybridMultilevel"/>
    <w:lvl w:ilvl="0">
      <w:lvlJc w:val="left"/>
      <w:lvlText w:val="•"/>
      <w:numFmt w:val="bullet"/>
      <w:start w:val="1"/>
    </w:lvl>
  </w:abstractNum>
  <w:abstractNum w:abstractNumId="124">
    <w:nsid w:val="BFFAE18"/>
    <w:multiLevelType w:val="hybridMultilevel"/>
    <w:lvl w:ilvl="0">
      <w:lvlJc w:val="left"/>
      <w:lvlText w:val="(%1)"/>
      <w:numFmt w:val="decimal"/>
      <w:start w:val="1"/>
    </w:lvl>
  </w:abstractNum>
  <w:abstractNum w:abstractNumId="125">
    <w:nsid w:val="E3E47A8"/>
    <w:multiLevelType w:val="hybridMultilevel"/>
    <w:lvl w:ilvl="0">
      <w:lvlJc w:val="left"/>
      <w:lvlText w:val="(%1)"/>
      <w:numFmt w:val="decimal"/>
      <w:start w:val="1"/>
    </w:lvl>
  </w:abstractNum>
  <w:abstractNum w:abstractNumId="126">
    <w:nsid w:val="2E48F044"/>
    <w:multiLevelType w:val="hybridMultilevel"/>
    <w:lvl w:ilvl="0">
      <w:lvlJc w:val="left"/>
      <w:lvlText w:val="(%1)"/>
      <w:numFmt w:val="lowerRoman"/>
      <w:start w:val="3"/>
    </w:lvl>
  </w:abstractNum>
  <w:abstractNum w:abstractNumId="127">
    <w:nsid w:val="49D0FEAC"/>
    <w:multiLevelType w:val="hybridMultilevel"/>
    <w:lvl w:ilvl="0">
      <w:lvlJc w:val="left"/>
      <w:lvlText w:val="(%1)"/>
      <w:numFmt w:val="decimal"/>
      <w:start w:val="1"/>
    </w:lvl>
  </w:abstractNum>
  <w:abstractNum w:abstractNumId="128">
    <w:nsid w:val="4BEE5A5B"/>
    <w:multiLevelType w:val="hybridMultilevel"/>
    <w:lvl w:ilvl="0">
      <w:lvlJc w:val="left"/>
      <w:lvlText w:val="•"/>
      <w:numFmt w:val="bullet"/>
      <w:start w:val="1"/>
    </w:lvl>
  </w:abstractNum>
  <w:abstractNum w:abstractNumId="129">
    <w:nsid w:val="5551B9F3"/>
    <w:multiLevelType w:val="hybridMultilevel"/>
    <w:lvl w:ilvl="0">
      <w:lvlJc w:val="left"/>
      <w:lvlText w:val="•"/>
      <w:numFmt w:val="bullet"/>
      <w:start w:val="1"/>
    </w:lvl>
  </w:abstractNum>
  <w:abstractNum w:abstractNumId="130">
    <w:nsid w:val="24F6AB8E"/>
    <w:multiLevelType w:val="hybridMultilevel"/>
    <w:lvl w:ilvl="0">
      <w:lvlJc w:val="left"/>
      <w:lvlText w:val="•"/>
      <w:numFmt w:val="bullet"/>
      <w:start w:val="1"/>
    </w:lvl>
  </w:abstractNum>
  <w:abstractNum w:abstractNumId="131">
    <w:nsid w:val="634C574C"/>
    <w:multiLevelType w:val="hybridMultilevel"/>
    <w:lvl w:ilvl="0">
      <w:lvlJc w:val="left"/>
      <w:lvlText w:val="(%1)"/>
      <w:numFmt w:val="decimal"/>
      <w:start w:val="2"/>
    </w:lvl>
  </w:abstractNum>
  <w:abstractNum w:abstractNumId="132">
    <w:nsid w:val="24E99DD7"/>
    <w:multiLevelType w:val="hybridMultilevel"/>
    <w:lvl w:ilvl="0">
      <w:lvlJc w:val="left"/>
      <w:lvlText w:val="•"/>
      <w:numFmt w:val="bullet"/>
      <w:start w:val="1"/>
    </w:lvl>
  </w:abstractNum>
  <w:abstractNum w:abstractNumId="133">
    <w:nsid w:val="2A31B62D"/>
    <w:multiLevelType w:val="hybridMultilevel"/>
    <w:lvl w:ilvl="0">
      <w:lvlJc w:val="left"/>
      <w:lvlText w:val="•"/>
      <w:numFmt w:val="bullet"/>
      <w:start w:val="1"/>
    </w:lvl>
  </w:abstractNum>
  <w:abstractNum w:abstractNumId="134">
    <w:nsid w:val="1849C29B"/>
    <w:multiLevelType w:val="hybridMultilevel"/>
    <w:lvl w:ilvl="0">
      <w:lvlJc w:val="left"/>
      <w:lvlText w:val="•"/>
      <w:numFmt w:val="bullet"/>
      <w:start w:val="1"/>
    </w:lvl>
  </w:abstractNum>
  <w:abstractNum w:abstractNumId="135">
    <w:nsid w:val="7DFF9D09"/>
    <w:multiLevelType w:val="hybridMultilevel"/>
    <w:lvl w:ilvl="0">
      <w:lvlJc w:val="left"/>
      <w:lvlText w:val="•"/>
      <w:numFmt w:val="bullet"/>
      <w:start w:val="1"/>
    </w:lvl>
  </w:abstractNum>
  <w:abstractNum w:abstractNumId="136">
    <w:nsid w:val="754342"/>
    <w:multiLevelType w:val="hybridMultilevel"/>
    <w:lvl w:ilvl="0">
      <w:lvlJc w:val="left"/>
      <w:lvlText w:val="•"/>
      <w:numFmt w:val="bullet"/>
      <w:start w:val="1"/>
    </w:lvl>
  </w:abstractNum>
  <w:abstractNum w:abstractNumId="137">
    <w:nsid w:val="69E7F3E5"/>
    <w:multiLevelType w:val="hybridMultilevel"/>
    <w:lvl w:ilvl="0">
      <w:lvlJc w:val="left"/>
      <w:lvlText w:val="•"/>
      <w:numFmt w:val="bullet"/>
      <w:start w:val="1"/>
    </w:lvl>
  </w:abstractNum>
  <w:abstractNum w:abstractNumId="138">
    <w:nsid w:val="2A6DE806"/>
    <w:multiLevelType w:val="hybridMultilevel"/>
    <w:lvl w:ilvl="0">
      <w:lvlJc w:val="left"/>
      <w:lvlText w:val="•"/>
      <w:numFmt w:val="bullet"/>
      <w:start w:val="1"/>
    </w:lvl>
  </w:abstractNum>
  <w:abstractNum w:abstractNumId="139">
    <w:nsid w:val="1816F8C4"/>
    <w:multiLevelType w:val="hybridMultilevel"/>
    <w:lvl w:ilvl="0">
      <w:lvlJc w:val="left"/>
      <w:lvlText w:val="(%1)"/>
      <w:numFmt w:val="decimal"/>
      <w:start w:val="1"/>
    </w:lvl>
  </w:abstractNum>
  <w:abstractNum w:abstractNumId="140">
    <w:nsid w:val="37DF2233"/>
    <w:multiLevelType w:val="hybridMultilevel"/>
    <w:lvl w:ilvl="0">
      <w:lvlJc w:val="left"/>
      <w:lvlText w:val="•"/>
      <w:numFmt w:val="bullet"/>
      <w:start w:val="1"/>
    </w:lvl>
  </w:abstractNum>
  <w:abstractNum w:abstractNumId="141">
    <w:nsid w:val="7AB49DAF"/>
    <w:multiLevelType w:val="hybridMultilevel"/>
    <w:lvl w:ilvl="0">
      <w:lvlJc w:val="left"/>
      <w:lvlText w:val="%1."/>
      <w:numFmt w:val="decimal"/>
      <w:start w:val="1"/>
    </w:lvl>
    <w:lvl w:ilvl="1">
      <w:lvlJc w:val="left"/>
      <w:lvlText w:val="%2)"/>
      <w:numFmt w:val="lowerLetter"/>
      <w:start w:val="1"/>
    </w:lvl>
  </w:abstractNum>
  <w:abstractNum w:abstractNumId="142">
    <w:nsid w:val="759F82CD"/>
    <w:multiLevelType w:val="hybridMultilevel"/>
    <w:lvl w:ilvl="0">
      <w:lvlJc w:val="left"/>
      <w:lvlText w:val="%1."/>
      <w:numFmt w:val="decimal"/>
      <w:start w:val="1"/>
    </w:lvl>
    <w:lvl w:ilvl="1">
      <w:lvlJc w:val="left"/>
      <w:lvlText w:val="%2)"/>
      <w:numFmt w:val="lowerLetter"/>
      <w:start w:val="1"/>
    </w:lvl>
  </w:abstractNum>
  <w:abstractNum w:abstractNumId="143">
    <w:nsid w:val="61E74EA3"/>
    <w:multiLevelType w:val="hybridMultilevel"/>
    <w:lvl w:ilvl="0">
      <w:lvlJc w:val="left"/>
      <w:lvlText w:val="(%1)"/>
      <w:numFmt w:val="decimal"/>
      <w:start w:val="1"/>
    </w:lvl>
  </w:abstractNum>
  <w:abstractNum w:abstractNumId="144">
    <w:nsid w:val="597B4D8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61" Type="http://schemas.openxmlformats.org/officeDocument/2006/relationships/image" Target="media/image201.png"/><Relationship Id="rId303" Type="http://schemas.openxmlformats.org/officeDocument/2006/relationships/image" Target="media/image202.png"/><Relationship Id="rId304" Type="http://schemas.openxmlformats.org/officeDocument/2006/relationships/image" Target="media/image203.png"/><Relationship Id="rId305" Type="http://schemas.openxmlformats.org/officeDocument/2006/relationships/image" Target="media/image204.png"/><Relationship Id="rId306" Type="http://schemas.openxmlformats.org/officeDocument/2006/relationships/image" Target="media/image205.png"/><Relationship Id="rId307" Type="http://schemas.openxmlformats.org/officeDocument/2006/relationships/image" Target="media/image206.png"/><Relationship Id="rId308" Type="http://schemas.openxmlformats.org/officeDocument/2006/relationships/image" Target="media/image207.png"/><Relationship Id="rId309" Type="http://schemas.openxmlformats.org/officeDocument/2006/relationships/image" Target="media/image208.png"/><Relationship Id="rId310" Type="http://schemas.openxmlformats.org/officeDocument/2006/relationships/image" Target="media/image209.png"/><Relationship Id="rId311" Type="http://schemas.openxmlformats.org/officeDocument/2006/relationships/image" Target="media/image210.png"/><Relationship Id="rId312" Type="http://schemas.openxmlformats.org/officeDocument/2006/relationships/image" Target="media/image211.png"/><Relationship Id="rId313" Type="http://schemas.openxmlformats.org/officeDocument/2006/relationships/image" Target="media/image212.png"/><Relationship Id="rId314" Type="http://schemas.openxmlformats.org/officeDocument/2006/relationships/image" Target="media/image213.png"/><Relationship Id="rId315" Type="http://schemas.openxmlformats.org/officeDocument/2006/relationships/image" Target="media/image214.png"/><Relationship Id="rId316" Type="http://schemas.openxmlformats.org/officeDocument/2006/relationships/image" Target="media/image215.png"/><Relationship Id="rId317" Type="http://schemas.openxmlformats.org/officeDocument/2006/relationships/image" Target="media/image216.png"/><Relationship Id="rId318" Type="http://schemas.openxmlformats.org/officeDocument/2006/relationships/image" Target="media/image217.png"/><Relationship Id="rId319" Type="http://schemas.openxmlformats.org/officeDocument/2006/relationships/image" Target="media/image218.png"/><Relationship Id="rId320" Type="http://schemas.openxmlformats.org/officeDocument/2006/relationships/image" Target="media/image219.png"/><Relationship Id="rId321" Type="http://schemas.openxmlformats.org/officeDocument/2006/relationships/image" Target="media/image220.png"/><Relationship Id="rId322" Type="http://schemas.openxmlformats.org/officeDocument/2006/relationships/image" Target="media/image221.png"/><Relationship Id="rId323" Type="http://schemas.openxmlformats.org/officeDocument/2006/relationships/image" Target="media/image222.png"/><Relationship Id="rId324" Type="http://schemas.openxmlformats.org/officeDocument/2006/relationships/image" Target="media/image223.png"/><Relationship Id="rId325" Type="http://schemas.openxmlformats.org/officeDocument/2006/relationships/image" Target="media/image224.png"/><Relationship Id="rId326" Type="http://schemas.openxmlformats.org/officeDocument/2006/relationships/image" Target="media/image225.png"/><Relationship Id="rId327" Type="http://schemas.openxmlformats.org/officeDocument/2006/relationships/image" Target="media/image226.png"/><Relationship Id="rId328" Type="http://schemas.openxmlformats.org/officeDocument/2006/relationships/image" Target="media/image227.png"/><Relationship Id="rId329" Type="http://schemas.openxmlformats.org/officeDocument/2006/relationships/image" Target="media/image228.png"/><Relationship Id="rId330" Type="http://schemas.openxmlformats.org/officeDocument/2006/relationships/image" Target="media/image229.png"/><Relationship Id="rId331" Type="http://schemas.openxmlformats.org/officeDocument/2006/relationships/image" Target="media/image230.png"/><Relationship Id="rId332" Type="http://schemas.openxmlformats.org/officeDocument/2006/relationships/image" Target="media/image231.png"/><Relationship Id="rId333" Type="http://schemas.openxmlformats.org/officeDocument/2006/relationships/image" Target="media/image232.png"/><Relationship Id="rId334" Type="http://schemas.openxmlformats.org/officeDocument/2006/relationships/image" Target="media/image233.png"/><Relationship Id="rId335" Type="http://schemas.openxmlformats.org/officeDocument/2006/relationships/image" Target="media/image234.png"/><Relationship Id="rId336" Type="http://schemas.openxmlformats.org/officeDocument/2006/relationships/image" Target="media/image235.png"/><Relationship Id="rId337" Type="http://schemas.openxmlformats.org/officeDocument/2006/relationships/image" Target="media/image236.png"/><Relationship Id="rId338" Type="http://schemas.openxmlformats.org/officeDocument/2006/relationships/image" Target="media/image237.png"/><Relationship Id="rId339" Type="http://schemas.openxmlformats.org/officeDocument/2006/relationships/image" Target="media/image238.png"/><Relationship Id="rId340" Type="http://schemas.openxmlformats.org/officeDocument/2006/relationships/image" Target="media/image239.png"/><Relationship Id="rId341" Type="http://schemas.openxmlformats.org/officeDocument/2006/relationships/image" Target="media/image240.png"/><Relationship Id="rId342" Type="http://schemas.openxmlformats.org/officeDocument/2006/relationships/image" Target="media/image241.png"/><Relationship Id="rId343" Type="http://schemas.openxmlformats.org/officeDocument/2006/relationships/image" Target="media/image242.png"/><Relationship Id="rId344" Type="http://schemas.openxmlformats.org/officeDocument/2006/relationships/image" Target="media/image243.png"/><Relationship Id="rId345" Type="http://schemas.openxmlformats.org/officeDocument/2006/relationships/image" Target="media/image244.png"/><Relationship Id="rId346" Type="http://schemas.openxmlformats.org/officeDocument/2006/relationships/image" Target="media/image245.png"/><Relationship Id="rId347" Type="http://schemas.openxmlformats.org/officeDocument/2006/relationships/image" Target="media/image246.png"/><Relationship Id="rId348" Type="http://schemas.openxmlformats.org/officeDocument/2006/relationships/image" Target="media/image247.png"/><Relationship Id="rId349" Type="http://schemas.openxmlformats.org/officeDocument/2006/relationships/image" Target="media/image248.png"/><Relationship Id="rId350" Type="http://schemas.openxmlformats.org/officeDocument/2006/relationships/image" Target="media/image249.png"/><Relationship Id="rId351" Type="http://schemas.openxmlformats.org/officeDocument/2006/relationships/image" Target="media/image250.png"/><Relationship Id="rId352" Type="http://schemas.openxmlformats.org/officeDocument/2006/relationships/image" Target="media/image251.png"/><Relationship Id="rId353" Type="http://schemas.openxmlformats.org/officeDocument/2006/relationships/image" Target="media/image252.png"/><Relationship Id="rId354" Type="http://schemas.openxmlformats.org/officeDocument/2006/relationships/image" Target="media/image253.png"/><Relationship Id="rId355" Type="http://schemas.openxmlformats.org/officeDocument/2006/relationships/image" Target="media/image254.png"/><Relationship Id="rId356" Type="http://schemas.openxmlformats.org/officeDocument/2006/relationships/image" Target="media/image255.png"/><Relationship Id="rId357" Type="http://schemas.openxmlformats.org/officeDocument/2006/relationships/image" Target="media/image256.png"/><Relationship Id="rId358" Type="http://schemas.openxmlformats.org/officeDocument/2006/relationships/image" Target="media/image257.png"/><Relationship Id="rId359" Type="http://schemas.openxmlformats.org/officeDocument/2006/relationships/image" Target="media/image258.png"/><Relationship Id="rId360" Type="http://schemas.openxmlformats.org/officeDocument/2006/relationships/image" Target="media/image259.png"/><Relationship Id="rId361" Type="http://schemas.openxmlformats.org/officeDocument/2006/relationships/image" Target="media/image260.png"/><Relationship Id="rId362" Type="http://schemas.openxmlformats.org/officeDocument/2006/relationships/image" Target="media/image261.png"/><Relationship Id="rId363" Type="http://schemas.openxmlformats.org/officeDocument/2006/relationships/image" Target="media/image262.png"/><Relationship Id="rId364" Type="http://schemas.openxmlformats.org/officeDocument/2006/relationships/image" Target="media/image263.png"/><Relationship Id="rId365" Type="http://schemas.openxmlformats.org/officeDocument/2006/relationships/image" Target="media/image264.png"/><Relationship Id="rId366" Type="http://schemas.openxmlformats.org/officeDocument/2006/relationships/image" Target="media/image265.png"/><Relationship Id="rId367" Type="http://schemas.openxmlformats.org/officeDocument/2006/relationships/image" Target="media/image266.png"/><Relationship Id="rId368" Type="http://schemas.openxmlformats.org/officeDocument/2006/relationships/image" Target="media/image267.png"/><Relationship Id="rId369" Type="http://schemas.openxmlformats.org/officeDocument/2006/relationships/image" Target="media/image268.png"/><Relationship Id="rId370" Type="http://schemas.openxmlformats.org/officeDocument/2006/relationships/image" Target="media/image269.png"/><Relationship Id="rId371" Type="http://schemas.openxmlformats.org/officeDocument/2006/relationships/image" Target="media/image270.png"/><Relationship Id="rId372" Type="http://schemas.openxmlformats.org/officeDocument/2006/relationships/image" Target="media/image271.png"/><Relationship Id="rId373" Type="http://schemas.openxmlformats.org/officeDocument/2006/relationships/image" Target="media/image272.png"/><Relationship Id="rId374" Type="http://schemas.openxmlformats.org/officeDocument/2006/relationships/image" Target="media/image273.png"/><Relationship Id="rId375" Type="http://schemas.openxmlformats.org/officeDocument/2006/relationships/image" Target="media/image274.png"/><Relationship Id="rId376" Type="http://schemas.openxmlformats.org/officeDocument/2006/relationships/image" Target="media/image275.png"/><Relationship Id="rId377" Type="http://schemas.openxmlformats.org/officeDocument/2006/relationships/image" Target="media/image276.png"/><Relationship Id="rId378" Type="http://schemas.openxmlformats.org/officeDocument/2006/relationships/image" Target="media/image277.png"/><Relationship Id="rId379" Type="http://schemas.openxmlformats.org/officeDocument/2006/relationships/image" Target="media/image278.png"/><Relationship Id="rId380" Type="http://schemas.openxmlformats.org/officeDocument/2006/relationships/image" Target="media/image279.png"/><Relationship Id="rId381" Type="http://schemas.openxmlformats.org/officeDocument/2006/relationships/image" Target="media/image280.png"/><Relationship Id="rId382" Type="http://schemas.openxmlformats.org/officeDocument/2006/relationships/image" Target="media/image281.png"/><Relationship Id="rId383" Type="http://schemas.openxmlformats.org/officeDocument/2006/relationships/image" Target="media/image282.png"/><Relationship Id="rId384" Type="http://schemas.openxmlformats.org/officeDocument/2006/relationships/image" Target="media/image283.png"/><Relationship Id="rId385" Type="http://schemas.openxmlformats.org/officeDocument/2006/relationships/image" Target="media/image284.png"/><Relationship Id="rId386" Type="http://schemas.openxmlformats.org/officeDocument/2006/relationships/image" Target="media/image285.png"/><Relationship Id="rId387" Type="http://schemas.openxmlformats.org/officeDocument/2006/relationships/image" Target="media/image286.png"/><Relationship Id="rId388" Type="http://schemas.openxmlformats.org/officeDocument/2006/relationships/image" Target="media/image287.png"/><Relationship Id="rId389" Type="http://schemas.openxmlformats.org/officeDocument/2006/relationships/image" Target="media/image288.png"/><Relationship Id="rId390" Type="http://schemas.openxmlformats.org/officeDocument/2006/relationships/image" Target="media/image289.png"/><Relationship Id="rId391" Type="http://schemas.openxmlformats.org/officeDocument/2006/relationships/image" Target="media/image290.png"/><Relationship Id="rId392" Type="http://schemas.openxmlformats.org/officeDocument/2006/relationships/image" Target="media/image291.png"/><Relationship Id="rId393" Type="http://schemas.openxmlformats.org/officeDocument/2006/relationships/image" Target="media/image292.png"/><Relationship Id="rId394" Type="http://schemas.openxmlformats.org/officeDocument/2006/relationships/image" Target="media/image293.png"/><Relationship Id="rId395" Type="http://schemas.openxmlformats.org/officeDocument/2006/relationships/image" Target="media/image294.png"/><Relationship Id="rId396" Type="http://schemas.openxmlformats.org/officeDocument/2006/relationships/image" Target="media/image295.png"/><Relationship Id="rId397" Type="http://schemas.openxmlformats.org/officeDocument/2006/relationships/image" Target="media/image296.png"/><Relationship Id="rId398" Type="http://schemas.openxmlformats.org/officeDocument/2006/relationships/image" Target="media/image297.png"/><Relationship Id="rId399" Type="http://schemas.openxmlformats.org/officeDocument/2006/relationships/image" Target="media/image298.png"/><Relationship Id="rId400" Type="http://schemas.openxmlformats.org/officeDocument/2006/relationships/image" Target="media/image299.png"/><Relationship Id="rId401" Type="http://schemas.openxmlformats.org/officeDocument/2006/relationships/image" Target="media/image300.png"/><Relationship Id="rId402" Type="http://schemas.openxmlformats.org/officeDocument/2006/relationships/image" Target="media/image301.png"/><Relationship Id="rId403" Type="http://schemas.openxmlformats.org/officeDocument/2006/relationships/image" Target="media/image302.png"/><Relationship Id="rId404" Type="http://schemas.openxmlformats.org/officeDocument/2006/relationships/image" Target="media/image303.png"/><Relationship Id="rId405" Type="http://schemas.openxmlformats.org/officeDocument/2006/relationships/image" Target="media/image304.png"/><Relationship Id="rId406" Type="http://schemas.openxmlformats.org/officeDocument/2006/relationships/image" Target="media/image305.png"/><Relationship Id="rId407" Type="http://schemas.openxmlformats.org/officeDocument/2006/relationships/image" Target="media/image306.png"/><Relationship Id="rId408" Type="http://schemas.openxmlformats.org/officeDocument/2006/relationships/image" Target="media/image307.png"/><Relationship Id="rId409" Type="http://schemas.openxmlformats.org/officeDocument/2006/relationships/image" Target="media/image308.png"/><Relationship Id="rId410" Type="http://schemas.openxmlformats.org/officeDocument/2006/relationships/image" Target="media/image309.png"/><Relationship Id="rId411" Type="http://schemas.openxmlformats.org/officeDocument/2006/relationships/image" Target="media/image310.png"/><Relationship Id="rId412" Type="http://schemas.openxmlformats.org/officeDocument/2006/relationships/image" Target="media/image311.png"/><Relationship Id="rId413" Type="http://schemas.openxmlformats.org/officeDocument/2006/relationships/image" Target="media/image312.png"/><Relationship Id="rId414" Type="http://schemas.openxmlformats.org/officeDocument/2006/relationships/image" Target="media/image313.png"/><Relationship Id="rId415" Type="http://schemas.openxmlformats.org/officeDocument/2006/relationships/image" Target="media/image314.png"/><Relationship Id="rId416" Type="http://schemas.openxmlformats.org/officeDocument/2006/relationships/image" Target="media/image315.png"/><Relationship Id="rId417" Type="http://schemas.openxmlformats.org/officeDocument/2006/relationships/image" Target="media/image316.png"/><Relationship Id="rId418" Type="http://schemas.openxmlformats.org/officeDocument/2006/relationships/image" Target="media/image317.png"/><Relationship Id="rId419" Type="http://schemas.openxmlformats.org/officeDocument/2006/relationships/image" Target="media/image318.png"/><Relationship Id="rId420" Type="http://schemas.openxmlformats.org/officeDocument/2006/relationships/image" Target="media/image319.png"/><Relationship Id="rId421" Type="http://schemas.openxmlformats.org/officeDocument/2006/relationships/image" Target="media/image320.png"/><Relationship Id="rId422" Type="http://schemas.openxmlformats.org/officeDocument/2006/relationships/image" Target="media/image321.png"/><Relationship Id="rId423" Type="http://schemas.openxmlformats.org/officeDocument/2006/relationships/image" Target="media/image322.png"/><Relationship Id="rId424" Type="http://schemas.openxmlformats.org/officeDocument/2006/relationships/image" Target="media/image323.png"/><Relationship Id="rId425" Type="http://schemas.openxmlformats.org/officeDocument/2006/relationships/image" Target="media/image324.png"/><Relationship Id="rId426" Type="http://schemas.openxmlformats.org/officeDocument/2006/relationships/image" Target="media/image325.png"/><Relationship Id="rId427" Type="http://schemas.openxmlformats.org/officeDocument/2006/relationships/image" Target="media/image326.png"/><Relationship Id="rId428" Type="http://schemas.openxmlformats.org/officeDocument/2006/relationships/image" Target="media/image327.png"/><Relationship Id="rId429" Type="http://schemas.openxmlformats.org/officeDocument/2006/relationships/image" Target="media/image328.png"/><Relationship Id="rId430" Type="http://schemas.openxmlformats.org/officeDocument/2006/relationships/image" Target="media/image329.png"/><Relationship Id="rId431" Type="http://schemas.openxmlformats.org/officeDocument/2006/relationships/image" Target="media/image330.png"/><Relationship Id="rId432" Type="http://schemas.openxmlformats.org/officeDocument/2006/relationships/image" Target="media/image331.png"/><Relationship Id="rId433" Type="http://schemas.openxmlformats.org/officeDocument/2006/relationships/image" Target="media/image332.png"/><Relationship Id="rId434" Type="http://schemas.openxmlformats.org/officeDocument/2006/relationships/image" Target="media/image333.png"/><Relationship Id="rId435" Type="http://schemas.openxmlformats.org/officeDocument/2006/relationships/image" Target="media/image334.png"/><Relationship Id="rId436" Type="http://schemas.openxmlformats.org/officeDocument/2006/relationships/image" Target="media/image335.png"/><Relationship Id="rId437" Type="http://schemas.openxmlformats.org/officeDocument/2006/relationships/image" Target="media/image336.png"/><Relationship Id="rId438" Type="http://schemas.openxmlformats.org/officeDocument/2006/relationships/image" Target="media/image337.png"/><Relationship Id="rId439" Type="http://schemas.openxmlformats.org/officeDocument/2006/relationships/image" Target="media/image338.png"/><Relationship Id="rId440" Type="http://schemas.openxmlformats.org/officeDocument/2006/relationships/image" Target="media/image339.png"/><Relationship Id="rId441" Type="http://schemas.openxmlformats.org/officeDocument/2006/relationships/image" Target="media/image340.png"/><Relationship Id="rId442" Type="http://schemas.openxmlformats.org/officeDocument/2006/relationships/image" Target="media/image341.png"/><Relationship Id="rId443" Type="http://schemas.openxmlformats.org/officeDocument/2006/relationships/image" Target="media/image342.png"/><Relationship Id="rId444" Type="http://schemas.openxmlformats.org/officeDocument/2006/relationships/image" Target="media/image343.png"/><Relationship Id="rId445" Type="http://schemas.openxmlformats.org/officeDocument/2006/relationships/image" Target="media/image344.png"/><Relationship Id="rId446" Type="http://schemas.openxmlformats.org/officeDocument/2006/relationships/image" Target="media/image345.png"/><Relationship Id="rId447" Type="http://schemas.openxmlformats.org/officeDocument/2006/relationships/image" Target="media/image346.png"/><Relationship Id="rId448" Type="http://schemas.openxmlformats.org/officeDocument/2006/relationships/image" Target="media/image347.png"/><Relationship Id="rId449" Type="http://schemas.openxmlformats.org/officeDocument/2006/relationships/image" Target="media/image348.png"/><Relationship Id="rId450" Type="http://schemas.openxmlformats.org/officeDocument/2006/relationships/image" Target="media/image349.png"/><Relationship Id="rId451" Type="http://schemas.openxmlformats.org/officeDocument/2006/relationships/image" Target="media/image350.png"/><Relationship Id="rId208" Type="http://schemas.openxmlformats.org/officeDocument/2006/relationships/hyperlink" Target="http://www.sec.gov/Archives/edgar/data/1061219/000095012903006098/h11257exv2w1.txt" TargetMode="External"/><Relationship Id="rId209" Type="http://schemas.openxmlformats.org/officeDocument/2006/relationships/hyperlink" Target="http://www.sec.gov/Archives/edgar/data/1061219/000106121904000194/exhibit2-1.htm" TargetMode="External"/><Relationship Id="rId210" Type="http://schemas.openxmlformats.org/officeDocument/2006/relationships/hyperlink" Target="http://www.sec.gov/Archives/edgar/data/1061219/000095012903006098/h11257exv2w2.txt" TargetMode="External"/><Relationship Id="rId211" Type="http://schemas.openxmlformats.org/officeDocument/2006/relationships/hyperlink" Target="http://www.sec.gov/Archives/edgar/data/1061219/000106121904000053/exhibit2-1.htm" TargetMode="External"/><Relationship Id="rId212" Type="http://schemas.openxmlformats.org/officeDocument/2006/relationships/hyperlink" Target="http://www.sec.gov/Archives/edgar/data/1061219/000095012903006098/h11257exv2w4.txt" TargetMode="External"/><Relationship Id="rId213" Type="http://schemas.openxmlformats.org/officeDocument/2006/relationships/hyperlink" Target="http://www.sec.gov/Archives/edgar/data/1061219/000095012309018753/h67302exv2w1.htm" TargetMode="External"/><Relationship Id="rId214" Type="http://schemas.openxmlformats.org/officeDocument/2006/relationships/hyperlink" Target="http://www.sec.gov/Archives/edgar/data/1061219/000095012309018753/h67302exv2w2.htm" TargetMode="External"/><Relationship Id="rId215" Type="http://schemas.openxmlformats.org/officeDocument/2006/relationships/hyperlink" Target="http://www.sec.gov/Archives/edgar/data/1061219/000095012310084271/h75957exv2w1.htm" TargetMode="External"/><Relationship Id="rId216" Type="http://schemas.openxmlformats.org/officeDocument/2006/relationships/hyperlink" Target="http://www.sec.gov/Archives/edgar/data/1061219/000095012310084271/h75957exv2w2.htm" TargetMode="External"/><Relationship Id="rId217" Type="http://schemas.openxmlformats.org/officeDocument/2006/relationships/hyperlink" Target="http://www.sec.gov/Archives/edgar/data/1061219/000095012310090755/h76576exv2w1.htm" TargetMode="External"/><Relationship Id="rId218" Type="http://schemas.openxmlformats.org/officeDocument/2006/relationships/hyperlink" Target="http://www.sec.gov/Archives/edgar/data/1061219/000095012311042253/h81801exv2w1.htm" TargetMode="External"/><Relationship Id="rId219" Type="http://schemas.openxmlformats.org/officeDocument/2006/relationships/hyperlink" Target="http://www.sec.gov/Archives/edgar/data/1061219/000119312514360884/d798407dex21.htm" TargetMode="External"/><Relationship Id="rId220" Type="http://schemas.openxmlformats.org/officeDocument/2006/relationships/hyperlink" Target="http://www.sec.gov/Archives/edgar/data/1061219/000119312514409528/d820273dex21.htm" TargetMode="External"/><Relationship Id="rId221" Type="http://schemas.openxmlformats.org/officeDocument/2006/relationships/hyperlink" Target="http://www.sec.gov/Archives/edgar/data/1061219/000106121918000020/exhibit2_2.htm" TargetMode="External"/><Relationship Id="rId222" Type="http://schemas.openxmlformats.org/officeDocument/2006/relationships/hyperlink" Target="http://www.sec.gov/Archives/edgar/data/1061219/000106121907000043/exhibit3_6.htm" TargetMode="External"/><Relationship Id="rId223" Type="http://schemas.openxmlformats.org/officeDocument/2006/relationships/hyperlink" Target="http://www.sec.gov/Archives/edgar/data/1061219/000106121910000072/exhibit3_6.htm" TargetMode="External"/><Relationship Id="rId224" Type="http://schemas.openxmlformats.org/officeDocument/2006/relationships/hyperlink" Target="http://www.sec.gov/Archives/edgar/data/1061219/000106121910000072/exhibit3_2.htm" TargetMode="External"/><Relationship Id="rId225" Type="http://schemas.openxmlformats.org/officeDocument/2006/relationships/hyperlink" Target="http://www.sec.gov/Archives/edgar/data/1061219/000106121911000024/exhibit3_1.htm" TargetMode="External"/><Relationship Id="rId226" Type="http://schemas.openxmlformats.org/officeDocument/2006/relationships/hyperlink" Target="http://www.sec.gov/Archives/edgar/data/1061219/000106121914000025/exhibit3_1.htm" TargetMode="External"/><Relationship Id="rId227" Type="http://schemas.openxmlformats.org/officeDocument/2006/relationships/hyperlink" Target="http://www.sec.gov/Archives/edgar/data/1061219/000119312517358930/d504374dex31.htm" TargetMode="External"/><Relationship Id="rId228" Type="http://schemas.openxmlformats.org/officeDocument/2006/relationships/hyperlink" Target="http://www.sec.gov/Archives/edgar/data/1061219/000106121919000007/exhibit3_7.htm" TargetMode="External"/><Relationship Id="rId229" Type="http://schemas.openxmlformats.org/officeDocument/2006/relationships/hyperlink" Target="http://www.sec.gov/Archives/edgar/data/1324592/000119312505146603/dex33.htm" TargetMode="External"/><Relationship Id="rId230" Type="http://schemas.openxmlformats.org/officeDocument/2006/relationships/hyperlink" Target="http://www.sec.gov/Archives/edgar/data/1061219/000106121910000072/exhibit3_5.htm" TargetMode="External"/><Relationship Id="rId231" Type="http://schemas.openxmlformats.org/officeDocument/2006/relationships/hyperlink" Target="http://www.sec.gov/Archives/edgar/data/1061219/000095012311083344/h84536exv3w1.htm" TargetMode="External"/><Relationship Id="rId232" Type="http://schemas.openxmlformats.org/officeDocument/2006/relationships/hyperlink" Target="http://www.sec.gov/Archives/edgar/data/1061219/000106121917000011/exhibit3_1.htm" TargetMode="External"/><Relationship Id="rId233" Type="http://schemas.openxmlformats.org/officeDocument/2006/relationships/hyperlink" Target="http://www.sec.gov/Archives/edgar/data/1061219/000106121919000047/exhibit3_12.htm" TargetMode="External"/><Relationship Id="rId234" Type="http://schemas.openxmlformats.org/officeDocument/2006/relationships/hyperlink" Target="http://www.sec.gov/Archives/edgar/data/1061219/000106121907000037/exhibit3_3.htm" TargetMode="External"/><Relationship Id="rId235" Type="http://schemas.openxmlformats.org/officeDocument/2006/relationships/hyperlink" Target="http://www.sec.gov/Archives/edgar/data/1061219/000095012904010113/h19587exv3w5.htm" TargetMode="External"/><Relationship Id="rId236" Type="http://schemas.openxmlformats.org/officeDocument/2006/relationships/hyperlink" Target="http://www.sec.gov/Archives/edgar/data/1061219/000095012904010113/h19587exv3w6.htm" TargetMode="External"/><Relationship Id="rId237" Type="http://schemas.openxmlformats.org/officeDocument/2006/relationships/hyperlink" Target="http://www.sec.gov/Archives/edgar/data/1061219/000089924300000467/0000899243-00-000467.txt" TargetMode="External"/><Relationship Id="rId238" Type="http://schemas.openxmlformats.org/officeDocument/2006/relationships/hyperlink" Target="http://www.sec.gov/Archives/edgar/data/1061219/000095012903001725/h04315exv4w3.txt" TargetMode="External"/><Relationship Id="rId239" Type="http://schemas.openxmlformats.org/officeDocument/2006/relationships/hyperlink" Target="http://www.sec.gov/Archives/edgar/data/1061219/000106121907000037/exhibit4_55.htm" TargetMode="External"/><Relationship Id="rId240" Type="http://schemas.openxmlformats.org/officeDocument/2006/relationships/hyperlink" Target="http://www.sec.gov/Archives/edgar/data/1061219/000106121904000231/exhibit4-1.htm" TargetMode="External"/><Relationship Id="rId241" Type="http://schemas.openxmlformats.org/officeDocument/2006/relationships/hyperlink" Target="http://www.sec.gov/Archives/edgar/data/1061219/000106121904000231/exhibit4-5.htm" TargetMode="External"/><Relationship Id="rId242" Type="http://schemas.openxmlformats.org/officeDocument/2006/relationships/hyperlink" Target="http://www.sec.gov/Archives/edgar/data/1061219/000095013405004121/h22993exv4w3.htm" TargetMode="External"/><Relationship Id="rId243" Type="http://schemas.openxmlformats.org/officeDocument/2006/relationships/hyperlink" Target="http://www.sec.gov/Archives/edgar/data/1061219/000106121907000037/exhibit4_54.htm" TargetMode="External"/><Relationship Id="rId244" Type="http://schemas.openxmlformats.org/officeDocument/2006/relationships/hyperlink" Target="http://www.sec.gov/Archives/edgar/data/1061219/000095012908002096/h55548exv4w4.htm" TargetMode="External"/><Relationship Id="rId245" Type="http://schemas.openxmlformats.org/officeDocument/2006/relationships/hyperlink" Target="http://www.sec.gov/Archives/edgar/data/1061219/000095012309048189/h68150exv4w3.htm" TargetMode="External"/><Relationship Id="rId246" Type="http://schemas.openxmlformats.org/officeDocument/2006/relationships/hyperlink" Target="http://www.sec.gov/Archives/edgar/data/1061219/000095012309054271/h68298exv4w1.htm" TargetMode="External"/><Relationship Id="rId247" Type="http://schemas.openxmlformats.org/officeDocument/2006/relationships/hyperlink" Target="http://www.sec.gov/Archives/edgar/data/1061219/000095012309054271/h68298exv4w2.htm" TargetMode="External"/><Relationship Id="rId248" Type="http://schemas.openxmlformats.org/officeDocument/2006/relationships/hyperlink" Target="http://www.sec.gov/Archives/edgar/data/1061219/000095012310051426/h73201exv4w3.htm" TargetMode="External"/><Relationship Id="rId249" Type="http://schemas.openxmlformats.org/officeDocument/2006/relationships/hyperlink" Target="http://www.sec.gov/Archives/edgar/data/1061219/000095012311002459/h78817exv4w3.htm" TargetMode="External"/><Relationship Id="rId250" Type="http://schemas.openxmlformats.org/officeDocument/2006/relationships/hyperlink" Target="http://www.sec.gov/Archives/edgar/data/1061219/000095012311079627/h84367exv4w3.htm" TargetMode="External"/><Relationship Id="rId251" Type="http://schemas.openxmlformats.org/officeDocument/2006/relationships/hyperlink" Target="http://www.sec.gov/Archives/edgar/data/1061219/000106121912000015/exhibit4_25.htm" TargetMode="External"/><Relationship Id="rId252" Type="http://schemas.openxmlformats.org/officeDocument/2006/relationships/hyperlink" Target="http://www.sec.gov/Archives/edgar/data/1061219/000119312512351427/d396705dex43.htm" TargetMode="External"/><Relationship Id="rId253" Type="http://schemas.openxmlformats.org/officeDocument/2006/relationships/hyperlink" Target="http://www.sec.gov/Archives/edgar/data/1061219/000119312513111663/d504401dex43.htm" TargetMode="External"/><Relationship Id="rId254" Type="http://schemas.openxmlformats.org/officeDocument/2006/relationships/hyperlink" Target="http://www.sec.gov/Archives/edgar/data/1061219/000119312514047122/d677538dex43.htm" TargetMode="External"/><Relationship Id="rId255" Type="http://schemas.openxmlformats.org/officeDocument/2006/relationships/hyperlink" Target="http://www.sec.gov/Archives/edgar/data/1061219/000119312514370411/d804454dex44.htm" TargetMode="External"/><Relationship Id="rId256" Type="http://schemas.openxmlformats.org/officeDocument/2006/relationships/hyperlink" Target="http://www.sec.gov/Archives/edgar/data/1061219/000119312515176176/d924725dex43.htm" TargetMode="External"/><Relationship Id="rId257" Type="http://schemas.openxmlformats.org/officeDocument/2006/relationships/hyperlink" Target="http://www.sec.gov/Archives/edgar/data/1061219/000119312516539391/d159503dex44.htm" TargetMode="External"/><Relationship Id="rId258" Type="http://schemas.openxmlformats.org/officeDocument/2006/relationships/hyperlink" Target="http://www.sec.gov/Archives/edgar/data/1061219/000119312517259253/d443889dex43.htm" TargetMode="External"/><Relationship Id="rId259" Type="http://schemas.openxmlformats.org/officeDocument/2006/relationships/hyperlink" Target="http://www.sec.gov/Archives/edgar/data/1061219/000119312518046800/d528323dex44.htm" TargetMode="External"/><Relationship Id="rId260" Type="http://schemas.openxmlformats.org/officeDocument/2006/relationships/hyperlink" Target="http://www.sec.gov/Archives/edgar/data/1061219/000119312518046800/d528323dex43.htm" TargetMode="External"/><Relationship Id="rId262" Type="http://schemas.openxmlformats.org/officeDocument/2006/relationships/hyperlink" Target="http://www.sec.gov/Archives/edgar/data/1061219/000119312518297371/d626241dex43.htm" TargetMode="External"/><Relationship Id="rId263" Type="http://schemas.openxmlformats.org/officeDocument/2006/relationships/hyperlink" Target="http://www.sec.gov/Archives/edgar/data/1061219/000119312519190249/d754256dex43.htm" TargetMode="External"/><Relationship Id="rId264" Type="http://schemas.openxmlformats.org/officeDocument/2006/relationships/hyperlink" Target="http://www.sec.gov/Archives/edgar/data/1061219/000119312520007702/d120339dex43.htm" TargetMode="External"/><Relationship Id="rId265" Type="http://schemas.openxmlformats.org/officeDocument/2006/relationships/hyperlink" Target="http://www.sec.gov/Archives/edgar/data/1061219/000095012905001997/h23076exv4w19.htm" TargetMode="External"/><Relationship Id="rId266" Type="http://schemas.openxmlformats.org/officeDocument/2006/relationships/hyperlink" Target="http://www.sec.gov/Archives/edgar/data/1061219/000106121905000158/exhibit4-32.htm" TargetMode="External"/><Relationship Id="rId267" Type="http://schemas.openxmlformats.org/officeDocument/2006/relationships/hyperlink" Target="http://www.sec.gov/Archives/edgar/data/1061219/000095012309054271/h68298exv4w9.htm" TargetMode="External"/><Relationship Id="rId268" Type="http://schemas.openxmlformats.org/officeDocument/2006/relationships/hyperlink" Target="http://www.sec.gov/Archives/edgar/data/1061219/000106121915000017/exhibit4_59.htm" TargetMode="External"/><Relationship Id="rId269" Type="http://schemas.openxmlformats.org/officeDocument/2006/relationships/hyperlink" Target="http://www.sec.gov/Archives/edgar/data/857644/000095012902000810/h94327ex99-2.txt" TargetMode="External"/><Relationship Id="rId270" Type="http://schemas.openxmlformats.org/officeDocument/2006/relationships/hyperlink" Target="http://www.sec.gov/Archives/edgar/data/857644/000095012902004149/h98782exv4w6.htm" TargetMode="External"/><Relationship Id="rId271" Type="http://schemas.openxmlformats.org/officeDocument/2006/relationships/hyperlink" Target="http://www.sec.gov/Archives/edgar/data/857644/000110465906072235/a06-21511_1ex4d8.htm" TargetMode="External"/><Relationship Id="rId272" Type="http://schemas.openxmlformats.org/officeDocument/2006/relationships/hyperlink" Target="http://www.sec.gov/Archives/edgar/data/857644/000085764408000054/exhibit4_13.htm" TargetMode="External"/><Relationship Id="rId273" Type="http://schemas.openxmlformats.org/officeDocument/2006/relationships/hyperlink" Target="http://www.sec.gov/Archives/edgar/data/857644/000095012309054274/h68315exv4w1.htm" TargetMode="External"/><Relationship Id="rId274" Type="http://schemas.openxmlformats.org/officeDocument/2006/relationships/hyperlink" Target="http://www.sec.gov/Archives/edgar/data/1061219/000106121910000011/exhibit4_64.htm" TargetMode="External"/><Relationship Id="rId275" Type="http://schemas.openxmlformats.org/officeDocument/2006/relationships/hyperlink" Target="http://www.sec.gov/Archives/edgar/data/857644/000095012907002534/h46716exv99w1.htm" TargetMode="External"/><Relationship Id="rId276" Type="http://schemas.openxmlformats.org/officeDocument/2006/relationships/hyperlink" Target="http://www.sec.gov/Archives/edgar/data/857644/000095012907002649/h46946exv4w2.htm" TargetMode="External"/><Relationship Id="rId277" Type="http://schemas.openxmlformats.org/officeDocument/2006/relationships/hyperlink" Target="http://www.sec.gov/Archives/edgar/data/1045548/000095012907003291/h48040exv4w2.htm" TargetMode="External"/><Relationship Id="rId278" Type="http://schemas.openxmlformats.org/officeDocument/2006/relationships/hyperlink" Target="http://www.sec.gov/Archives/edgar/data/857644/000095012309054274/h68315exv4w2.htm" TargetMode="External"/><Relationship Id="rId279" Type="http://schemas.openxmlformats.org/officeDocument/2006/relationships/hyperlink" Target="http://www.sec.gov/Archives/edgar/data/1061219/000106121910000011/exhibit4_70.htm" TargetMode="External"/><Relationship Id="rId280" Type="http://schemas.openxmlformats.org/officeDocument/2006/relationships/hyperlink" Target="http://www.sec.gov/Archives/edgar/data/1061219/000095012310018063/h69845exv10w1.htm" TargetMode="External"/><Relationship Id="rId281" Type="http://schemas.openxmlformats.org/officeDocument/2006/relationships/hyperlink" Target="http://www.sec.gov/Archives/edgar/data/1061219/000106121910000053/exhibit10_5.htm" TargetMode="External"/><Relationship Id="rId282" Type="http://schemas.openxmlformats.org/officeDocument/2006/relationships/hyperlink" Target="http://www.sec.gov/Archives/edgar/data/1061219/000119312513346661/d585814ddef14a.htm" TargetMode="External"/><Relationship Id="rId283" Type="http://schemas.openxmlformats.org/officeDocument/2006/relationships/hyperlink" Target="http://www.sec.gov/Archives/edgar/data/1061219/000106121917000008/exhibit10_4.htm" TargetMode="External"/><Relationship Id="rId284" Type="http://schemas.openxmlformats.org/officeDocument/2006/relationships/hyperlink" Target="http://www.sec.gov/Archives/edgar/data/1061219/000119312515049549/d874027dex101.htm" TargetMode="External"/><Relationship Id="rId285" Type="http://schemas.openxmlformats.org/officeDocument/2006/relationships/hyperlink" Target="http://www.sec.gov/Archives/edgar/data/1061219/000106121919000032/exhibit10_1.htm" TargetMode="External"/><Relationship Id="rId286" Type="http://schemas.openxmlformats.org/officeDocument/2006/relationships/hyperlink" Target="http://www.sec.gov/Archives/edgar/data/1061219/000106121919000032/exhibit10_2.htm" TargetMode="External"/><Relationship Id="rId287" Type="http://schemas.openxmlformats.org/officeDocument/2006/relationships/hyperlink" Target="http://www.sec.gov/Archives/edgar/data/1061219/000106121917000028/exhibit10_3.htm" TargetMode="External"/><Relationship Id="rId288" Type="http://schemas.openxmlformats.org/officeDocument/2006/relationships/hyperlink" Target="http://www.sec.gov/Archives/edgar/data/1061219/000106121919000032/exhibit10_3.htm" TargetMode="External"/><Relationship Id="rId289" Type="http://schemas.openxmlformats.org/officeDocument/2006/relationships/hyperlink" Target="http://www.sec.gov/Archives/edgar/data/1061219/000106121917000028/exhibit10_4.htm" TargetMode="External"/><Relationship Id="rId290" Type="http://schemas.openxmlformats.org/officeDocument/2006/relationships/hyperlink" Target="http://www.sec.gov/Archives/edgar/data/1061219/000119312514360884/d798407dex103.htm" TargetMode="External"/><Relationship Id="rId291" Type="http://schemas.openxmlformats.org/officeDocument/2006/relationships/hyperlink" Target="http://www.sec.gov/Archives/edgar/data/1061219/000119312514409528/d820273dex101.htm" TargetMode="External"/><Relationship Id="rId292" Type="http://schemas.openxmlformats.org/officeDocument/2006/relationships/hyperlink" Target="http://www.sec.gov/Archives/edgar/data/1061219/000106121917000008/exhibit10_17.htm" TargetMode="External"/><Relationship Id="rId293" Type="http://schemas.openxmlformats.org/officeDocument/2006/relationships/hyperlink" Target="http://www.sec.gov/Archives/edgar/data/1061219/000106121917000008/exhibit10_18.htm" TargetMode="External"/><Relationship Id="rId294" Type="http://schemas.openxmlformats.org/officeDocument/2006/relationships/hyperlink" Target="http://www.sec.gov/Archives/edgar/data/1061219/000106121917000008/exhibit10_19.htm" TargetMode="External"/><Relationship Id="rId295" Type="http://schemas.openxmlformats.org/officeDocument/2006/relationships/hyperlink" Target="http://www.sec.gov/Archives/edgar/data/1061219/000119312518343781/d663014dex101.htm" TargetMode="External"/><Relationship Id="rId296" Type="http://schemas.openxmlformats.org/officeDocument/2006/relationships/hyperlink" Target="http://www.sec.gov/Archives/edgar/data/1061219/000119312518343781/d663014dex102.htm" TargetMode="External"/><Relationship Id="rId297" Type="http://schemas.openxmlformats.org/officeDocument/2006/relationships/hyperlink" Target="http://www.sec.gov/Archives/edgar/data/1061219/000119312517358930/d504374dex11.htm" TargetMode="External"/><Relationship Id="rId298" Type="http://schemas.openxmlformats.org/officeDocument/2006/relationships/hyperlink" Target="http://www.sec.gov/Archives/edgar/data/1061219/000119312519110921/d632347dex101.htm" TargetMode="External"/><Relationship Id="rId299" Type="http://schemas.openxmlformats.org/officeDocument/2006/relationships/hyperlink" Target="http://www.sec.gov/Archives/edgar/data/1061219/000119312519110921/d632347dex102.htm" TargetMode="External"/><Relationship Id="rId300" Type="http://schemas.openxmlformats.org/officeDocument/2006/relationships/hyperlink" Target="http://www.sec.gov/Archives/edgar/data/1061219/000119312519110921/d632347dex103.htm" TargetMode="External"/><Relationship Id="rId301" Type="http://schemas.openxmlformats.org/officeDocument/2006/relationships/hyperlink" Target="http://www.sec.gov/Archives/edgar/data/1061219/000119312519110921/d632347dex104.htm" TargetMode="External"/><Relationship Id="rId302" Type="http://schemas.openxmlformats.org/officeDocument/2006/relationships/hyperlink" Target="http://www.sec.gov/Archives/edgar/data/1061219/000119312519226891/d79473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2020-02-28T05:12:41Z</dcterms:created>
  <dcterms:modified xsi:type="dcterms:W3CDTF">2020-02-28T05:12:41Z</dcterms:modified>
</cp:coreProperties>
</file>